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C4" w:rsidRDefault="005734C4" w:rsidP="005734C4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734C4" w:rsidRPr="005734C4" w:rsidRDefault="001B6F14" w:rsidP="005734C4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</w:t>
      </w:r>
      <w:r w:rsidR="005734C4" w:rsidRPr="0085609B">
        <w:rPr>
          <w:rFonts w:ascii="Times New Roman" w:hAnsi="Times New Roman" w:cs="Times New Roman"/>
          <w:b/>
          <w:lang w:val="en-US"/>
        </w:rPr>
        <w:t>able</w:t>
      </w:r>
      <w:r w:rsidR="005734C4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S</w:t>
      </w:r>
      <w:r w:rsidR="005734C4" w:rsidRPr="0085609B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.</w:t>
      </w:r>
      <w:r w:rsidR="005734C4" w:rsidRPr="0085609B">
        <w:rPr>
          <w:rFonts w:ascii="Times New Roman" w:hAnsi="Times New Roman" w:cs="Times New Roman"/>
          <w:b/>
          <w:lang w:val="en-US"/>
        </w:rPr>
        <w:t xml:space="preserve"> </w:t>
      </w:r>
      <w:r w:rsidR="005734C4">
        <w:rPr>
          <w:rFonts w:ascii="Times New Roman" w:hAnsi="Times New Roman" w:cs="Times New Roman"/>
          <w:lang w:val="en-US"/>
        </w:rPr>
        <w:t>C</w:t>
      </w:r>
      <w:r w:rsidR="005734C4" w:rsidRPr="00630D43">
        <w:rPr>
          <w:rFonts w:ascii="Times New Roman" w:hAnsi="Times New Roman" w:cs="Times New Roman"/>
          <w:lang w:val="en-US"/>
        </w:rPr>
        <w:t>hange in monthly migraine days</w:t>
      </w:r>
      <w:r w:rsidR="005734C4">
        <w:rPr>
          <w:rFonts w:ascii="Times New Roman" w:hAnsi="Times New Roman" w:cs="Times New Roman"/>
          <w:lang w:val="en-US"/>
        </w:rPr>
        <w:t xml:space="preserve"> (MMDs), </w:t>
      </w:r>
      <w:r w:rsidR="005734C4" w:rsidRPr="00630D43">
        <w:rPr>
          <w:rFonts w:ascii="Times New Roman" w:hAnsi="Times New Roman" w:cs="Times New Roman"/>
          <w:lang w:val="en-US"/>
        </w:rPr>
        <w:t>monthly headache days (MHDs)</w:t>
      </w:r>
      <w:r w:rsidR="005734C4">
        <w:rPr>
          <w:rFonts w:ascii="Times New Roman" w:hAnsi="Times New Roman" w:cs="Times New Roman"/>
          <w:lang w:val="en-US"/>
        </w:rPr>
        <w:t xml:space="preserve">, </w:t>
      </w:r>
      <w:r w:rsidR="005734C4" w:rsidRPr="00630D43">
        <w:rPr>
          <w:rFonts w:ascii="Times New Roman" w:hAnsi="Times New Roman" w:cs="Times New Roman"/>
          <w:lang w:val="en-US"/>
        </w:rPr>
        <w:t>monthly analgesic intake</w:t>
      </w:r>
      <w:r w:rsidR="005734C4">
        <w:rPr>
          <w:rFonts w:ascii="Times New Roman" w:hAnsi="Times New Roman" w:cs="Times New Roman"/>
          <w:lang w:val="en-US"/>
        </w:rPr>
        <w:t xml:space="preserve">, </w:t>
      </w:r>
      <w:r w:rsidR="005734C4" w:rsidRPr="00630D43">
        <w:rPr>
          <w:rFonts w:ascii="Times New Roman" w:hAnsi="Times New Roman" w:cs="Times New Roman"/>
          <w:lang w:val="en-US"/>
        </w:rPr>
        <w:t xml:space="preserve">Numerical Rating Scale (NRS) </w:t>
      </w:r>
      <w:r w:rsidR="005734C4">
        <w:rPr>
          <w:rFonts w:ascii="Times New Roman" w:hAnsi="Times New Roman" w:cs="Times New Roman"/>
          <w:lang w:val="en-US"/>
        </w:rPr>
        <w:t xml:space="preserve">score, </w:t>
      </w:r>
      <w:r w:rsidR="005734C4" w:rsidRPr="00630D43">
        <w:rPr>
          <w:rFonts w:ascii="Times New Roman" w:hAnsi="Times New Roman" w:cs="Times New Roman"/>
          <w:lang w:val="en-US"/>
        </w:rPr>
        <w:t>Headache Impact Test-6 (HIT-6)</w:t>
      </w:r>
      <w:r w:rsidR="005734C4">
        <w:rPr>
          <w:rFonts w:ascii="Times New Roman" w:hAnsi="Times New Roman" w:cs="Times New Roman"/>
          <w:lang w:val="en-US"/>
        </w:rPr>
        <w:t xml:space="preserve"> score, and Migraine Disability Assessment Scale (MIDAS)</w:t>
      </w:r>
      <w:r w:rsidR="005734C4" w:rsidRPr="00630D43">
        <w:rPr>
          <w:rFonts w:ascii="Times New Roman" w:hAnsi="Times New Roman" w:cs="Times New Roman"/>
          <w:lang w:val="en-US"/>
        </w:rPr>
        <w:t xml:space="preserve"> score from baseline to</w:t>
      </w:r>
      <w:r w:rsidR="005734C4">
        <w:rPr>
          <w:rFonts w:ascii="Times New Roman" w:hAnsi="Times New Roman" w:cs="Times New Roman"/>
          <w:lang w:val="en-US"/>
        </w:rPr>
        <w:t xml:space="preserve"> week 12</w:t>
      </w:r>
      <w:r w:rsidR="005734C4" w:rsidRPr="00630D43">
        <w:rPr>
          <w:rFonts w:ascii="Times New Roman" w:hAnsi="Times New Roman" w:cs="Times New Roman"/>
          <w:lang w:val="en-US"/>
        </w:rPr>
        <w:t xml:space="preserve">. </w:t>
      </w:r>
    </w:p>
    <w:p w:rsidR="005734C4" w:rsidRPr="005734C4" w:rsidRDefault="005734C4" w:rsidP="005734C4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*p&lt;0.05 **p&lt;0.001</w:t>
      </w:r>
    </w:p>
    <w:tbl>
      <w:tblPr>
        <w:tblStyle w:val="TableGrid"/>
        <w:tblpPr w:leftFromText="141" w:rightFromText="141" w:vertAnchor="page" w:horzAnchor="margin" w:tblpY="2867"/>
        <w:tblW w:w="5261" w:type="pct"/>
        <w:tblLayout w:type="fixed"/>
        <w:tblLook w:val="04A0" w:firstRow="1" w:lastRow="0" w:firstColumn="1" w:lastColumn="0" w:noHBand="0" w:noVBand="1"/>
      </w:tblPr>
      <w:tblGrid>
        <w:gridCol w:w="4015"/>
        <w:gridCol w:w="1141"/>
        <w:gridCol w:w="1431"/>
        <w:gridCol w:w="1288"/>
        <w:gridCol w:w="1621"/>
        <w:gridCol w:w="1441"/>
        <w:gridCol w:w="1441"/>
        <w:gridCol w:w="1441"/>
        <w:gridCol w:w="1441"/>
      </w:tblGrid>
      <w:tr w:rsidR="005734C4" w:rsidRPr="006877D5" w:rsidTr="00D7471E">
        <w:trPr>
          <w:trHeight w:val="274"/>
        </w:trPr>
        <w:tc>
          <w:tcPr>
            <w:tcW w:w="1316" w:type="pct"/>
          </w:tcPr>
          <w:p w:rsidR="005734C4" w:rsidRPr="0063593F" w:rsidRDefault="005734C4" w:rsidP="00D7471E">
            <w:pPr>
              <w:spacing w:after="200" w:line="36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796" w:type="pct"/>
            <w:gridSpan w:val="4"/>
            <w:shd w:val="clear" w:color="auto" w:fill="auto"/>
          </w:tcPr>
          <w:p w:rsidR="005734C4" w:rsidRPr="00B40211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HFEM</w:t>
            </w:r>
          </w:p>
        </w:tc>
        <w:tc>
          <w:tcPr>
            <w:tcW w:w="1888" w:type="pct"/>
            <w:gridSpan w:val="4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CM</w:t>
            </w:r>
          </w:p>
        </w:tc>
      </w:tr>
      <w:tr w:rsidR="005734C4" w:rsidRPr="006877D5" w:rsidTr="00D7471E">
        <w:trPr>
          <w:trHeight w:val="256"/>
        </w:trPr>
        <w:tc>
          <w:tcPr>
            <w:tcW w:w="1316" w:type="pct"/>
          </w:tcPr>
          <w:p w:rsidR="005734C4" w:rsidRPr="0063593F" w:rsidRDefault="005734C4" w:rsidP="00D7471E">
            <w:pPr>
              <w:spacing w:after="200" w:line="36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374" w:type="pct"/>
            <w:shd w:val="clear" w:color="auto" w:fill="auto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Baseline</w:t>
            </w:r>
          </w:p>
        </w:tc>
        <w:tc>
          <w:tcPr>
            <w:tcW w:w="469" w:type="pct"/>
            <w:shd w:val="clear" w:color="auto" w:fill="auto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422" w:type="pct"/>
            <w:shd w:val="clear" w:color="auto" w:fill="auto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8</w:t>
            </w:r>
          </w:p>
        </w:tc>
        <w:tc>
          <w:tcPr>
            <w:tcW w:w="531" w:type="pct"/>
            <w:shd w:val="clear" w:color="auto" w:fill="auto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12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Baseline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8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12</w:t>
            </w:r>
          </w:p>
        </w:tc>
      </w:tr>
      <w:tr w:rsidR="005734C4" w:rsidRPr="006877D5" w:rsidTr="00D7471E">
        <w:trPr>
          <w:trHeight w:val="528"/>
        </w:trPr>
        <w:tc>
          <w:tcPr>
            <w:tcW w:w="1316" w:type="pct"/>
          </w:tcPr>
          <w:p w:rsidR="005734C4" w:rsidRDefault="005734C4" w:rsidP="00D7471E">
            <w:p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MMDs </w:t>
            </w: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(Mean ± SD)</w:t>
            </w:r>
          </w:p>
          <w:p w:rsidR="005734C4" w:rsidRPr="0063593F" w:rsidRDefault="005734C4" w:rsidP="00D7471E">
            <w:p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Change from baseline</w:t>
            </w:r>
          </w:p>
        </w:tc>
        <w:tc>
          <w:tcPr>
            <w:tcW w:w="374" w:type="pct"/>
          </w:tcPr>
          <w:p w:rsidR="005734C4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10.5±1.8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69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4.9±2.4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-5.6±2.9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2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4.5±2.8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-6.1±3.6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531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5.9±6.8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-4.6±6.5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</w:tr>
      <w:tr w:rsidR="005734C4" w:rsidRPr="006877D5" w:rsidTr="00D7471E">
        <w:trPr>
          <w:trHeight w:val="385"/>
        </w:trPr>
        <w:tc>
          <w:tcPr>
            <w:tcW w:w="1316" w:type="pct"/>
          </w:tcPr>
          <w:p w:rsidR="005734C4" w:rsidRPr="0063593F" w:rsidRDefault="005734C4" w:rsidP="00D7471E">
            <w:p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lastRenderedPageBreak/>
              <w:t xml:space="preserve">MHDs </w:t>
            </w: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(Mean ± SD)</w:t>
            </w:r>
          </w:p>
          <w:p w:rsidR="005734C4" w:rsidRPr="0063593F" w:rsidRDefault="005734C4" w:rsidP="00D7471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Change from baseline</w:t>
            </w:r>
          </w:p>
        </w:tc>
        <w:tc>
          <w:tcPr>
            <w:tcW w:w="374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469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42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531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20.0±5.2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11.7±7.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-8.2±6.1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11.7±8.6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-8.3±6.8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10.6±7.8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-9.4±6.9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5734C4" w:rsidRPr="006877D5" w:rsidTr="00D7471E">
        <w:trPr>
          <w:trHeight w:val="779"/>
        </w:trPr>
        <w:tc>
          <w:tcPr>
            <w:tcW w:w="1316" w:type="pct"/>
          </w:tcPr>
          <w:p w:rsidR="005734C4" w:rsidRPr="0063593F" w:rsidRDefault="005734C4" w:rsidP="00D7471E">
            <w:p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Monthly analgesics intake </w:t>
            </w: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(Mean ± SD)</w:t>
            </w:r>
          </w:p>
          <w:p w:rsidR="005734C4" w:rsidRPr="0063593F" w:rsidRDefault="005734C4" w:rsidP="00D7471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Change from baseline</w:t>
            </w:r>
          </w:p>
        </w:tc>
        <w:tc>
          <w:tcPr>
            <w:tcW w:w="374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11.9±7.1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69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4.6±2.7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-7.2±6.7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2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4.3±3.7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-7.5±5.8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531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</w:rPr>
              <w:t>6.2</w:t>
            </w: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±7.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-5.7±6.6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22.4±18.5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13.4±15.7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-9.6±13.1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14.1±16.6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-8.2±9.2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</w:rPr>
              <w:t>11.3</w:t>
            </w: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±10.8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-11.1±14.2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5734C4" w:rsidRPr="006877D5" w:rsidTr="00D7471E">
        <w:trPr>
          <w:trHeight w:val="779"/>
        </w:trPr>
        <w:tc>
          <w:tcPr>
            <w:tcW w:w="1316" w:type="pct"/>
          </w:tcPr>
          <w:p w:rsidR="005734C4" w:rsidRPr="0063593F" w:rsidRDefault="005734C4" w:rsidP="00D7471E">
            <w:p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NRS score </w:t>
            </w: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(Mean ± SD)</w:t>
            </w:r>
          </w:p>
          <w:p w:rsidR="005734C4" w:rsidRPr="0063593F" w:rsidRDefault="005734C4" w:rsidP="00D7471E">
            <w:pPr>
              <w:spacing w:after="200" w:line="36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Change from baseline</w:t>
            </w:r>
          </w:p>
        </w:tc>
        <w:tc>
          <w:tcPr>
            <w:tcW w:w="374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8.5±1.2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69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6.1±2.1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-2.5±2.5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42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5.6±1.5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-2.9±1.9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531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5.4±2.1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-3.1±2.5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8.6±1.1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6.8±1.8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-1.7±1.8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6.9±1.6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-1.7±1.7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</w:rPr>
              <w:t>6.1</w:t>
            </w: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±2.3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-2.5±2.7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5734C4" w:rsidRPr="006877D5" w:rsidTr="00D7471E">
        <w:trPr>
          <w:trHeight w:val="779"/>
        </w:trPr>
        <w:tc>
          <w:tcPr>
            <w:tcW w:w="1316" w:type="pct"/>
          </w:tcPr>
          <w:p w:rsidR="005734C4" w:rsidRPr="0063593F" w:rsidRDefault="005734C4" w:rsidP="00D7471E">
            <w:p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HIT-6 </w:t>
            </w: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(Mean ± SD)</w:t>
            </w:r>
          </w:p>
          <w:p w:rsidR="005734C4" w:rsidRPr="0063593F" w:rsidRDefault="005734C4" w:rsidP="00D7471E">
            <w:pPr>
              <w:spacing w:after="200" w:line="36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Change from baseline</w:t>
            </w:r>
          </w:p>
        </w:tc>
        <w:tc>
          <w:tcPr>
            <w:tcW w:w="374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68.2±3.4</w:t>
            </w:r>
          </w:p>
          <w:p w:rsidR="005734C4" w:rsidRPr="0063593F" w:rsidRDefault="005734C4" w:rsidP="00D7471E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469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64.1±3.4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-4.1±10.2</w:t>
            </w:r>
          </w:p>
        </w:tc>
        <w:tc>
          <w:tcPr>
            <w:tcW w:w="42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56.2±5.5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-12.3±5.5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531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50.6±14.5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-18.1±13.2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63.7±20.8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58.6±7.1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-4.5±21.3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61.8±9.6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-1.2±20.1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60.9±8.2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0.3±23.3</w:t>
            </w:r>
          </w:p>
        </w:tc>
      </w:tr>
      <w:tr w:rsidR="005734C4" w:rsidRPr="006877D5" w:rsidTr="00D7471E">
        <w:trPr>
          <w:trHeight w:val="722"/>
        </w:trPr>
        <w:tc>
          <w:tcPr>
            <w:tcW w:w="1316" w:type="pct"/>
          </w:tcPr>
          <w:p w:rsidR="005734C4" w:rsidRPr="0063593F" w:rsidRDefault="005734C4" w:rsidP="00D7471E">
            <w:p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MIDAS</w:t>
            </w: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 xml:space="preserve"> (Mean ± SD)</w:t>
            </w:r>
          </w:p>
          <w:p w:rsidR="005734C4" w:rsidRPr="0063593F" w:rsidRDefault="005734C4" w:rsidP="00D7471E">
            <w:pPr>
              <w:spacing w:after="200" w:line="36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Change from baseline</w:t>
            </w:r>
          </w:p>
        </w:tc>
        <w:tc>
          <w:tcPr>
            <w:tcW w:w="374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78.9±50.5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469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2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531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21.0±11.6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-58.3±57.7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94.5±48</w:t>
            </w:r>
          </w:p>
          <w:p w:rsidR="005734C4" w:rsidRPr="0063593F" w:rsidRDefault="005734C4" w:rsidP="00D7471E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52.1±69.9</w:t>
            </w:r>
          </w:p>
          <w:p w:rsidR="005734C4" w:rsidRPr="0063593F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-43.7±63.4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</w:tbl>
    <w:p w:rsidR="005734C4" w:rsidRPr="006877D5" w:rsidRDefault="005734C4" w:rsidP="005734C4">
      <w:pPr>
        <w:tabs>
          <w:tab w:val="left" w:pos="13166"/>
        </w:tabs>
        <w:spacing w:line="240" w:lineRule="auto"/>
        <w:contextualSpacing/>
        <w:rPr>
          <w:rFonts w:ascii="Times New Roman" w:hAnsi="Times New Roman" w:cs="Times New Roman"/>
          <w:b/>
          <w:bCs/>
          <w:lang w:val="en-US"/>
        </w:rPr>
        <w:sectPr w:rsidR="005734C4" w:rsidRPr="006877D5" w:rsidSect="00535680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5734C4" w:rsidRPr="00CD1E33" w:rsidRDefault="001B6F14" w:rsidP="005734C4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02629">
        <w:rPr>
          <w:rFonts w:ascii="Times New Roman" w:hAnsi="Times New Roman" w:cs="Times New Roman"/>
          <w:b/>
          <w:lang w:val="en-US"/>
        </w:rPr>
        <w:lastRenderedPageBreak/>
        <w:t>T</w:t>
      </w:r>
      <w:r w:rsidR="005734C4" w:rsidRPr="00702629">
        <w:rPr>
          <w:rFonts w:ascii="Times New Roman" w:hAnsi="Times New Roman" w:cs="Times New Roman"/>
          <w:b/>
          <w:lang w:val="en-US"/>
        </w:rPr>
        <w:t xml:space="preserve">able </w:t>
      </w:r>
      <w:r>
        <w:rPr>
          <w:rFonts w:ascii="Times New Roman" w:hAnsi="Times New Roman" w:cs="Times New Roman"/>
          <w:b/>
          <w:lang w:val="en-US"/>
        </w:rPr>
        <w:t>S</w:t>
      </w:r>
      <w:r w:rsidR="005734C4" w:rsidRPr="00702629">
        <w:rPr>
          <w:rFonts w:ascii="Times New Roman" w:hAnsi="Times New Roman" w:cs="Times New Roman"/>
          <w:b/>
          <w:lang w:val="en-US"/>
        </w:rPr>
        <w:t>2</w:t>
      </w:r>
      <w:bookmarkStart w:id="0" w:name="_GoBack"/>
      <w:bookmarkEnd w:id="0"/>
      <w:r w:rsidR="005734C4" w:rsidRPr="00702629">
        <w:rPr>
          <w:rFonts w:ascii="Times New Roman" w:hAnsi="Times New Roman" w:cs="Times New Roman"/>
          <w:bCs/>
          <w:lang w:val="en-US"/>
        </w:rPr>
        <w:t xml:space="preserve">. </w:t>
      </w:r>
      <w:r w:rsidR="005734C4" w:rsidRPr="00702629">
        <w:rPr>
          <w:rFonts w:ascii="Times New Roman" w:hAnsi="Times New Roman" w:cs="Times New Roman"/>
          <w:lang w:val="en-US"/>
        </w:rPr>
        <w:t>Univariate analysis of independent determinant of ≥50% response in patients with high-frequency episodic migraine (HFEM) or chronic migraine (CM)</w:t>
      </w:r>
    </w:p>
    <w:tbl>
      <w:tblPr>
        <w:tblStyle w:val="TableGrid"/>
        <w:tblW w:w="5168" w:type="pct"/>
        <w:tblLayout w:type="fixed"/>
        <w:tblLook w:val="04A0" w:firstRow="1" w:lastRow="0" w:firstColumn="1" w:lastColumn="0" w:noHBand="0" w:noVBand="1"/>
      </w:tblPr>
      <w:tblGrid>
        <w:gridCol w:w="2759"/>
        <w:gridCol w:w="1334"/>
        <w:gridCol w:w="1427"/>
        <w:gridCol w:w="952"/>
        <w:gridCol w:w="1332"/>
        <w:gridCol w:w="1237"/>
        <w:gridCol w:w="857"/>
      </w:tblGrid>
      <w:tr w:rsidR="005734C4" w:rsidRPr="00702629" w:rsidTr="00D7471E">
        <w:trPr>
          <w:trHeight w:val="436"/>
        </w:trPr>
        <w:tc>
          <w:tcPr>
            <w:tcW w:w="1393" w:type="pct"/>
          </w:tcPr>
          <w:p w:rsidR="005734C4" w:rsidRPr="00CD1E33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2"/>
                <w:szCs w:val="22"/>
                <w:lang w:val="en-US"/>
              </w:rPr>
            </w:pPr>
          </w:p>
        </w:tc>
        <w:tc>
          <w:tcPr>
            <w:tcW w:w="1876" w:type="pct"/>
            <w:gridSpan w:val="3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HFEM</w:t>
            </w:r>
          </w:p>
        </w:tc>
        <w:tc>
          <w:tcPr>
            <w:tcW w:w="1731" w:type="pct"/>
            <w:gridSpan w:val="3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CM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&lt;50% response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en-US"/>
              </w:rPr>
              <w:t>&gt;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50%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response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  <w:lang w:val="en-US"/>
              </w:rPr>
              <w:t>p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-value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&lt;50% response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en-US"/>
              </w:rPr>
              <w:t>&gt;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50%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response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  <w:lang w:val="en-US"/>
              </w:rPr>
              <w:t>p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-value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Patients,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 (23.5)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 (76.5)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15 (41.7)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 (58.3)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Age, </w:t>
            </w:r>
            <w:proofErr w:type="spellStart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yrs</w:t>
            </w:r>
            <w:proofErr w:type="spellEnd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  <w:proofErr w:type="spellEnd"/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49.0±11.0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47.1±12.2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55.1±8.9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42.7±10.6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0.001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Females,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n (%)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(50.0)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(76.9)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(80.0)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 (80.9)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BMI, </w:t>
            </w:r>
            <w:proofErr w:type="spellStart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  <w:proofErr w:type="spellEnd"/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24.2±3.4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23.3±2.5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24.4±4.4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24.0±4.0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Age at CM onset,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  <w:proofErr w:type="spellEnd"/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37.2±15.4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31.9±11.2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Disease duration, </w:t>
            </w:r>
            <w:proofErr w:type="spellStart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  <w:proofErr w:type="spellEnd"/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20.3±6.2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31.8±13.5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34.5±15.3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26.5±13.1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MMDs at baseline, </w:t>
            </w:r>
            <w:proofErr w:type="spellStart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  <w:proofErr w:type="spellEnd"/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10.7±2.5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10.5±1.7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21.1±5.1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19.3±5.2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NRS score, </w:t>
            </w:r>
            <w:proofErr w:type="spellStart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  <w:proofErr w:type="spellEnd"/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9.3±0.9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8.3±1.3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8.5±1.4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8.7±0.9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Pain location</w:t>
            </w:r>
            <w:r w:rsidRPr="00B84CE6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, n (%)</w:t>
            </w:r>
          </w:p>
          <w:p w:rsidR="005734C4" w:rsidRPr="00702629" w:rsidRDefault="005734C4" w:rsidP="00D7471E">
            <w:pPr>
              <w:pStyle w:val="ListParagraph"/>
              <w:spacing w:line="360" w:lineRule="auto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Unilateral</w:t>
            </w:r>
          </w:p>
          <w:p w:rsidR="005734C4" w:rsidRPr="00702629" w:rsidRDefault="005734C4" w:rsidP="00D7471E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Unilateral, bilateral</w:t>
            </w:r>
          </w:p>
          <w:p w:rsidR="005734C4" w:rsidRPr="00702629" w:rsidRDefault="005734C4" w:rsidP="00D7471E">
            <w:pPr>
              <w:pStyle w:val="ListParagraph"/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</w:rPr>
              <w:t>Bilateral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6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6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  <w:p w:rsidR="005734C4" w:rsidRPr="00702629" w:rsidRDefault="005734C4" w:rsidP="00D7471E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pct"/>
          </w:tcPr>
          <w:p w:rsidR="005734C4" w:rsidRPr="00702629" w:rsidRDefault="005734C4" w:rsidP="00D7471E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6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42.9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6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42.9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(14.2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7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41.1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9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52.9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6.0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Pain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quality, n (%)</w:t>
            </w:r>
          </w:p>
          <w:p w:rsidR="005734C4" w:rsidRPr="00702629" w:rsidRDefault="005734C4" w:rsidP="00D7471E">
            <w:pPr>
              <w:pStyle w:val="ListParagraph"/>
              <w:spacing w:line="360" w:lineRule="auto"/>
              <w:jc w:val="right"/>
              <w:rPr>
                <w:rFonts w:ascii="Times New Roman" w:hAnsi="Times New Roman" w:cs="Times New Roman"/>
                <w:bCs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i/>
                <w:sz w:val="22"/>
                <w:szCs w:val="22"/>
                <w:lang w:val="en-US"/>
              </w:rPr>
              <w:t>Pulsating</w:t>
            </w:r>
          </w:p>
          <w:p w:rsidR="005734C4" w:rsidRPr="00702629" w:rsidRDefault="005734C4" w:rsidP="00D7471E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i/>
                <w:sz w:val="22"/>
                <w:szCs w:val="22"/>
                <w:lang w:val="en-US"/>
              </w:rPr>
              <w:t>Pressing/tightening</w:t>
            </w:r>
          </w:p>
          <w:p w:rsidR="005734C4" w:rsidRPr="00702629" w:rsidRDefault="005734C4" w:rsidP="00D7471E">
            <w:pPr>
              <w:pStyle w:val="ListParagraph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i/>
                <w:sz w:val="22"/>
                <w:szCs w:val="22"/>
                <w:lang w:val="en-US"/>
              </w:rPr>
              <w:t>Other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(33.3)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7(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58.3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16.7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3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5.0)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  <w:p w:rsidR="005734C4" w:rsidRPr="00702629" w:rsidRDefault="005734C4" w:rsidP="00D7471E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pct"/>
          </w:tcPr>
          <w:p w:rsidR="005734C4" w:rsidRPr="00702629" w:rsidRDefault="005734C4" w:rsidP="00D7471E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61.5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38.5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57.1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19.0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23.8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As,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 (6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6.7)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 (83.3)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14 (66.7)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0D6801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Allodynia</w:t>
            </w:r>
            <w:proofErr w:type="gramStart"/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,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</w:t>
            </w:r>
            <w:proofErr w:type="spellEnd"/>
            <w:proofErr w:type="gramEnd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(%)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33.3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75.0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69.2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47.6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0D6801" w:rsidRDefault="005734C4" w:rsidP="00D7471E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Dopaminergic symptoms,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58.3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53.8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61.9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MAI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at baseline, </w:t>
            </w:r>
            <w:proofErr w:type="spellStart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  <w:proofErr w:type="spellEnd"/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18.0±11.7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10.0±4.2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0.046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27.7±18.3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18.5±18.2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MO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86.7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18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85.7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Duration of MO, </w:t>
            </w:r>
            <w:proofErr w:type="spellStart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yrs</w:t>
            </w:r>
            <w:proofErr w:type="spellEnd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  <w:proofErr w:type="spellEnd"/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40.4±49.5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13.8±12.1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0.041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lastRenderedPageBreak/>
              <w:t>Triptan</w:t>
            </w:r>
            <w:proofErr w:type="spellEnd"/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responders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5.0)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69.2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60.0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61.9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oncomitant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prophylaxis,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pts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  <w:p w:rsidR="005734C4" w:rsidRPr="00702629" w:rsidRDefault="005734C4" w:rsidP="00D7471E">
            <w:pPr>
              <w:pStyle w:val="ListParagraph"/>
              <w:spacing w:line="360" w:lineRule="auto"/>
              <w:ind w:left="714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Tricyclics</w:t>
            </w:r>
          </w:p>
          <w:p w:rsidR="005734C4" w:rsidRPr="00702629" w:rsidRDefault="005734C4" w:rsidP="00D7471E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Anticonvulsants</w:t>
            </w:r>
          </w:p>
          <w:p w:rsidR="005734C4" w:rsidRDefault="005734C4" w:rsidP="00D7471E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Calcium-antagonists </w:t>
            </w:r>
          </w:p>
          <w:p w:rsidR="005734C4" w:rsidRPr="00702629" w:rsidRDefault="005734C4" w:rsidP="00D7471E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Serotoninergic antagonists</w:t>
            </w:r>
          </w:p>
          <w:p w:rsidR="005734C4" w:rsidRPr="00702629" w:rsidRDefault="005734C4" w:rsidP="00D7471E">
            <w:pPr>
              <w:pStyle w:val="ListParagraph"/>
              <w:spacing w:line="360" w:lineRule="auto"/>
              <w:ind w:left="714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Beta-blockers</w:t>
            </w:r>
          </w:p>
          <w:p w:rsidR="005734C4" w:rsidRPr="00702629" w:rsidRDefault="005734C4" w:rsidP="00D7471E">
            <w:pPr>
              <w:pStyle w:val="ListParagraph"/>
              <w:spacing w:line="360" w:lineRule="auto"/>
              <w:ind w:left="714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proofErr w:type="spellStart"/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BoNT</w:t>
            </w:r>
            <w:proofErr w:type="spellEnd"/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/A</w:t>
            </w:r>
          </w:p>
          <w:p w:rsidR="005734C4" w:rsidRPr="00702629" w:rsidRDefault="005734C4" w:rsidP="00D7471E">
            <w:pPr>
              <w:pStyle w:val="ListParagraph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Other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(75.0)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5734C4" w:rsidRPr="00702629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5734C4" w:rsidRPr="00702629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5734C4" w:rsidRPr="00702629" w:rsidRDefault="005734C4" w:rsidP="00D7471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 (30.8)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50.0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8(53.3)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3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37.5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25.0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12.5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25.0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2(50.0)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14 (66.7)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14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5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35.7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3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21.4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4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28.6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5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35.7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Prior treatment failures, </w:t>
            </w:r>
            <w:proofErr w:type="spellStart"/>
            <w:r w:rsidRPr="007026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mean±SD</w:t>
            </w:r>
            <w:proofErr w:type="spellEnd"/>
          </w:p>
          <w:p w:rsidR="005734C4" w:rsidRPr="00702629" w:rsidRDefault="005734C4" w:rsidP="00D7471E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1-2</w:t>
            </w:r>
          </w:p>
          <w:p w:rsidR="005734C4" w:rsidRPr="00702629" w:rsidRDefault="005734C4" w:rsidP="00D7471E">
            <w:pPr>
              <w:pStyle w:val="ListParagraph"/>
              <w:spacing w:line="360" w:lineRule="auto"/>
              <w:ind w:left="714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3-4</w:t>
            </w:r>
          </w:p>
          <w:p w:rsidR="005734C4" w:rsidRPr="00702629" w:rsidRDefault="005734C4" w:rsidP="00D7471E">
            <w:pPr>
              <w:pStyle w:val="ListParagraph"/>
              <w:spacing w:line="360" w:lineRule="auto"/>
              <w:ind w:left="714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&gt;4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4.0±2.2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25.0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 (25.0)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3.9±1.4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15.4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61.5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23.1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5.4±3.3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6.6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46.7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46.7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4.2±1.7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72.2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27.8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A46A5" w:rsidRDefault="005734C4" w:rsidP="00D7471E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BoNT</w:t>
            </w:r>
            <w:proofErr w:type="spellEnd"/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/A responders,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(100)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  (100)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0.06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 (33.3)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(50.0)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Pts with 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≥1 comorbidity,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0151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pts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(21.4)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 (78.6)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 (40.0)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 (60.0)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702629" w:rsidRDefault="005734C4" w:rsidP="00D7471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Pts with p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sychiatric comorbidities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 (0.0)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25.0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20.0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19.0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0151D5" w:rsidRDefault="005734C4" w:rsidP="00D7471E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HIT-6 score at baseline, </w:t>
            </w:r>
            <w:proofErr w:type="spellStart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  <w:proofErr w:type="spellEnd"/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68.7±2.7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68.1±3.7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69.2±4.5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50.7±32.9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0.038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Pr="000151D5" w:rsidRDefault="005734C4" w:rsidP="00D7471E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MIDAS score at baseline, </w:t>
            </w:r>
            <w:proofErr w:type="spellStart"/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  <w:proofErr w:type="spellEnd"/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83.2±33.2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77.5±55.8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96.5±44.6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92.9±51.5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5734C4" w:rsidRPr="00702629" w:rsidTr="00D7471E">
        <w:tc>
          <w:tcPr>
            <w:tcW w:w="1393" w:type="pct"/>
          </w:tcPr>
          <w:p w:rsidR="005734C4" w:rsidRDefault="005734C4" w:rsidP="00D7471E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</w:pPr>
            <w:proofErr w:type="spellStart"/>
            <w:r w:rsidRPr="0070262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en-US"/>
              </w:rPr>
              <w:t>Fremanezumab</w:t>
            </w:r>
            <w:proofErr w:type="spellEnd"/>
            <w:r w:rsidRPr="0070262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en-US"/>
              </w:rPr>
              <w:t xml:space="preserve"> dosing regimen, </w:t>
            </w:r>
            <w:r w:rsidRPr="000151D5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>n (%)</w:t>
            </w:r>
          </w:p>
          <w:p w:rsidR="005734C4" w:rsidRPr="000151D5" w:rsidRDefault="005734C4" w:rsidP="00D7471E">
            <w:pPr>
              <w:spacing w:line="360" w:lineRule="auto"/>
              <w:jc w:val="right"/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Monthly</w:t>
            </w:r>
          </w:p>
          <w:p w:rsidR="005734C4" w:rsidRPr="00702629" w:rsidRDefault="005734C4" w:rsidP="00D7471E">
            <w:pPr>
              <w:spacing w:line="360" w:lineRule="auto"/>
              <w:ind w:left="714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Quarterly</w:t>
            </w:r>
          </w:p>
        </w:tc>
        <w:tc>
          <w:tcPr>
            <w:tcW w:w="674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25.0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(75.0)</w:t>
            </w:r>
          </w:p>
        </w:tc>
        <w:tc>
          <w:tcPr>
            <w:tcW w:w="721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92.3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7.7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81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0.022</w:t>
            </w:r>
          </w:p>
        </w:tc>
        <w:tc>
          <w:tcPr>
            <w:tcW w:w="673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66.7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33.3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433" w:type="pct"/>
            <w:vAlign w:val="center"/>
          </w:tcPr>
          <w:p w:rsidR="005734C4" w:rsidRPr="00702629" w:rsidRDefault="005734C4" w:rsidP="00D747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0.008</w:t>
            </w:r>
          </w:p>
        </w:tc>
      </w:tr>
    </w:tbl>
    <w:p w:rsidR="005734C4" w:rsidRDefault="005734C4" w:rsidP="005734C4">
      <w:pPr>
        <w:spacing w:line="360" w:lineRule="auto"/>
        <w:rPr>
          <w:rFonts w:ascii="Times New Roman" w:hAnsi="Times New Roman" w:cs="Times New Roman"/>
          <w:i/>
          <w:iCs/>
          <w:lang w:val="en-US"/>
        </w:rPr>
      </w:pPr>
    </w:p>
    <w:p w:rsidR="00531907" w:rsidRPr="005734C4" w:rsidRDefault="005734C4" w:rsidP="005734C4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CM = chronic migraine; </w:t>
      </w:r>
      <w:r w:rsidRPr="00DE33FE">
        <w:rPr>
          <w:rFonts w:ascii="Times New Roman" w:hAnsi="Times New Roman" w:cs="Times New Roman"/>
          <w:lang w:val="en-US"/>
        </w:rPr>
        <w:t xml:space="preserve">BMI: body mass index; MMDs: monthly migraine days; MHDs: monthly headache days; NRS= numerical rating scale; </w:t>
      </w:r>
      <w:r>
        <w:rPr>
          <w:rFonts w:ascii="Times New Roman" w:hAnsi="Times New Roman" w:cs="Times New Roman"/>
          <w:lang w:val="en-US"/>
        </w:rPr>
        <w:t xml:space="preserve">UAs = unilateral cranial autonomic symptoms; MAI = </w:t>
      </w:r>
      <w:r>
        <w:rPr>
          <w:rFonts w:ascii="Times New Roman" w:hAnsi="Times New Roman" w:cs="Times New Roman"/>
          <w:lang w:val="en-US"/>
        </w:rPr>
        <w:lastRenderedPageBreak/>
        <w:t xml:space="preserve">monthly analgesic intake; </w:t>
      </w:r>
      <w:r w:rsidRPr="00DE33FE">
        <w:rPr>
          <w:rFonts w:ascii="Times New Roman" w:hAnsi="Times New Roman" w:cs="Times New Roman"/>
          <w:lang w:val="en-US"/>
        </w:rPr>
        <w:t xml:space="preserve">MO= medication overuse; </w:t>
      </w:r>
      <w:proofErr w:type="spellStart"/>
      <w:r w:rsidRPr="00DE33FE">
        <w:rPr>
          <w:rFonts w:ascii="Times New Roman" w:hAnsi="Times New Roman" w:cs="Times New Roman"/>
          <w:lang w:val="en-US"/>
        </w:rPr>
        <w:t>BoNT</w:t>
      </w:r>
      <w:proofErr w:type="spellEnd"/>
      <w:r w:rsidRPr="00DE33FE">
        <w:rPr>
          <w:rFonts w:ascii="Times New Roman" w:hAnsi="Times New Roman" w:cs="Times New Roman"/>
          <w:lang w:val="en-US"/>
        </w:rPr>
        <w:t>/A=</w:t>
      </w:r>
      <w:proofErr w:type="spellStart"/>
      <w:r w:rsidRPr="00DE33FE">
        <w:rPr>
          <w:rFonts w:ascii="Times New Roman" w:hAnsi="Times New Roman" w:cs="Times New Roman"/>
          <w:lang w:val="en-US"/>
        </w:rPr>
        <w:t>onabotulinum</w:t>
      </w:r>
      <w:proofErr w:type="spellEnd"/>
      <w:r w:rsidRPr="00DE33FE">
        <w:rPr>
          <w:rFonts w:ascii="Times New Roman" w:hAnsi="Times New Roman" w:cs="Times New Roman"/>
          <w:lang w:val="en-US"/>
        </w:rPr>
        <w:t xml:space="preserve"> toxin A; HIT-6: Headache Impact Test-6; MIDAS=migraine disability assessment test. </w:t>
      </w:r>
    </w:p>
    <w:sectPr w:rsidR="00531907" w:rsidRPr="00573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C4"/>
    <w:rsid w:val="000055BE"/>
    <w:rsid w:val="000101C2"/>
    <w:rsid w:val="00031E71"/>
    <w:rsid w:val="00037BC8"/>
    <w:rsid w:val="00047344"/>
    <w:rsid w:val="0006199C"/>
    <w:rsid w:val="000818F0"/>
    <w:rsid w:val="000A54D9"/>
    <w:rsid w:val="000E788B"/>
    <w:rsid w:val="001B6F14"/>
    <w:rsid w:val="0029568E"/>
    <w:rsid w:val="002D7877"/>
    <w:rsid w:val="002E1B41"/>
    <w:rsid w:val="003132CC"/>
    <w:rsid w:val="003241DD"/>
    <w:rsid w:val="00327332"/>
    <w:rsid w:val="00332E99"/>
    <w:rsid w:val="00345B83"/>
    <w:rsid w:val="003737EF"/>
    <w:rsid w:val="00384CEC"/>
    <w:rsid w:val="003F0315"/>
    <w:rsid w:val="003F22CA"/>
    <w:rsid w:val="004147EF"/>
    <w:rsid w:val="004C75E6"/>
    <w:rsid w:val="004D04D4"/>
    <w:rsid w:val="004F6618"/>
    <w:rsid w:val="00502062"/>
    <w:rsid w:val="00531907"/>
    <w:rsid w:val="00532A8A"/>
    <w:rsid w:val="005734C4"/>
    <w:rsid w:val="00577D59"/>
    <w:rsid w:val="005D35A0"/>
    <w:rsid w:val="0061302F"/>
    <w:rsid w:val="00613EF1"/>
    <w:rsid w:val="00637036"/>
    <w:rsid w:val="006A1C0D"/>
    <w:rsid w:val="006A21E8"/>
    <w:rsid w:val="006C5FD3"/>
    <w:rsid w:val="006D1921"/>
    <w:rsid w:val="006F082D"/>
    <w:rsid w:val="006F433A"/>
    <w:rsid w:val="0070272C"/>
    <w:rsid w:val="007128D7"/>
    <w:rsid w:val="00722C56"/>
    <w:rsid w:val="00726DF2"/>
    <w:rsid w:val="007363C0"/>
    <w:rsid w:val="00736855"/>
    <w:rsid w:val="0074547D"/>
    <w:rsid w:val="007C20BF"/>
    <w:rsid w:val="00805E84"/>
    <w:rsid w:val="008065BC"/>
    <w:rsid w:val="008604C6"/>
    <w:rsid w:val="0089489C"/>
    <w:rsid w:val="008C368E"/>
    <w:rsid w:val="008D4A01"/>
    <w:rsid w:val="008E13E0"/>
    <w:rsid w:val="0090365C"/>
    <w:rsid w:val="00912943"/>
    <w:rsid w:val="009514A3"/>
    <w:rsid w:val="009552C5"/>
    <w:rsid w:val="009D3B0E"/>
    <w:rsid w:val="009E6B2D"/>
    <w:rsid w:val="00A0150C"/>
    <w:rsid w:val="00A0695D"/>
    <w:rsid w:val="00A15F99"/>
    <w:rsid w:val="00A51B89"/>
    <w:rsid w:val="00A60B53"/>
    <w:rsid w:val="00B80BB9"/>
    <w:rsid w:val="00BC4D3E"/>
    <w:rsid w:val="00BD50D0"/>
    <w:rsid w:val="00BD7D0D"/>
    <w:rsid w:val="00C15A68"/>
    <w:rsid w:val="00C4000B"/>
    <w:rsid w:val="00C42BC7"/>
    <w:rsid w:val="00C876ED"/>
    <w:rsid w:val="00C91DB9"/>
    <w:rsid w:val="00CC5663"/>
    <w:rsid w:val="00DC6699"/>
    <w:rsid w:val="00E118D1"/>
    <w:rsid w:val="00E229C5"/>
    <w:rsid w:val="00E2680E"/>
    <w:rsid w:val="00E330AC"/>
    <w:rsid w:val="00E5372F"/>
    <w:rsid w:val="00E92B63"/>
    <w:rsid w:val="00ED0F3F"/>
    <w:rsid w:val="00EE0B88"/>
    <w:rsid w:val="00F0465E"/>
    <w:rsid w:val="00F1209D"/>
    <w:rsid w:val="00F20B85"/>
    <w:rsid w:val="00F6758C"/>
    <w:rsid w:val="00FE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C4"/>
    <w:rPr>
      <w:rFonts w:eastAsiaTheme="minorEastAsia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34C4"/>
    <w:pPr>
      <w:spacing w:after="0" w:line="240" w:lineRule="auto"/>
    </w:pPr>
    <w:rPr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34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C4"/>
    <w:rPr>
      <w:rFonts w:eastAsiaTheme="minorEastAsia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34C4"/>
    <w:pPr>
      <w:spacing w:after="0" w:line="240" w:lineRule="auto"/>
    </w:pPr>
    <w:rPr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3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Olano</dc:creator>
  <cp:lastModifiedBy>Julie Olano</cp:lastModifiedBy>
  <cp:revision>2</cp:revision>
  <dcterms:created xsi:type="dcterms:W3CDTF">2022-02-02T10:59:00Z</dcterms:created>
  <dcterms:modified xsi:type="dcterms:W3CDTF">2022-02-03T08:26:00Z</dcterms:modified>
</cp:coreProperties>
</file>