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A21" w:rsidRDefault="00583B4E">
      <w:pPr>
        <w:rPr>
          <w:rFonts w:ascii="Times New Roman" w:hAnsi="Times New Roman" w:cs="Times New Roman"/>
          <w:b/>
          <w:sz w:val="24"/>
        </w:rPr>
      </w:pPr>
      <w:r w:rsidRPr="00583B4E">
        <w:rPr>
          <w:rFonts w:ascii="Times New Roman" w:hAnsi="Times New Roman" w:cs="Times New Roman"/>
          <w:b/>
          <w:sz w:val="24"/>
        </w:rPr>
        <w:t>Supplementa</w:t>
      </w:r>
      <w:r w:rsidR="0039713B">
        <w:rPr>
          <w:rFonts w:ascii="Times New Roman" w:hAnsi="Times New Roman" w:cs="Times New Roman" w:hint="eastAsia"/>
          <w:b/>
          <w:sz w:val="24"/>
        </w:rPr>
        <w:t>ry</w:t>
      </w:r>
      <w:r w:rsidRPr="00583B4E">
        <w:rPr>
          <w:rFonts w:ascii="Times New Roman" w:hAnsi="Times New Roman" w:cs="Times New Roman"/>
          <w:b/>
          <w:sz w:val="24"/>
        </w:rPr>
        <w:t xml:space="preserve"> </w:t>
      </w:r>
      <w:r w:rsidR="00C810EE">
        <w:rPr>
          <w:rFonts w:ascii="Times New Roman" w:hAnsi="Times New Roman" w:cs="Times New Roman"/>
          <w:b/>
          <w:sz w:val="24"/>
        </w:rPr>
        <w:t>Materials</w:t>
      </w:r>
    </w:p>
    <w:p w:rsidR="00583B4E" w:rsidRDefault="00583B4E">
      <w:pPr>
        <w:rPr>
          <w:rFonts w:ascii="Times New Roman" w:hAnsi="Times New Roman" w:cs="Times New Roman"/>
          <w:b/>
          <w:sz w:val="24"/>
        </w:rPr>
      </w:pPr>
    </w:p>
    <w:p w:rsidR="00B67EB1" w:rsidRDefault="00B67EB1" w:rsidP="00C810EE">
      <w:pPr>
        <w:tabs>
          <w:tab w:val="left" w:pos="2415"/>
        </w:tabs>
        <w:rPr>
          <w:rFonts w:ascii="Times New Roman" w:hAnsi="Times New Roman" w:cs="Times New Roman"/>
          <w:b/>
          <w:sz w:val="24"/>
        </w:rPr>
      </w:pPr>
      <w:r w:rsidRPr="00B67EB1">
        <w:rPr>
          <w:rFonts w:ascii="Times New Roman" w:hAnsi="Times New Roman" w:cs="Times New Roman"/>
          <w:b/>
          <w:sz w:val="24"/>
        </w:rPr>
        <w:t xml:space="preserve">Table S1. </w:t>
      </w:r>
      <w:r w:rsidRPr="00B67EB1">
        <w:rPr>
          <w:rFonts w:ascii="Times New Roman" w:hAnsi="Times New Roman" w:cs="Times New Roman"/>
          <w:sz w:val="24"/>
        </w:rPr>
        <w:t>Association between migraine and risk of dementia among individuals who diagnosed migraine before age of 60</w:t>
      </w:r>
    </w:p>
    <w:p w:rsidR="00581553" w:rsidRPr="00581553" w:rsidRDefault="00B67EB1" w:rsidP="00B67EB1">
      <w:pPr>
        <w:rPr>
          <w:rFonts w:ascii="Times New Roman" w:hAnsi="Times New Roman" w:cs="Times New Roman"/>
          <w:sz w:val="24"/>
        </w:rPr>
      </w:pPr>
      <w:r w:rsidRPr="00B67EB1">
        <w:rPr>
          <w:rFonts w:ascii="Times" w:eastAsia="맑은 고딕" w:hAnsi="Times" w:cs="Times"/>
          <w:b/>
          <w:bCs/>
          <w:kern w:val="0"/>
          <w:sz w:val="24"/>
          <w:szCs w:val="24"/>
        </w:rPr>
        <w:t xml:space="preserve">Table S2. </w:t>
      </w:r>
      <w:r w:rsidRPr="00B67EB1">
        <w:rPr>
          <w:rFonts w:ascii="Times" w:eastAsia="맑은 고딕" w:hAnsi="Times" w:cs="Times"/>
          <w:bCs/>
          <w:kern w:val="0"/>
          <w:sz w:val="24"/>
          <w:szCs w:val="24"/>
        </w:rPr>
        <w:t>Association between migraine and risk of dementia with five years of washout period among individuals who diagnosed migraine before age of 60</w:t>
      </w:r>
    </w:p>
    <w:p w:rsidR="00D27E73" w:rsidRPr="00D27E73" w:rsidRDefault="00D27E73" w:rsidP="00040944">
      <w:pPr>
        <w:tabs>
          <w:tab w:val="left" w:pos="2415"/>
        </w:tabs>
        <w:rPr>
          <w:rFonts w:ascii="Times New Roman" w:hAnsi="Times New Roman" w:cs="Times New Roman"/>
          <w:sz w:val="24"/>
        </w:rPr>
      </w:pPr>
    </w:p>
    <w:p w:rsidR="00573531" w:rsidRPr="00195C0C" w:rsidRDefault="00573531" w:rsidP="00040944">
      <w:pPr>
        <w:tabs>
          <w:tab w:val="left" w:pos="2415"/>
        </w:tabs>
        <w:rPr>
          <w:rFonts w:ascii="Times New Roman" w:hAnsi="Times New Roman" w:cs="Times New Roman"/>
          <w:sz w:val="24"/>
        </w:rPr>
      </w:pPr>
    </w:p>
    <w:p w:rsidR="00573531" w:rsidRPr="00B67EB1" w:rsidRDefault="00573531" w:rsidP="00040944">
      <w:pPr>
        <w:tabs>
          <w:tab w:val="left" w:pos="2415"/>
        </w:tabs>
        <w:rPr>
          <w:rFonts w:ascii="Times New Roman" w:hAnsi="Times New Roman" w:cs="Times New Roman"/>
          <w:sz w:val="24"/>
        </w:rPr>
      </w:pPr>
    </w:p>
    <w:p w:rsidR="00573531" w:rsidRDefault="00573531" w:rsidP="00040944">
      <w:pPr>
        <w:tabs>
          <w:tab w:val="left" w:pos="2415"/>
        </w:tabs>
        <w:rPr>
          <w:rFonts w:ascii="Times New Roman" w:hAnsi="Times New Roman" w:cs="Times New Roman"/>
          <w:sz w:val="24"/>
        </w:rPr>
      </w:pPr>
    </w:p>
    <w:p w:rsidR="00573531" w:rsidRDefault="00573531" w:rsidP="00040944">
      <w:pPr>
        <w:tabs>
          <w:tab w:val="left" w:pos="2415"/>
        </w:tabs>
        <w:rPr>
          <w:rFonts w:ascii="Times New Roman" w:hAnsi="Times New Roman" w:cs="Times New Roman"/>
          <w:sz w:val="24"/>
        </w:rPr>
      </w:pPr>
    </w:p>
    <w:p w:rsidR="00573531" w:rsidRDefault="00573531" w:rsidP="00040944">
      <w:pPr>
        <w:tabs>
          <w:tab w:val="left" w:pos="2415"/>
        </w:tabs>
        <w:rPr>
          <w:rFonts w:ascii="Times New Roman" w:hAnsi="Times New Roman" w:cs="Times New Roman"/>
          <w:sz w:val="24"/>
        </w:rPr>
      </w:pPr>
    </w:p>
    <w:p w:rsidR="00B67EB1" w:rsidRDefault="00B67EB1">
      <w:r>
        <w:br w:type="page"/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293"/>
        <w:gridCol w:w="1777"/>
        <w:gridCol w:w="1087"/>
        <w:gridCol w:w="787"/>
        <w:gridCol w:w="1090"/>
        <w:gridCol w:w="1933"/>
        <w:gridCol w:w="1669"/>
        <w:gridCol w:w="195"/>
        <w:gridCol w:w="195"/>
      </w:tblGrid>
      <w:tr w:rsidR="00B67EB1" w:rsidTr="008D7B22">
        <w:trPr>
          <w:gridAfter w:val="2"/>
          <w:trHeight w:val="321"/>
        </w:trPr>
        <w:tc>
          <w:tcPr>
            <w:tcW w:w="0" w:type="auto"/>
            <w:gridSpan w:val="7"/>
            <w:tcBorders>
              <w:top w:val="nil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:rsidR="00B67EB1" w:rsidRPr="00ED27C6" w:rsidRDefault="00B67EB1" w:rsidP="008D7B2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" w:eastAsia="맑은 고딕" w:hAnsi="Times" w:cs="Times"/>
                <w:b/>
                <w:bCs/>
                <w:kern w:val="0"/>
                <w:sz w:val="24"/>
                <w:szCs w:val="24"/>
              </w:rPr>
            </w:pPr>
            <w:r w:rsidRPr="00B67EB1">
              <w:rPr>
                <w:rFonts w:ascii="Times" w:eastAsia="맑은 고딕" w:hAnsi="Times" w:cs="Times"/>
                <w:b/>
                <w:bCs/>
                <w:kern w:val="0"/>
                <w:sz w:val="28"/>
                <w:szCs w:val="24"/>
              </w:rPr>
              <w:lastRenderedPageBreak/>
              <w:t>Table S1. Association between migraine and risk of dementia among individuals who diagnosed migraine before age of 60</w:t>
            </w:r>
          </w:p>
        </w:tc>
      </w:tr>
      <w:tr w:rsidR="00B67EB1" w:rsidTr="008D7B22">
        <w:trPr>
          <w:gridAfter w:val="2"/>
          <w:trHeight w:val="848"/>
        </w:trPr>
        <w:tc>
          <w:tcPr>
            <w:tcW w:w="0" w:type="auto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Subjects,</w:t>
            </w:r>
          </w:p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No.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 xml:space="preserve">cases, </w:t>
            </w:r>
          </w:p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No.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Person-</w:t>
            </w:r>
          </w:p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Years, No.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Incidence rate</w:t>
            </w: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br/>
              <w:t>(95% CI) per 100,000</w:t>
            </w: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br/>
              <w:t>person years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Hazard ratio</w:t>
            </w: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br/>
              <w:t>(95% CI)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gridSpan w:val="3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>All-cause dementia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</w:t>
            </w: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18,948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kern w:val="0"/>
                <w:szCs w:val="20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183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16.5 (14.7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–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18.4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1.00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>Migraine cohort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18,948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183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22.3 (20.3–24.6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35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(1.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17–1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57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gridSpan w:val="7"/>
            <w:shd w:val="clear" w:color="000000" w:fill="FFFFFF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>Alzheimer’s dementia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</w:t>
            </w: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18,948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kern w:val="0"/>
                <w:szCs w:val="20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183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8.9 (7.6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–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10.3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1.00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>Migraine cohort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18,948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183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13.2 (11.6–15.0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49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22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–1.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81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</w:tr>
      <w:tr w:rsidR="00B67EB1" w:rsidTr="008D7B22">
        <w:trPr>
          <w:trHeight w:val="331"/>
        </w:trPr>
        <w:tc>
          <w:tcPr>
            <w:tcW w:w="0" w:type="auto"/>
            <w:gridSpan w:val="2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>Vascular dementia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rPr>
                <w:rFonts w:ascii="Times" w:hAnsi="Times" w:cs="Times"/>
                <w:szCs w:val="20"/>
              </w:rPr>
            </w:pP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</w:t>
            </w: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18,948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183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3.3 (2.5–4.2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1.00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>Migraine cohort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18,948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183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4.0 (3.2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–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5.1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1.24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0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88–1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74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</w:tr>
      <w:tr w:rsidR="00B67EB1" w:rsidTr="008D7B22">
        <w:trPr>
          <w:trHeight w:val="331"/>
        </w:trPr>
        <w:tc>
          <w:tcPr>
            <w:tcW w:w="0" w:type="auto"/>
            <w:gridSpan w:val="4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b/>
                <w:color w:val="000000"/>
                <w:kern w:val="0"/>
                <w:szCs w:val="20"/>
              </w:rPr>
              <w:t xml:space="preserve">Mixed, or </w:t>
            </w:r>
            <w:r>
              <w:rPr>
                <w:rFonts w:ascii="Times" w:eastAsia="맑은 고딕" w:hAnsi="Times" w:cs="Times"/>
                <w:b/>
                <w:color w:val="000000"/>
                <w:kern w:val="0"/>
                <w:szCs w:val="20"/>
              </w:rPr>
              <w:t>o</w:t>
            </w:r>
            <w:r w:rsidRPr="006462D2">
              <w:rPr>
                <w:rFonts w:ascii="Times" w:eastAsia="맑은 고딕" w:hAnsi="Times" w:cs="Times"/>
                <w:b/>
                <w:color w:val="000000"/>
                <w:kern w:val="0"/>
                <w:szCs w:val="20"/>
              </w:rPr>
              <w:t>ther</w:t>
            </w:r>
            <w:r>
              <w:rPr>
                <w:rFonts w:ascii="Times" w:eastAsia="맑은 고딕" w:hAnsi="Times" w:cs="Times"/>
                <w:b/>
                <w:color w:val="000000"/>
                <w:kern w:val="0"/>
                <w:szCs w:val="20"/>
              </w:rPr>
              <w:t xml:space="preserve"> specified</w:t>
            </w:r>
            <w:r w:rsidRPr="006462D2">
              <w:rPr>
                <w:rFonts w:ascii="Times" w:eastAsia="맑은 고딕" w:hAnsi="Times" w:cs="Times"/>
                <w:b/>
                <w:color w:val="000000"/>
                <w:kern w:val="0"/>
                <w:szCs w:val="20"/>
              </w:rPr>
              <w:t xml:space="preserve"> dementias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rPr>
                <w:rFonts w:ascii="Times" w:hAnsi="Times" w:cs="Times"/>
                <w:szCs w:val="20"/>
              </w:rPr>
            </w:pP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</w:t>
            </w: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18,948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183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0.4 (0.2–0.9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1.00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>Migraine cohort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18,948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183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0.6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0.3–1.1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1.38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0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55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–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3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42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</w:tr>
      <w:tr w:rsidR="00B67EB1" w:rsidTr="008D7B22">
        <w:trPr>
          <w:trHeight w:val="331"/>
        </w:trPr>
        <w:tc>
          <w:tcPr>
            <w:tcW w:w="0" w:type="auto"/>
            <w:gridSpan w:val="3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>Unspecified dementia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rPr>
                <w:rFonts w:ascii="Times" w:hAnsi="Times" w:cs="Times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rPr>
                <w:rFonts w:ascii="Times" w:hAnsi="Times" w:cs="Times"/>
                <w:szCs w:val="20"/>
              </w:rPr>
            </w:pP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</w:t>
            </w: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18,948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183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5871DB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3.9 (3.1–4.9)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1.00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>Migraine cohort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18,948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183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4.5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3.6–5.6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14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0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83–1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57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</w:tr>
    </w:tbl>
    <w:p w:rsidR="00B67EB1" w:rsidRDefault="00B67EB1" w:rsidP="00B67EB1">
      <w:r>
        <w:br w:type="page"/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297"/>
        <w:gridCol w:w="1752"/>
        <w:gridCol w:w="1076"/>
        <w:gridCol w:w="783"/>
        <w:gridCol w:w="1078"/>
        <w:gridCol w:w="1904"/>
        <w:gridCol w:w="1746"/>
        <w:gridCol w:w="195"/>
        <w:gridCol w:w="195"/>
      </w:tblGrid>
      <w:tr w:rsidR="00B67EB1" w:rsidTr="008D7B22">
        <w:trPr>
          <w:gridAfter w:val="2"/>
          <w:trHeight w:val="321"/>
        </w:trPr>
        <w:tc>
          <w:tcPr>
            <w:tcW w:w="0" w:type="auto"/>
            <w:gridSpan w:val="7"/>
            <w:tcBorders>
              <w:top w:val="nil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:rsidR="00B67EB1" w:rsidRPr="006462D2" w:rsidRDefault="00B67EB1" w:rsidP="00D05CE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B67EB1">
              <w:rPr>
                <w:rFonts w:ascii="Times" w:eastAsia="맑은 고딕" w:hAnsi="Times" w:cs="Times"/>
                <w:b/>
                <w:bCs/>
                <w:kern w:val="0"/>
                <w:sz w:val="24"/>
                <w:szCs w:val="24"/>
              </w:rPr>
              <w:lastRenderedPageBreak/>
              <w:t xml:space="preserve">Table S2. Association between migraine and risk of dementia with five years of washout period </w:t>
            </w:r>
            <w:bookmarkStart w:id="0" w:name="_GoBack"/>
            <w:bookmarkEnd w:id="0"/>
            <w:r w:rsidRPr="00B67EB1">
              <w:rPr>
                <w:rFonts w:ascii="Times" w:eastAsia="맑은 고딕" w:hAnsi="Times" w:cs="Times"/>
                <w:b/>
                <w:bCs/>
                <w:kern w:val="0"/>
                <w:sz w:val="24"/>
                <w:szCs w:val="24"/>
              </w:rPr>
              <w:t>among individuals who diagnosed migraine before age of 60</w:t>
            </w:r>
          </w:p>
        </w:tc>
      </w:tr>
      <w:tr w:rsidR="00B67EB1" w:rsidTr="008D7B22">
        <w:trPr>
          <w:gridAfter w:val="2"/>
          <w:trHeight w:val="848"/>
        </w:trPr>
        <w:tc>
          <w:tcPr>
            <w:tcW w:w="0" w:type="auto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Subjects,</w:t>
            </w:r>
          </w:p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No.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 xml:space="preserve">cases, </w:t>
            </w:r>
          </w:p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No.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Person-</w:t>
            </w:r>
          </w:p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Years, No.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Incidence rate</w:t>
            </w: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br/>
              <w:t>(95% CI) per 100,000</w:t>
            </w: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br/>
              <w:t>person years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vAlign w:val="bottom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t>Hazard ratio</w:t>
            </w:r>
            <w:r w:rsidRPr="006462D2">
              <w:rPr>
                <w:rFonts w:ascii="Times" w:eastAsia="맑은 고딕" w:hAnsi="Times" w:cs="Times"/>
                <w:b/>
                <w:bCs/>
                <w:kern w:val="0"/>
                <w:szCs w:val="20"/>
              </w:rPr>
              <w:br/>
              <w:t>(95% CI)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gridSpan w:val="3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>All-cause dementia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12" w:space="0" w:color="auto"/>
            </w:tcBorders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</w:t>
            </w: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10,697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72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</w:t>
            </w:r>
            <w:r>
              <w:rPr>
                <w:rFonts w:ascii="Times" w:eastAsia="맑은 고딕" w:hAnsi="Times" w:cs="Times" w:hint="eastAsia"/>
                <w:kern w:val="0"/>
                <w:szCs w:val="20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11.6 (9.4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–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14.4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1.00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>Migraine cohort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10,697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72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</w:t>
            </w:r>
            <w:r>
              <w:rPr>
                <w:rFonts w:ascii="Times" w:eastAsia="맑은 고딕" w:hAnsi="Times" w:cs="Times" w:hint="eastAsia"/>
                <w:kern w:val="0"/>
                <w:szCs w:val="20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17.7 (14.9–21.1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53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(1.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16–2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01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gridSpan w:val="7"/>
            <w:shd w:val="clear" w:color="000000" w:fill="FFFFFF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>Alzheimer’s dementia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</w:t>
            </w: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10,697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72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</w:t>
            </w:r>
            <w:r>
              <w:rPr>
                <w:rFonts w:ascii="Times" w:eastAsia="맑은 고딕" w:hAnsi="Times" w:cs="Times" w:hint="eastAsia"/>
                <w:kern w:val="0"/>
                <w:szCs w:val="20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8.0 (6.2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–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10.4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1.00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>Migraine cohort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10,697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72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</w:t>
            </w:r>
            <w:r>
              <w:rPr>
                <w:rFonts w:ascii="Times" w:eastAsia="맑은 고딕" w:hAnsi="Times" w:cs="Times" w:hint="eastAsia"/>
                <w:kern w:val="0"/>
                <w:szCs w:val="20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9.8 (7.8–12.4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23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0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87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–1.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74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</w:tr>
      <w:tr w:rsidR="00B67EB1" w:rsidTr="008D7B22">
        <w:trPr>
          <w:trHeight w:val="331"/>
        </w:trPr>
        <w:tc>
          <w:tcPr>
            <w:tcW w:w="0" w:type="auto"/>
            <w:gridSpan w:val="2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>Vascular dementia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rPr>
                <w:rFonts w:ascii="Times" w:hAnsi="Times" w:cs="Times"/>
                <w:szCs w:val="20"/>
              </w:rPr>
            </w:pP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</w:t>
            </w: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10,697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72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</w:t>
            </w:r>
            <w:r>
              <w:rPr>
                <w:rFonts w:ascii="Times" w:eastAsia="맑은 고딕" w:hAnsi="Times" w:cs="Times" w:hint="eastAsia"/>
                <w:kern w:val="0"/>
                <w:szCs w:val="20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1.8 (1.0–3.1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1.00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>Migraine cohort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10,697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72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</w:t>
            </w:r>
            <w:r>
              <w:rPr>
                <w:rFonts w:ascii="Times" w:eastAsia="맑은 고딕" w:hAnsi="Times" w:cs="Times" w:hint="eastAsia"/>
                <w:kern w:val="0"/>
                <w:szCs w:val="20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4.0 (2.8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–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5.8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2.24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(1.1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6–4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30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</w:tr>
      <w:tr w:rsidR="00B67EB1" w:rsidTr="008D7B22">
        <w:trPr>
          <w:trHeight w:val="331"/>
        </w:trPr>
        <w:tc>
          <w:tcPr>
            <w:tcW w:w="0" w:type="auto"/>
            <w:gridSpan w:val="4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b/>
                <w:color w:val="000000"/>
                <w:kern w:val="0"/>
                <w:szCs w:val="20"/>
              </w:rPr>
              <w:t xml:space="preserve">Mixed, or </w:t>
            </w:r>
            <w:r>
              <w:rPr>
                <w:rFonts w:ascii="Times" w:eastAsia="맑은 고딕" w:hAnsi="Times" w:cs="Times"/>
                <w:b/>
                <w:color w:val="000000"/>
                <w:kern w:val="0"/>
                <w:szCs w:val="20"/>
              </w:rPr>
              <w:t>o</w:t>
            </w:r>
            <w:r w:rsidRPr="006462D2">
              <w:rPr>
                <w:rFonts w:ascii="Times" w:eastAsia="맑은 고딕" w:hAnsi="Times" w:cs="Times"/>
                <w:b/>
                <w:color w:val="000000"/>
                <w:kern w:val="0"/>
                <w:szCs w:val="20"/>
              </w:rPr>
              <w:t>ther</w:t>
            </w:r>
            <w:r>
              <w:rPr>
                <w:rFonts w:ascii="Times" w:eastAsia="맑은 고딕" w:hAnsi="Times" w:cs="Times"/>
                <w:b/>
                <w:color w:val="000000"/>
                <w:kern w:val="0"/>
                <w:szCs w:val="20"/>
              </w:rPr>
              <w:t xml:space="preserve"> specified</w:t>
            </w:r>
            <w:r w:rsidRPr="006462D2">
              <w:rPr>
                <w:rFonts w:ascii="Times" w:eastAsia="맑은 고딕" w:hAnsi="Times" w:cs="Times"/>
                <w:b/>
                <w:color w:val="000000"/>
                <w:kern w:val="0"/>
                <w:szCs w:val="20"/>
              </w:rPr>
              <w:t xml:space="preserve"> dementias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rPr>
                <w:rFonts w:ascii="Times" w:hAnsi="Times" w:cs="Times"/>
                <w:szCs w:val="20"/>
              </w:rPr>
            </w:pP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</w:t>
            </w: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10,697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72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</w:t>
            </w:r>
            <w:r>
              <w:rPr>
                <w:rFonts w:ascii="Times" w:eastAsia="맑은 고딕" w:hAnsi="Times" w:cs="Times" w:hint="eastAsia"/>
                <w:kern w:val="0"/>
                <w:szCs w:val="20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0.2 (0.1–0.3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1.00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>Migraine cohort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10,697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72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</w:t>
            </w:r>
            <w:r>
              <w:rPr>
                <w:rFonts w:ascii="Times" w:eastAsia="맑은 고딕" w:hAnsi="Times" w:cs="Times" w:hint="eastAsia"/>
                <w:kern w:val="0"/>
                <w:szCs w:val="20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0.3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0.2–0.4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3.01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0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31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–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28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93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</w:tr>
      <w:tr w:rsidR="00B67EB1" w:rsidTr="008D7B22">
        <w:trPr>
          <w:trHeight w:val="331"/>
        </w:trPr>
        <w:tc>
          <w:tcPr>
            <w:tcW w:w="0" w:type="auto"/>
            <w:gridSpan w:val="3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>Unspecified dementia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rPr>
                <w:rFonts w:ascii="Times" w:hAnsi="Times" w:cs="Times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rPr>
                <w:rFonts w:ascii="Times" w:hAnsi="Times" w:cs="Times"/>
                <w:szCs w:val="20"/>
              </w:rPr>
            </w:pP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Matched</w:t>
            </w: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10,697</w:t>
            </w:r>
            <w:r w:rsidRPr="006462D2">
              <w:rPr>
                <w:rFonts w:ascii="Times" w:eastAsia="맑은 고딕" w:hAnsi="Times" w:cs="Times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72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</w:t>
            </w:r>
            <w:r>
              <w:rPr>
                <w:rFonts w:ascii="Times" w:eastAsia="맑은 고딕" w:hAnsi="Times" w:cs="Times" w:hint="eastAsia"/>
                <w:kern w:val="0"/>
                <w:szCs w:val="20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5871DB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.7 (0.9–2.9)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1.00</w:t>
            </w:r>
          </w:p>
        </w:tc>
      </w:tr>
      <w:tr w:rsidR="00B67EB1" w:rsidTr="008D7B22">
        <w:trPr>
          <w:gridAfter w:val="2"/>
          <w:trHeight w:val="331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</w:pPr>
            <w:r w:rsidRPr="006462D2">
              <w:rPr>
                <w:rFonts w:ascii="Times" w:eastAsia="맑은 고딕" w:hAnsi="Times" w:cs="Times"/>
                <w:b/>
                <w:bCs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kern w:val="0"/>
                <w:szCs w:val="20"/>
              </w:rPr>
            </w:pPr>
            <w:r w:rsidRPr="00D91AE3">
              <w:rPr>
                <w:rFonts w:ascii="Times New Roman" w:eastAsia="맑은 고딕" w:hAnsi="Times New Roman" w:cs="Times New Roman"/>
                <w:color w:val="000000"/>
                <w:szCs w:val="20"/>
              </w:rPr>
              <w:t>Migraine cohort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szCs w:val="20"/>
              </w:rPr>
              <w:t>10,697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 w:hint="eastAsia"/>
                <w:kern w:val="0"/>
                <w:szCs w:val="20"/>
              </w:rPr>
              <w:t>72</w:t>
            </w:r>
            <w:r>
              <w:rPr>
                <w:rFonts w:ascii="Times" w:eastAsia="맑은 고딕" w:hAnsi="Times" w:cs="Times"/>
                <w:kern w:val="0"/>
                <w:szCs w:val="20"/>
              </w:rPr>
              <w:t>,</w:t>
            </w:r>
            <w:r>
              <w:rPr>
                <w:rFonts w:ascii="Times" w:eastAsia="맑은 고딕" w:hAnsi="Times" w:cs="Times" w:hint="eastAsia"/>
                <w:kern w:val="0"/>
                <w:szCs w:val="20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3.5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(2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.3–5.1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color w:val="000000"/>
                <w:szCs w:val="20"/>
              </w:rPr>
            </w:pPr>
            <w:r>
              <w:rPr>
                <w:rFonts w:ascii="Times" w:eastAsia="맑은 고딕" w:hAnsi="Times" w:cs="Times"/>
                <w:color w:val="000000"/>
                <w:szCs w:val="20"/>
              </w:rPr>
              <w:t>2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09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 xml:space="preserve"> (1.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05–4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.</w:t>
            </w:r>
            <w:r>
              <w:rPr>
                <w:rFonts w:ascii="Times" w:eastAsia="맑은 고딕" w:hAnsi="Times" w:cs="Times"/>
                <w:color w:val="000000"/>
                <w:szCs w:val="20"/>
              </w:rPr>
              <w:t>16</w:t>
            </w:r>
            <w:r w:rsidRPr="006462D2">
              <w:rPr>
                <w:rFonts w:ascii="Times" w:eastAsia="맑은 고딕" w:hAnsi="Times" w:cs="Times"/>
                <w:color w:val="000000"/>
                <w:szCs w:val="20"/>
              </w:rPr>
              <w:t>)</w:t>
            </w:r>
          </w:p>
        </w:tc>
      </w:tr>
      <w:tr w:rsidR="00B67EB1" w:rsidTr="008D7B22">
        <w:trPr>
          <w:gridAfter w:val="2"/>
          <w:trHeight w:val="321"/>
        </w:trPr>
        <w:tc>
          <w:tcPr>
            <w:tcW w:w="0" w:type="auto"/>
            <w:gridSpan w:val="7"/>
            <w:tcBorders>
              <w:top w:val="single" w:sz="12" w:space="0" w:color="auto"/>
              <w:bottom w:val="nil"/>
            </w:tcBorders>
            <w:shd w:val="clear" w:color="000000" w:fill="FFFFFF"/>
            <w:noWrap/>
            <w:vAlign w:val="center"/>
          </w:tcPr>
          <w:p w:rsidR="00B67EB1" w:rsidRPr="006462D2" w:rsidRDefault="00B67EB1" w:rsidP="008D7B22">
            <w:pPr>
              <w:widowControl/>
              <w:wordWrap/>
              <w:autoSpaceDE/>
              <w:autoSpaceDN/>
              <w:spacing w:after="0" w:line="240" w:lineRule="auto"/>
              <w:rPr>
                <w:rFonts w:ascii="Times" w:eastAsia="맑은 고딕" w:hAnsi="Times" w:cs="Times"/>
                <w:kern w:val="0"/>
                <w:szCs w:val="20"/>
              </w:rPr>
            </w:pPr>
          </w:p>
        </w:tc>
      </w:tr>
    </w:tbl>
    <w:p w:rsidR="00C810EE" w:rsidRDefault="00C810EE" w:rsidP="00040944">
      <w:pPr>
        <w:tabs>
          <w:tab w:val="left" w:pos="2415"/>
        </w:tabs>
        <w:rPr>
          <w:rFonts w:ascii="Times New Roman" w:hAnsi="Times New Roman" w:cs="Times New Roman"/>
          <w:b/>
          <w:sz w:val="24"/>
        </w:rPr>
      </w:pPr>
    </w:p>
    <w:p w:rsidR="00C810EE" w:rsidRDefault="00C810EE" w:rsidP="00040944">
      <w:pPr>
        <w:tabs>
          <w:tab w:val="left" w:pos="2415"/>
        </w:tabs>
        <w:rPr>
          <w:rFonts w:ascii="Times New Roman" w:hAnsi="Times New Roman" w:cs="Times New Roman"/>
          <w:b/>
          <w:sz w:val="24"/>
        </w:rPr>
      </w:pPr>
    </w:p>
    <w:p w:rsidR="00C810EE" w:rsidRDefault="00C810EE" w:rsidP="00040944">
      <w:pPr>
        <w:tabs>
          <w:tab w:val="left" w:pos="2415"/>
        </w:tabs>
        <w:rPr>
          <w:rFonts w:ascii="Times New Roman" w:hAnsi="Times New Roman" w:cs="Times New Roman"/>
          <w:b/>
          <w:sz w:val="24"/>
        </w:rPr>
      </w:pPr>
    </w:p>
    <w:p w:rsidR="00C810EE" w:rsidRDefault="00C810EE" w:rsidP="00040944">
      <w:pPr>
        <w:tabs>
          <w:tab w:val="left" w:pos="2415"/>
        </w:tabs>
        <w:rPr>
          <w:rFonts w:ascii="Times New Roman" w:hAnsi="Times New Roman" w:cs="Times New Roman"/>
          <w:b/>
          <w:sz w:val="24"/>
        </w:rPr>
      </w:pPr>
    </w:p>
    <w:sectPr w:rsidR="00C810EE" w:rsidSect="00B67EB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067" w:rsidRDefault="006B4067" w:rsidP="00741157">
      <w:pPr>
        <w:spacing w:after="0" w:line="240" w:lineRule="auto"/>
      </w:pPr>
      <w:r>
        <w:separator/>
      </w:r>
    </w:p>
  </w:endnote>
  <w:endnote w:type="continuationSeparator" w:id="0">
    <w:p w:rsidR="006B4067" w:rsidRDefault="006B4067" w:rsidP="00741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067" w:rsidRDefault="006B4067" w:rsidP="00741157">
      <w:pPr>
        <w:spacing w:after="0" w:line="240" w:lineRule="auto"/>
      </w:pPr>
      <w:r>
        <w:separator/>
      </w:r>
    </w:p>
  </w:footnote>
  <w:footnote w:type="continuationSeparator" w:id="0">
    <w:p w:rsidR="006B4067" w:rsidRDefault="006B4067" w:rsidP="007411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C94"/>
    <w:rsid w:val="00004A1C"/>
    <w:rsid w:val="00040944"/>
    <w:rsid w:val="00063E97"/>
    <w:rsid w:val="000937E5"/>
    <w:rsid w:val="00097FB4"/>
    <w:rsid w:val="000A09E0"/>
    <w:rsid w:val="000B6869"/>
    <w:rsid w:val="000E0FBC"/>
    <w:rsid w:val="0012214F"/>
    <w:rsid w:val="00134252"/>
    <w:rsid w:val="00195C0C"/>
    <w:rsid w:val="001B14CC"/>
    <w:rsid w:val="001B5ABE"/>
    <w:rsid w:val="0025743A"/>
    <w:rsid w:val="00266B2C"/>
    <w:rsid w:val="00292843"/>
    <w:rsid w:val="002B6671"/>
    <w:rsid w:val="002C6C94"/>
    <w:rsid w:val="00303338"/>
    <w:rsid w:val="00307385"/>
    <w:rsid w:val="00350A80"/>
    <w:rsid w:val="0039713B"/>
    <w:rsid w:val="00397620"/>
    <w:rsid w:val="003C3F60"/>
    <w:rsid w:val="003D08E2"/>
    <w:rsid w:val="004F3A08"/>
    <w:rsid w:val="00533054"/>
    <w:rsid w:val="005508D5"/>
    <w:rsid w:val="00573531"/>
    <w:rsid w:val="00581553"/>
    <w:rsid w:val="00583B4E"/>
    <w:rsid w:val="005978E9"/>
    <w:rsid w:val="005A13C0"/>
    <w:rsid w:val="005E48BB"/>
    <w:rsid w:val="00603BFA"/>
    <w:rsid w:val="0061177D"/>
    <w:rsid w:val="006313E2"/>
    <w:rsid w:val="00631BAF"/>
    <w:rsid w:val="006B4067"/>
    <w:rsid w:val="006C40C8"/>
    <w:rsid w:val="006D6C1E"/>
    <w:rsid w:val="006F03BA"/>
    <w:rsid w:val="006F0607"/>
    <w:rsid w:val="0070109D"/>
    <w:rsid w:val="00705A21"/>
    <w:rsid w:val="00741157"/>
    <w:rsid w:val="00756AB1"/>
    <w:rsid w:val="00845663"/>
    <w:rsid w:val="0085220F"/>
    <w:rsid w:val="00855E5B"/>
    <w:rsid w:val="00887D45"/>
    <w:rsid w:val="008F61C3"/>
    <w:rsid w:val="00935422"/>
    <w:rsid w:val="00993504"/>
    <w:rsid w:val="009A23CD"/>
    <w:rsid w:val="009F239A"/>
    <w:rsid w:val="00A05B26"/>
    <w:rsid w:val="00A92173"/>
    <w:rsid w:val="00AE2B14"/>
    <w:rsid w:val="00AE2D82"/>
    <w:rsid w:val="00B36469"/>
    <w:rsid w:val="00B67EB1"/>
    <w:rsid w:val="00BA11BD"/>
    <w:rsid w:val="00BC19EF"/>
    <w:rsid w:val="00C0000D"/>
    <w:rsid w:val="00C33633"/>
    <w:rsid w:val="00C379AD"/>
    <w:rsid w:val="00C446C1"/>
    <w:rsid w:val="00C810EE"/>
    <w:rsid w:val="00CD29C8"/>
    <w:rsid w:val="00D05CE1"/>
    <w:rsid w:val="00D27E73"/>
    <w:rsid w:val="00D36D04"/>
    <w:rsid w:val="00DB4219"/>
    <w:rsid w:val="00DB7198"/>
    <w:rsid w:val="00DC0822"/>
    <w:rsid w:val="00DE5B82"/>
    <w:rsid w:val="00DE752D"/>
    <w:rsid w:val="00E20221"/>
    <w:rsid w:val="00E367DA"/>
    <w:rsid w:val="00EE079A"/>
    <w:rsid w:val="00EF10AD"/>
    <w:rsid w:val="00EF4323"/>
    <w:rsid w:val="00EF618E"/>
    <w:rsid w:val="00F468A8"/>
    <w:rsid w:val="00F645C2"/>
    <w:rsid w:val="00FE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5C0D941-57B8-43E4-903F-3C6DBFFB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115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41157"/>
  </w:style>
  <w:style w:type="paragraph" w:styleId="a4">
    <w:name w:val="footer"/>
    <w:basedOn w:val="a"/>
    <w:link w:val="Char0"/>
    <w:uiPriority w:val="99"/>
    <w:unhideWhenUsed/>
    <w:rsid w:val="0074115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41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5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허경덕(예방의학교실)</dc:creator>
  <cp:keywords/>
  <dc:description/>
  <cp:lastModifiedBy>허경덕(예방의학교실)</cp:lastModifiedBy>
  <cp:revision>4</cp:revision>
  <dcterms:created xsi:type="dcterms:W3CDTF">2021-05-24T07:03:00Z</dcterms:created>
  <dcterms:modified xsi:type="dcterms:W3CDTF">2022-08-23T04:53:00Z</dcterms:modified>
</cp:coreProperties>
</file>