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554E3" w14:textId="77777777" w:rsidR="00A644C5" w:rsidRPr="004F2287" w:rsidRDefault="00A644C5" w:rsidP="004F2287">
      <w:pPr>
        <w:rPr>
          <w:lang w:eastAsia="it-IT"/>
        </w:rPr>
      </w:pPr>
      <w:bookmarkStart w:id="0" w:name="_GoBack"/>
      <w:bookmarkEnd w:id="0"/>
    </w:p>
    <w:p w14:paraId="42B9F9DE" w14:textId="2DEF24A9" w:rsidR="00822C80" w:rsidRDefault="004F2287">
      <w:pPr>
        <w:rPr>
          <w:b/>
          <w:bCs/>
          <w:lang w:val="en-GB"/>
        </w:rPr>
      </w:pPr>
      <w:r>
        <w:rPr>
          <w:b/>
          <w:bCs/>
          <w:noProof/>
        </w:rPr>
        <w:drawing>
          <wp:inline distT="0" distB="0" distL="0" distR="0" wp14:anchorId="4A5E2F53" wp14:editId="17B72B1F">
            <wp:extent cx="6210300" cy="5957353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" t="3432" r="6932" b="6423"/>
                    <a:stretch/>
                  </pic:blipFill>
                  <pic:spPr bwMode="auto">
                    <a:xfrm>
                      <a:off x="0" y="0"/>
                      <a:ext cx="6234035" cy="598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2C80">
        <w:rPr>
          <w:b/>
          <w:bCs/>
          <w:lang w:val="en-GB"/>
        </w:rPr>
        <w:br w:type="page"/>
      </w:r>
    </w:p>
    <w:p w14:paraId="47E10FB8" w14:textId="77777777" w:rsidR="00CC249F" w:rsidRPr="00CC249F" w:rsidRDefault="00CC249F">
      <w:pPr>
        <w:rPr>
          <w:b/>
          <w:bCs/>
          <w:lang w:val="en-GB"/>
        </w:rPr>
      </w:pPr>
    </w:p>
    <w:p w14:paraId="4659495F" w14:textId="483882EC" w:rsidR="006145DF" w:rsidRDefault="006145DF"/>
    <w:p w14:paraId="358E5322" w14:textId="6581EF25" w:rsidR="00281841" w:rsidRPr="00814F52" w:rsidRDefault="00822C80" w:rsidP="00281841">
      <w:pPr>
        <w:pStyle w:val="Caption"/>
        <w:spacing w:after="0" w:line="480" w:lineRule="auto"/>
        <w:jc w:val="both"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r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Additional File </w:t>
      </w:r>
      <w:r w:rsidR="00CC249F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3. </w:t>
      </w:r>
      <w:r w:rsidR="00CC249F" w:rsidRPr="00814F52">
        <w:rPr>
          <w:b/>
          <w:bCs/>
          <w:i w:val="0"/>
          <w:iCs w:val="0"/>
          <w:color w:val="auto"/>
          <w:sz w:val="24"/>
          <w:szCs w:val="24"/>
          <w:lang w:val="en-US"/>
        </w:rPr>
        <w:t>Endocannabinoids 2-AG and AEA modulate KCl-induced spiking from meningeal afferents in female rats.</w:t>
      </w:r>
      <w:r w:rsidR="00CC249F" w:rsidRPr="00814F52">
        <w:rPr>
          <w:rFonts w:asciiTheme="majorHAnsi" w:hAnsiTheme="majorHAnsi" w:cstheme="majorHAnsi"/>
          <w:b/>
          <w:bCs/>
          <w:i w:val="0"/>
          <w:iCs w:val="0"/>
          <w:color w:val="auto"/>
          <w:sz w:val="22"/>
          <w:szCs w:val="22"/>
          <w:lang w:val="en-US"/>
        </w:rPr>
        <w:t xml:space="preserve"> </w:t>
      </w:r>
      <w:r w:rsidR="00CC249F" w:rsidRPr="00814F52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</w:p>
    <w:p w14:paraId="3BC76AFB" w14:textId="39911D1C" w:rsidR="00281841" w:rsidRPr="00814F52" w:rsidRDefault="00281841" w:rsidP="00281841">
      <w:pPr>
        <w:pStyle w:val="Caption"/>
        <w:spacing w:after="0" w:line="480" w:lineRule="auto"/>
        <w:jc w:val="both"/>
        <w:rPr>
          <w:lang w:val="en-US"/>
        </w:rPr>
      </w:pPr>
      <w:r w:rsidRPr="00814F52">
        <w:rPr>
          <w:b/>
          <w:bCs/>
          <w:i w:val="0"/>
          <w:iCs w:val="0"/>
          <w:color w:val="auto"/>
          <w:sz w:val="24"/>
          <w:szCs w:val="24"/>
          <w:lang w:val="en-US"/>
        </w:rPr>
        <w:t>(</w:t>
      </w:r>
      <w:r w:rsidRPr="00EE1306">
        <w:rPr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Pr="00814F52">
        <w:rPr>
          <w:b/>
          <w:bCs/>
          <w:i w:val="0"/>
          <w:iCs w:val="0"/>
          <w:color w:val="auto"/>
          <w:sz w:val="24"/>
          <w:szCs w:val="24"/>
          <w:lang w:val="en-US"/>
        </w:rPr>
        <w:t>)</w:t>
      </w:r>
      <w:r w:rsidRPr="00EE1306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Time courses of spike frequency (10-s bin size) induced by APs recorded from the peripheral part of trigeminal nerve innervating 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female rat meninges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within 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the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1</w:t>
      </w:r>
      <w:r>
        <w:rPr>
          <w:i w:val="0"/>
          <w:iCs w:val="0"/>
          <w:color w:val="auto"/>
          <w:sz w:val="24"/>
          <w:szCs w:val="24"/>
          <w:lang w:val="en-US"/>
        </w:rPr>
        <w:t>-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min active phase </w:t>
      </w:r>
      <w:r>
        <w:rPr>
          <w:i w:val="0"/>
          <w:iCs w:val="0"/>
          <w:color w:val="auto"/>
          <w:sz w:val="24"/>
          <w:szCs w:val="24"/>
          <w:lang w:val="en-US"/>
        </w:rPr>
        <w:t>of the 2</w:t>
      </w:r>
      <w:r w:rsidRPr="00DA3AA5">
        <w:rPr>
          <w:i w:val="0"/>
          <w:iCs w:val="0"/>
          <w:color w:val="auto"/>
          <w:sz w:val="24"/>
          <w:szCs w:val="24"/>
          <w:vertAlign w:val="superscript"/>
          <w:lang w:val="en-US"/>
        </w:rPr>
        <w:t>nd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KCl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pulse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in combination with 10 µM AEA or 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10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µM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2-AG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. Not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e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change</w:t>
      </w:r>
      <w:r>
        <w:rPr>
          <w:i w:val="0"/>
          <w:iCs w:val="0"/>
          <w:color w:val="auto"/>
          <w:sz w:val="24"/>
          <w:szCs w:val="24"/>
          <w:lang w:val="en-US"/>
        </w:rPr>
        <w:t>s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in </w:t>
      </w:r>
      <w:r>
        <w:rPr>
          <w:i w:val="0"/>
          <w:iCs w:val="0"/>
          <w:color w:val="auto"/>
          <w:sz w:val="24"/>
          <w:szCs w:val="24"/>
          <w:lang w:val="en-US"/>
        </w:rPr>
        <w:t>KCL-induced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firing during </w:t>
      </w:r>
      <w:r>
        <w:rPr>
          <w:i w:val="0"/>
          <w:iCs w:val="0"/>
          <w:color w:val="auto"/>
          <w:sz w:val="24"/>
          <w:szCs w:val="24"/>
          <w:lang w:val="en-US"/>
        </w:rPr>
        <w:t>applications of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>
        <w:rPr>
          <w:i w:val="0"/>
          <w:iCs w:val="0"/>
          <w:color w:val="auto"/>
          <w:sz w:val="24"/>
          <w:szCs w:val="24"/>
          <w:lang w:val="en-US"/>
        </w:rPr>
        <w:t>2-AG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and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AEA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. </w:t>
      </w:r>
      <w:r>
        <w:rPr>
          <w:i w:val="0"/>
          <w:iCs w:val="0"/>
          <w:color w:val="auto"/>
          <w:sz w:val="24"/>
          <w:szCs w:val="24"/>
          <w:lang w:val="en-US"/>
        </w:rPr>
        <w:t>Notably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, capsaicin-induced firing decreased during 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the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combined application of 10 µM AEA</w:t>
      </w:r>
      <w:r>
        <w:rPr>
          <w:i w:val="0"/>
          <w:iCs w:val="0"/>
          <w:color w:val="auto"/>
          <w:sz w:val="24"/>
          <w:szCs w:val="24"/>
          <w:lang w:val="en-US"/>
        </w:rPr>
        <w:t>, but not during 2-AG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. </w:t>
      </w:r>
      <w:r>
        <w:rPr>
          <w:i w:val="0"/>
          <w:iCs w:val="0"/>
          <w:color w:val="auto"/>
          <w:sz w:val="24"/>
          <w:szCs w:val="24"/>
          <w:lang w:val="en-US"/>
        </w:rPr>
        <w:t>(</w:t>
      </w:r>
      <w:r w:rsidRPr="00C3170E">
        <w:rPr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>
        <w:rPr>
          <w:i w:val="0"/>
          <w:iCs w:val="0"/>
          <w:color w:val="auto"/>
          <w:sz w:val="24"/>
          <w:szCs w:val="24"/>
          <w:lang w:val="en-US"/>
        </w:rPr>
        <w:t>)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>
        <w:rPr>
          <w:i w:val="0"/>
          <w:iCs w:val="0"/>
          <w:color w:val="auto"/>
          <w:sz w:val="24"/>
          <w:szCs w:val="24"/>
          <w:lang w:val="en-US"/>
        </w:rPr>
        <w:t>No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difference 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was observed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between the APs </w:t>
      </w:r>
      <w:r>
        <w:rPr>
          <w:i w:val="0"/>
          <w:iCs w:val="0"/>
          <w:color w:val="auto"/>
          <w:sz w:val="24"/>
          <w:szCs w:val="24"/>
          <w:lang w:val="en-US"/>
        </w:rPr>
        <w:t>ratio before and during 5 min 2-AG (</w:t>
      </w:r>
      <w:r w:rsidRPr="001B4235">
        <w:rPr>
          <w:color w:val="auto"/>
          <w:sz w:val="24"/>
          <w:szCs w:val="24"/>
          <w:lang w:val="en-US"/>
        </w:rPr>
        <w:t>N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= 5), although it </w:t>
      </w:r>
      <w:r w:rsidR="00B147C6">
        <w:rPr>
          <w:i w:val="0"/>
          <w:iCs w:val="0"/>
          <w:color w:val="auto"/>
          <w:sz w:val="24"/>
          <w:szCs w:val="24"/>
          <w:lang w:val="en-US"/>
        </w:rPr>
        <w:t>was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between the APs </w:t>
      </w:r>
      <w:r>
        <w:rPr>
          <w:i w:val="0"/>
          <w:iCs w:val="0"/>
          <w:color w:val="auto"/>
          <w:sz w:val="24"/>
          <w:szCs w:val="24"/>
          <w:lang w:val="en-US"/>
        </w:rPr>
        <w:t>ratio before and during 5 min AEA (</w:t>
      </w:r>
      <w:r w:rsidRPr="001B4235">
        <w:rPr>
          <w:color w:val="auto"/>
          <w:sz w:val="24"/>
          <w:szCs w:val="24"/>
          <w:lang w:val="en-US"/>
        </w:rPr>
        <w:t>N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= 5) comparing to the APs ratio of the same tine windows in the control condition (</w:t>
      </w:r>
      <w:proofErr w:type="spellStart"/>
      <w:r>
        <w:rPr>
          <w:i w:val="0"/>
          <w:iCs w:val="0"/>
          <w:color w:val="auto"/>
          <w:sz w:val="24"/>
          <w:szCs w:val="24"/>
          <w:lang w:val="en-US"/>
        </w:rPr>
        <w:t>Cntr</w:t>
      </w:r>
      <w:proofErr w:type="spellEnd"/>
      <w:r>
        <w:rPr>
          <w:i w:val="0"/>
          <w:iCs w:val="0"/>
          <w:color w:val="auto"/>
          <w:sz w:val="24"/>
          <w:szCs w:val="24"/>
          <w:lang w:val="en-US"/>
        </w:rPr>
        <w:t xml:space="preserve">, </w:t>
      </w:r>
      <w:r w:rsidRPr="001B4235">
        <w:rPr>
          <w:color w:val="auto"/>
          <w:sz w:val="24"/>
          <w:szCs w:val="24"/>
          <w:lang w:val="en-US"/>
        </w:rPr>
        <w:t>N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= 6,</w:t>
      </w:r>
      <w:r w:rsidRPr="001B4235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>
        <w:rPr>
          <w:i w:val="0"/>
          <w:iCs w:val="0"/>
          <w:color w:val="auto"/>
          <w:sz w:val="24"/>
          <w:szCs w:val="24"/>
          <w:lang w:val="en-US"/>
        </w:rPr>
        <w:t>Mann Whitney U test, ** = 0.004). (</w:t>
      </w:r>
      <w:r>
        <w:rPr>
          <w:b/>
          <w:bCs/>
          <w:i w:val="0"/>
          <w:iCs w:val="0"/>
          <w:color w:val="auto"/>
          <w:sz w:val="24"/>
          <w:szCs w:val="24"/>
          <w:lang w:val="en-US"/>
        </w:rPr>
        <w:t>C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)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The </w:t>
      </w:r>
      <w:r>
        <w:rPr>
          <w:i w:val="0"/>
          <w:iCs w:val="0"/>
          <w:color w:val="auto"/>
          <w:sz w:val="24"/>
          <w:szCs w:val="24"/>
          <w:lang w:val="en-US"/>
        </w:rPr>
        <w:t>ratio of APs for 1 min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between </w:t>
      </w:r>
      <w:r>
        <w:rPr>
          <w:i w:val="0"/>
          <w:iCs w:val="0"/>
          <w:color w:val="auto"/>
          <w:sz w:val="24"/>
          <w:szCs w:val="24"/>
          <w:lang w:val="en-US"/>
        </w:rPr>
        <w:t>the 2</w:t>
      </w:r>
      <w:r w:rsidRPr="002B5D48">
        <w:rPr>
          <w:i w:val="0"/>
          <w:iCs w:val="0"/>
          <w:color w:val="auto"/>
          <w:sz w:val="24"/>
          <w:szCs w:val="24"/>
          <w:vertAlign w:val="superscript"/>
          <w:lang w:val="en-US"/>
        </w:rPr>
        <w:t>nd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>
        <w:rPr>
          <w:i w:val="0"/>
          <w:iCs w:val="0"/>
          <w:color w:val="auto"/>
          <w:sz w:val="24"/>
          <w:szCs w:val="24"/>
          <w:lang w:val="en-US"/>
        </w:rPr>
        <w:t>and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>
        <w:rPr>
          <w:i w:val="0"/>
          <w:iCs w:val="0"/>
          <w:color w:val="auto"/>
          <w:sz w:val="24"/>
          <w:szCs w:val="24"/>
          <w:lang w:val="en-US"/>
        </w:rPr>
        <w:t>1</w:t>
      </w:r>
      <w:r w:rsidRPr="002B5D48">
        <w:rPr>
          <w:i w:val="0"/>
          <w:iCs w:val="0"/>
          <w:color w:val="auto"/>
          <w:sz w:val="24"/>
          <w:szCs w:val="24"/>
          <w:vertAlign w:val="superscript"/>
          <w:lang w:val="en-US"/>
        </w:rPr>
        <w:t>st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KCl pulses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>
        <w:rPr>
          <w:i w:val="0"/>
          <w:iCs w:val="0"/>
          <w:color w:val="auto"/>
          <w:sz w:val="24"/>
          <w:szCs w:val="24"/>
          <w:lang w:val="en-US"/>
        </w:rPr>
        <w:t>was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affected by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both endocannabinoids in comparison to control conditions (</w:t>
      </w:r>
      <w:r w:rsidRPr="00AC3ABF">
        <w:rPr>
          <w:color w:val="auto"/>
          <w:sz w:val="24"/>
          <w:szCs w:val="24"/>
          <w:lang w:val="en-US"/>
        </w:rPr>
        <w:t>N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= 6), but significantly only with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10 µM AEA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(</w:t>
      </w:r>
      <w:r w:rsidRPr="004270A8">
        <w:rPr>
          <w:color w:val="auto"/>
          <w:sz w:val="24"/>
          <w:szCs w:val="24"/>
          <w:lang w:val="en-US"/>
        </w:rPr>
        <w:t>N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= 5, Mann Whitney U test, ** </w:t>
      </w:r>
      <w:r w:rsidRPr="00274EFB">
        <w:rPr>
          <w:i w:val="0"/>
          <w:iCs w:val="0"/>
          <w:color w:val="auto"/>
          <w:sz w:val="24"/>
          <w:szCs w:val="24"/>
          <w:lang w:val="en-US"/>
        </w:rPr>
        <w:t>= 0.0</w:t>
      </w:r>
      <w:r>
        <w:rPr>
          <w:i w:val="0"/>
          <w:iCs w:val="0"/>
          <w:color w:val="auto"/>
          <w:sz w:val="24"/>
          <w:szCs w:val="24"/>
          <w:lang w:val="en-US"/>
        </w:rPr>
        <w:t>04)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. </w:t>
      </w:r>
      <w:r>
        <w:rPr>
          <w:i w:val="0"/>
          <w:iCs w:val="0"/>
          <w:color w:val="auto"/>
          <w:sz w:val="24"/>
          <w:szCs w:val="24"/>
          <w:lang w:val="en-US"/>
        </w:rPr>
        <w:t>(</w:t>
      </w:r>
      <w:r>
        <w:rPr>
          <w:b/>
          <w:bCs/>
          <w:i w:val="0"/>
          <w:iCs w:val="0"/>
          <w:color w:val="auto"/>
          <w:sz w:val="24"/>
          <w:szCs w:val="24"/>
          <w:lang w:val="en-US"/>
        </w:rPr>
        <w:t>D</w:t>
      </w:r>
      <w:r>
        <w:rPr>
          <w:i w:val="0"/>
          <w:iCs w:val="0"/>
          <w:color w:val="auto"/>
          <w:sz w:val="24"/>
          <w:szCs w:val="24"/>
          <w:lang w:val="en-US"/>
        </w:rPr>
        <w:t>)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The number of APs during 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the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1</w:t>
      </w:r>
      <w:r>
        <w:rPr>
          <w:i w:val="0"/>
          <w:iCs w:val="0"/>
          <w:color w:val="auto"/>
          <w:sz w:val="24"/>
          <w:szCs w:val="24"/>
          <w:lang w:val="en-US"/>
        </w:rPr>
        <w:t>-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min active phase of 1 µM Capsaicin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>w</w:t>
      </w:r>
      <w:r>
        <w:rPr>
          <w:i w:val="0"/>
          <w:iCs w:val="0"/>
          <w:color w:val="auto"/>
          <w:sz w:val="24"/>
          <w:szCs w:val="24"/>
          <w:lang w:val="en-US"/>
        </w:rPr>
        <w:t>as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 reduced after 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application of </w:t>
      </w:r>
      <w:r w:rsidRPr="003408EC">
        <w:rPr>
          <w:i w:val="0"/>
          <w:iCs w:val="0"/>
          <w:color w:val="auto"/>
          <w:sz w:val="24"/>
          <w:szCs w:val="24"/>
          <w:lang w:val="en-US"/>
        </w:rPr>
        <w:t xml:space="preserve">10 µM AEA </w:t>
      </w:r>
      <w:r>
        <w:rPr>
          <w:i w:val="0"/>
          <w:iCs w:val="0"/>
          <w:color w:val="auto"/>
          <w:sz w:val="24"/>
          <w:szCs w:val="24"/>
          <w:lang w:val="en-US"/>
        </w:rPr>
        <w:t>only (</w:t>
      </w:r>
      <w:r w:rsidRPr="00C3170E">
        <w:rPr>
          <w:color w:val="auto"/>
          <w:sz w:val="24"/>
          <w:szCs w:val="24"/>
          <w:lang w:val="en-US"/>
        </w:rPr>
        <w:t>N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= 5, Mann Whitney U test, ** </w:t>
      </w:r>
      <w:r w:rsidRPr="00274EFB">
        <w:rPr>
          <w:i w:val="0"/>
          <w:iCs w:val="0"/>
          <w:color w:val="auto"/>
          <w:sz w:val="24"/>
          <w:szCs w:val="24"/>
          <w:lang w:val="en-US"/>
        </w:rPr>
        <w:t>= 0.0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08). </w:t>
      </w:r>
      <w:r w:rsidRPr="00C76742" w:rsidDel="00C76742">
        <w:rPr>
          <w:i w:val="0"/>
          <w:iCs w:val="0"/>
          <w:color w:val="auto"/>
          <w:sz w:val="24"/>
          <w:szCs w:val="24"/>
          <w:lang w:val="en-US"/>
        </w:rPr>
        <w:t xml:space="preserve"> </w:t>
      </w:r>
    </w:p>
    <w:p w14:paraId="177F5A02" w14:textId="5FBDC35F" w:rsidR="006145DF" w:rsidRPr="001870BB" w:rsidRDefault="006145DF" w:rsidP="00281841">
      <w:pPr>
        <w:pStyle w:val="Caption"/>
        <w:spacing w:line="480" w:lineRule="auto"/>
        <w:jc w:val="both"/>
        <w:rPr>
          <w:lang w:val="en-US"/>
        </w:rPr>
      </w:pPr>
    </w:p>
    <w:p w14:paraId="3DD946AF" w14:textId="77777777" w:rsidR="006145DF" w:rsidRDefault="006145DF"/>
    <w:sectPr w:rsidR="006145DF" w:rsidSect="00DB71E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DF"/>
    <w:rsid w:val="001870BB"/>
    <w:rsid w:val="001962F8"/>
    <w:rsid w:val="00266C37"/>
    <w:rsid w:val="00281841"/>
    <w:rsid w:val="00340657"/>
    <w:rsid w:val="004F2287"/>
    <w:rsid w:val="004F45A3"/>
    <w:rsid w:val="0057170E"/>
    <w:rsid w:val="006145DF"/>
    <w:rsid w:val="006A2737"/>
    <w:rsid w:val="006E1FBD"/>
    <w:rsid w:val="007749F5"/>
    <w:rsid w:val="00810E34"/>
    <w:rsid w:val="00822C80"/>
    <w:rsid w:val="00872F80"/>
    <w:rsid w:val="008B6068"/>
    <w:rsid w:val="00A644C5"/>
    <w:rsid w:val="00B147C6"/>
    <w:rsid w:val="00B214B2"/>
    <w:rsid w:val="00B96154"/>
    <w:rsid w:val="00BE78AE"/>
    <w:rsid w:val="00C66345"/>
    <w:rsid w:val="00CC249F"/>
    <w:rsid w:val="00DB71E7"/>
    <w:rsid w:val="00EC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76ECF"/>
  <w15:chartTrackingRefBased/>
  <w15:docId w15:val="{82D127E1-62D4-0D42-B65E-69C05A4E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C249F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it-IT" w:eastAsia="it-IT"/>
    </w:rPr>
  </w:style>
  <w:style w:type="paragraph" w:styleId="Revision">
    <w:name w:val="Revision"/>
    <w:hidden/>
    <w:uiPriority w:val="99"/>
    <w:semiHidden/>
    <w:rsid w:val="00822C80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2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C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C8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C8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Della Pietra</dc:creator>
  <cp:keywords/>
  <dc:description/>
  <cp:lastModifiedBy>Erickson Dioresma</cp:lastModifiedBy>
  <cp:revision>2</cp:revision>
  <dcterms:created xsi:type="dcterms:W3CDTF">2023-03-20T22:02:00Z</dcterms:created>
  <dcterms:modified xsi:type="dcterms:W3CDTF">2023-03-20T22:02:00Z</dcterms:modified>
</cp:coreProperties>
</file>