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B04" w:rsidRDefault="00A46B04" w:rsidP="00A46B04">
      <w:pPr>
        <w:spacing w:after="200" w:line="480" w:lineRule="auto"/>
        <w:rPr>
          <w:b/>
          <w:color w:val="222222"/>
          <w:sz w:val="32"/>
          <w:szCs w:val="32"/>
          <w:shd w:val="clear" w:color="auto" w:fill="FFFFFF"/>
          <w:lang w:val="en-US"/>
        </w:rPr>
      </w:pPr>
      <w:r>
        <w:rPr>
          <w:b/>
          <w:color w:val="222222"/>
          <w:sz w:val="32"/>
          <w:szCs w:val="32"/>
          <w:shd w:val="clear" w:color="auto" w:fill="FFFFFF"/>
          <w:lang w:val="en-US"/>
        </w:rPr>
        <w:t>Additional file 5</w:t>
      </w:r>
      <w:r w:rsidRPr="009A5FD3">
        <w:rPr>
          <w:b/>
          <w:color w:val="222222"/>
          <w:sz w:val="32"/>
          <w:szCs w:val="32"/>
          <w:shd w:val="clear" w:color="auto" w:fill="FFFFFF"/>
          <w:lang w:val="en-US"/>
        </w:rPr>
        <w:t xml:space="preserve">: </w:t>
      </w:r>
      <w:r>
        <w:rPr>
          <w:b/>
          <w:color w:val="222222"/>
          <w:sz w:val="32"/>
          <w:szCs w:val="32"/>
          <w:shd w:val="clear" w:color="auto" w:fill="FFFFFF"/>
          <w:lang w:val="en-US"/>
        </w:rPr>
        <w:t xml:space="preserve">Differential source localization results between MWA and </w:t>
      </w:r>
      <w:proofErr w:type="spellStart"/>
      <w:r>
        <w:rPr>
          <w:b/>
          <w:color w:val="222222"/>
          <w:sz w:val="32"/>
          <w:szCs w:val="32"/>
          <w:shd w:val="clear" w:color="auto" w:fill="FFFFFF"/>
          <w:lang w:val="en-US"/>
        </w:rPr>
        <w:t>MWoA</w:t>
      </w:r>
      <w:proofErr w:type="spellEnd"/>
    </w:p>
    <w:p w:rsidR="00A46B04" w:rsidRDefault="00A46B04" w:rsidP="00A46B04">
      <w:pPr>
        <w:spacing w:after="200" w:line="480" w:lineRule="auto"/>
        <w:rPr>
          <w:noProof/>
          <w:szCs w:val="24"/>
          <w:lang w:val="en-US"/>
        </w:rPr>
      </w:pPr>
      <w:r>
        <w:rPr>
          <w:noProof/>
          <w:szCs w:val="24"/>
          <w:lang w:val="en-US"/>
        </w:rPr>
        <w:drawing>
          <wp:inline distT="0" distB="0" distL="0" distR="0" wp14:anchorId="00236012" wp14:editId="682952AD">
            <wp:extent cx="5759450" cy="3239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2R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B04" w:rsidRDefault="00A46B04" w:rsidP="00A46B04">
      <w:pPr>
        <w:spacing w:after="200" w:line="480" w:lineRule="auto"/>
        <w:rPr>
          <w:szCs w:val="24"/>
          <w:lang w:val="en-US"/>
        </w:rPr>
      </w:pPr>
      <w:proofErr w:type="gramStart"/>
      <w:r>
        <w:rPr>
          <w:b/>
          <w:szCs w:val="24"/>
          <w:lang w:val="en-US"/>
        </w:rPr>
        <w:t>Fig.</w:t>
      </w:r>
      <w:r w:rsidRPr="009A5FD3">
        <w:rPr>
          <w:b/>
          <w:szCs w:val="24"/>
          <w:lang w:val="en-US"/>
        </w:rPr>
        <w:t xml:space="preserve"> </w:t>
      </w:r>
      <w:r>
        <w:rPr>
          <w:b/>
          <w:szCs w:val="24"/>
          <w:lang w:val="en-US"/>
        </w:rPr>
        <w:t>4 Differential s</w:t>
      </w:r>
      <w:r w:rsidRPr="009A5FD3">
        <w:rPr>
          <w:b/>
          <w:szCs w:val="24"/>
          <w:lang w:val="en-US"/>
        </w:rPr>
        <w:t>ource localization for CO</w:t>
      </w:r>
      <w:r w:rsidRPr="007B446E">
        <w:rPr>
          <w:b/>
          <w:szCs w:val="24"/>
          <w:vertAlign w:val="subscript"/>
          <w:lang w:val="en-US"/>
        </w:rPr>
        <w:t>2</w:t>
      </w:r>
      <w:r>
        <w:rPr>
          <w:b/>
          <w:szCs w:val="24"/>
          <w:lang w:val="en-US"/>
        </w:rPr>
        <w:t xml:space="preserve">R between MWA and </w:t>
      </w:r>
      <w:proofErr w:type="spellStart"/>
      <w:r>
        <w:rPr>
          <w:b/>
          <w:szCs w:val="24"/>
          <w:lang w:val="en-US"/>
        </w:rPr>
        <w:t>MWoA</w:t>
      </w:r>
      <w:proofErr w:type="spellEnd"/>
      <w:r w:rsidRPr="009A5FD3">
        <w:rPr>
          <w:b/>
          <w:szCs w:val="24"/>
          <w:lang w:val="en-US"/>
        </w:rPr>
        <w:t xml:space="preserve"> </w:t>
      </w:r>
      <w:r>
        <w:rPr>
          <w:b/>
          <w:szCs w:val="24"/>
          <w:lang w:val="en-US"/>
        </w:rPr>
        <w:t>in four post-stimulus time-ranges</w:t>
      </w:r>
      <w:r w:rsidRPr="009A5FD3">
        <w:rPr>
          <w:b/>
          <w:szCs w:val="24"/>
          <w:lang w:val="en-US"/>
        </w:rPr>
        <w:t>.</w:t>
      </w:r>
      <w:proofErr w:type="gramEnd"/>
      <w:r w:rsidRPr="009A5FD3">
        <w:rPr>
          <w:b/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The left panel shows the source reconstruction on slices, the right panel presents the same source reconstruction in a 3D glass view. Slice levels are reported on the left side of the rows. LAURA algorithm was used, and unpaired t-test was performed on the whole epoch time-course. Results were considered as valid when at least 16 consecutive time-frames (around 30 </w:t>
      </w:r>
      <w:proofErr w:type="spellStart"/>
      <w:r>
        <w:rPr>
          <w:szCs w:val="24"/>
          <w:lang w:val="en-US"/>
        </w:rPr>
        <w:t>ms</w:t>
      </w:r>
      <w:proofErr w:type="spellEnd"/>
      <w:r>
        <w:rPr>
          <w:szCs w:val="24"/>
          <w:lang w:val="en-US"/>
        </w:rPr>
        <w:t>) were significant (p &lt; 0.05)</w:t>
      </w:r>
      <w:proofErr w:type="gramStart"/>
      <w:r>
        <w:rPr>
          <w:szCs w:val="24"/>
          <w:lang w:val="en-US"/>
        </w:rPr>
        <w:t>,</w:t>
      </w:r>
      <w:proofErr w:type="gramEnd"/>
      <w:r>
        <w:rPr>
          <w:szCs w:val="24"/>
          <w:lang w:val="en-US"/>
        </w:rPr>
        <w:t xml:space="preserve"> the mean over the corresponding period of time is reported. The data are uncorrected. </w:t>
      </w:r>
      <w:r w:rsidRPr="009A5FD3">
        <w:rPr>
          <w:szCs w:val="24"/>
          <w:lang w:val="en-US"/>
        </w:rPr>
        <w:t>L: left, R: right</w:t>
      </w:r>
      <w:r>
        <w:rPr>
          <w:szCs w:val="24"/>
          <w:lang w:val="en-US"/>
        </w:rPr>
        <w:t xml:space="preserve">, P: posterior, A: anterior, Pre4: precentral gyrus, A1: postcentral gyrus, </w:t>
      </w:r>
      <w:proofErr w:type="spellStart"/>
      <w:r>
        <w:rPr>
          <w:szCs w:val="24"/>
          <w:lang w:val="en-US"/>
        </w:rPr>
        <w:t>PreCG</w:t>
      </w:r>
      <w:proofErr w:type="spellEnd"/>
      <w:r>
        <w:rPr>
          <w:szCs w:val="24"/>
          <w:lang w:val="en-US"/>
        </w:rPr>
        <w:t>:</w:t>
      </w:r>
      <w:r w:rsidRPr="002A37A8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precentral gyrus, </w:t>
      </w:r>
      <w:proofErr w:type="spellStart"/>
      <w:r>
        <w:rPr>
          <w:szCs w:val="24"/>
          <w:lang w:val="en-US"/>
        </w:rPr>
        <w:t>Prec</w:t>
      </w:r>
      <w:proofErr w:type="spellEnd"/>
      <w:r>
        <w:rPr>
          <w:szCs w:val="24"/>
          <w:lang w:val="en-US"/>
        </w:rPr>
        <w:t xml:space="preserve">: </w:t>
      </w:r>
      <w:proofErr w:type="spellStart"/>
      <w:r>
        <w:rPr>
          <w:szCs w:val="24"/>
          <w:lang w:val="en-US"/>
        </w:rPr>
        <w:t>precuneus</w:t>
      </w:r>
      <w:proofErr w:type="spellEnd"/>
      <w:r>
        <w:rPr>
          <w:szCs w:val="24"/>
          <w:lang w:val="en-US"/>
        </w:rPr>
        <w:t xml:space="preserve">, hOc1: </w:t>
      </w:r>
      <w:proofErr w:type="spellStart"/>
      <w:r>
        <w:rPr>
          <w:szCs w:val="24"/>
          <w:lang w:val="en-US"/>
        </w:rPr>
        <w:t>calcarine</w:t>
      </w:r>
      <w:proofErr w:type="spellEnd"/>
      <w:r>
        <w:rPr>
          <w:szCs w:val="24"/>
          <w:lang w:val="en-US"/>
        </w:rPr>
        <w:t xml:space="preserve"> sulcus, </w:t>
      </w:r>
      <w:proofErr w:type="spellStart"/>
      <w:r>
        <w:rPr>
          <w:szCs w:val="24"/>
          <w:lang w:val="en-US"/>
        </w:rPr>
        <w:t>Fus</w:t>
      </w:r>
      <w:proofErr w:type="spellEnd"/>
      <w:r>
        <w:rPr>
          <w:szCs w:val="24"/>
          <w:lang w:val="en-US"/>
        </w:rPr>
        <w:t xml:space="preserve">: fusiform gyrus. </w:t>
      </w:r>
    </w:p>
    <w:p w:rsidR="00A46B04" w:rsidRDefault="00A46B04" w:rsidP="00A46B04">
      <w:pPr>
        <w:spacing w:after="200" w:line="480" w:lineRule="auto"/>
        <w:rPr>
          <w:szCs w:val="24"/>
          <w:lang w:val="en-US"/>
        </w:rPr>
      </w:pPr>
      <w:r>
        <w:rPr>
          <w:noProof/>
          <w:szCs w:val="24"/>
          <w:lang w:val="en-US"/>
        </w:rPr>
        <w:lastRenderedPageBreak/>
        <w:drawing>
          <wp:inline distT="0" distB="0" distL="0" distR="0" wp14:anchorId="1455A346" wp14:editId="34656FEC">
            <wp:extent cx="5759450" cy="32396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ocL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B04" w:rsidRDefault="00A46B04" w:rsidP="00A46B04">
      <w:pPr>
        <w:spacing w:after="200" w:line="480" w:lineRule="auto"/>
        <w:rPr>
          <w:szCs w:val="24"/>
          <w:lang w:val="en-US"/>
        </w:rPr>
      </w:pPr>
      <w:proofErr w:type="gramStart"/>
      <w:r>
        <w:rPr>
          <w:b/>
          <w:szCs w:val="24"/>
          <w:lang w:val="en-US"/>
        </w:rPr>
        <w:t>Fig.</w:t>
      </w:r>
      <w:r w:rsidRPr="009A5FD3">
        <w:rPr>
          <w:b/>
          <w:szCs w:val="24"/>
          <w:lang w:val="en-US"/>
        </w:rPr>
        <w:t xml:space="preserve"> </w:t>
      </w:r>
      <w:r>
        <w:rPr>
          <w:b/>
          <w:szCs w:val="24"/>
          <w:lang w:val="en-US"/>
        </w:rPr>
        <w:t xml:space="preserve">5 Differential source localization for </w:t>
      </w:r>
      <w:proofErr w:type="spellStart"/>
      <w:r>
        <w:rPr>
          <w:b/>
          <w:szCs w:val="24"/>
          <w:lang w:val="en-US"/>
        </w:rPr>
        <w:t>ChocL</w:t>
      </w:r>
      <w:proofErr w:type="spellEnd"/>
      <w:r>
        <w:rPr>
          <w:b/>
          <w:szCs w:val="24"/>
          <w:lang w:val="en-US"/>
        </w:rPr>
        <w:t xml:space="preserve"> between MWA and </w:t>
      </w:r>
      <w:proofErr w:type="spellStart"/>
      <w:r>
        <w:rPr>
          <w:b/>
          <w:szCs w:val="24"/>
          <w:lang w:val="en-US"/>
        </w:rPr>
        <w:t>MWoA</w:t>
      </w:r>
      <w:proofErr w:type="spellEnd"/>
      <w:r w:rsidRPr="009A5FD3">
        <w:rPr>
          <w:b/>
          <w:szCs w:val="24"/>
          <w:lang w:val="en-US"/>
        </w:rPr>
        <w:t xml:space="preserve"> </w:t>
      </w:r>
      <w:r>
        <w:rPr>
          <w:b/>
          <w:szCs w:val="24"/>
          <w:lang w:val="en-US"/>
        </w:rPr>
        <w:t>in two post-stimulus time-ranges</w:t>
      </w:r>
      <w:r w:rsidRPr="009A5FD3">
        <w:rPr>
          <w:b/>
          <w:szCs w:val="24"/>
          <w:lang w:val="en-US"/>
        </w:rPr>
        <w:t>.</w:t>
      </w:r>
      <w:proofErr w:type="gramEnd"/>
      <w:r w:rsidRPr="009A5FD3">
        <w:rPr>
          <w:b/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The left panel shows the source reconstruction on slices, the right panel presents the same source reconstruction in a 3D glass view. Slice levels are reported on the left side of the rows. LAURA algorithm was used, and unpaired t-test was performed on the whole epoch time-course. Results were considered as valid when at least 16 consecutive time-frames (around 30 </w:t>
      </w:r>
      <w:proofErr w:type="spellStart"/>
      <w:r>
        <w:rPr>
          <w:szCs w:val="24"/>
          <w:lang w:val="en-US"/>
        </w:rPr>
        <w:t>ms</w:t>
      </w:r>
      <w:proofErr w:type="spellEnd"/>
      <w:r>
        <w:rPr>
          <w:szCs w:val="24"/>
          <w:lang w:val="en-US"/>
        </w:rPr>
        <w:t xml:space="preserve">) were significant, the mean over the corresponding period of time is reported. The data are uncorrected. </w:t>
      </w:r>
      <w:r w:rsidRPr="009A5FD3">
        <w:rPr>
          <w:szCs w:val="24"/>
          <w:lang w:val="en-US"/>
        </w:rPr>
        <w:t>L: left, R: right</w:t>
      </w:r>
      <w:r>
        <w:rPr>
          <w:szCs w:val="24"/>
          <w:lang w:val="en-US"/>
        </w:rPr>
        <w:t xml:space="preserve">, P: posterior, A: anterior, </w:t>
      </w:r>
      <w:proofErr w:type="spellStart"/>
      <w:r>
        <w:rPr>
          <w:szCs w:val="24"/>
          <w:lang w:val="en-US"/>
        </w:rPr>
        <w:t>ChocL</w:t>
      </w:r>
      <w:proofErr w:type="spellEnd"/>
      <w:r>
        <w:rPr>
          <w:szCs w:val="24"/>
          <w:lang w:val="en-US"/>
        </w:rPr>
        <w:t xml:space="preserve">: left sided chocolate odor. </w:t>
      </w:r>
      <w:proofErr w:type="spellStart"/>
      <w:r>
        <w:rPr>
          <w:szCs w:val="24"/>
          <w:lang w:val="en-US"/>
        </w:rPr>
        <w:t>ParaC</w:t>
      </w:r>
      <w:proofErr w:type="spellEnd"/>
      <w:r>
        <w:rPr>
          <w:szCs w:val="24"/>
          <w:lang w:val="en-US"/>
        </w:rPr>
        <w:t xml:space="preserve">: paracentral lobule, </w:t>
      </w:r>
      <w:proofErr w:type="spellStart"/>
      <w:r>
        <w:rPr>
          <w:szCs w:val="24"/>
          <w:lang w:val="en-US"/>
        </w:rPr>
        <w:t>PreCG</w:t>
      </w:r>
      <w:proofErr w:type="spellEnd"/>
      <w:r>
        <w:rPr>
          <w:szCs w:val="24"/>
          <w:lang w:val="en-US"/>
        </w:rPr>
        <w:t xml:space="preserve">: precentral gyrus, mF: middle frontal gyrus, Put: </w:t>
      </w:r>
      <w:proofErr w:type="spellStart"/>
      <w:r>
        <w:rPr>
          <w:szCs w:val="24"/>
          <w:lang w:val="en-US"/>
        </w:rPr>
        <w:t>lentiform</w:t>
      </w:r>
      <w:proofErr w:type="spellEnd"/>
      <w:r>
        <w:rPr>
          <w:szCs w:val="24"/>
          <w:lang w:val="en-US"/>
        </w:rPr>
        <w:t xml:space="preserve"> nucleus of the putamen, </w:t>
      </w:r>
      <w:proofErr w:type="spellStart"/>
      <w:r>
        <w:rPr>
          <w:szCs w:val="24"/>
          <w:lang w:val="en-US"/>
        </w:rPr>
        <w:t>Amg</w:t>
      </w:r>
      <w:proofErr w:type="spellEnd"/>
      <w:r>
        <w:rPr>
          <w:szCs w:val="24"/>
          <w:lang w:val="en-US"/>
        </w:rPr>
        <w:t xml:space="preserve">: amygdala, Para: </w:t>
      </w:r>
      <w:proofErr w:type="spellStart"/>
      <w:r>
        <w:rPr>
          <w:szCs w:val="24"/>
          <w:lang w:val="en-US"/>
        </w:rPr>
        <w:t>parahippocampal</w:t>
      </w:r>
      <w:proofErr w:type="spellEnd"/>
      <w:r>
        <w:rPr>
          <w:szCs w:val="24"/>
          <w:lang w:val="en-US"/>
        </w:rPr>
        <w:t xml:space="preserve"> gyrus, Br.: brainstem. </w:t>
      </w:r>
    </w:p>
    <w:p w:rsidR="00A46B04" w:rsidRDefault="00A46B04" w:rsidP="00A46B04">
      <w:pPr>
        <w:spacing w:after="200" w:line="480" w:lineRule="auto"/>
        <w:rPr>
          <w:szCs w:val="24"/>
          <w:lang w:val="en-US"/>
        </w:rPr>
      </w:pPr>
      <w:r>
        <w:rPr>
          <w:b/>
          <w:noProof/>
          <w:szCs w:val="24"/>
          <w:lang w:val="en-US"/>
        </w:rPr>
        <w:lastRenderedPageBreak/>
        <w:drawing>
          <wp:inline distT="0" distB="0" distL="0" distR="0" wp14:anchorId="3283931E" wp14:editId="7CAFAC54">
            <wp:extent cx="5759450" cy="270869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ocR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92"/>
                    <a:stretch/>
                  </pic:blipFill>
                  <pic:spPr bwMode="auto">
                    <a:xfrm>
                      <a:off x="0" y="0"/>
                      <a:ext cx="5759450" cy="2708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rPr>
          <w:b/>
          <w:szCs w:val="24"/>
          <w:lang w:val="en-US"/>
        </w:rPr>
        <w:t>Fig.</w:t>
      </w:r>
      <w:r w:rsidRPr="009A5FD3">
        <w:rPr>
          <w:b/>
          <w:szCs w:val="24"/>
          <w:lang w:val="en-US"/>
        </w:rPr>
        <w:t xml:space="preserve"> </w:t>
      </w:r>
      <w:r>
        <w:rPr>
          <w:b/>
          <w:szCs w:val="24"/>
          <w:lang w:val="en-US"/>
        </w:rPr>
        <w:t xml:space="preserve">6 Differential source localization for </w:t>
      </w:r>
      <w:proofErr w:type="spellStart"/>
      <w:r>
        <w:rPr>
          <w:b/>
          <w:szCs w:val="24"/>
          <w:lang w:val="en-US"/>
        </w:rPr>
        <w:t>ChocR</w:t>
      </w:r>
      <w:proofErr w:type="spellEnd"/>
      <w:r>
        <w:rPr>
          <w:b/>
          <w:szCs w:val="24"/>
          <w:lang w:val="en-US"/>
        </w:rPr>
        <w:t xml:space="preserve"> between MWA and </w:t>
      </w:r>
      <w:proofErr w:type="spellStart"/>
      <w:r>
        <w:rPr>
          <w:b/>
          <w:szCs w:val="24"/>
          <w:lang w:val="en-US"/>
        </w:rPr>
        <w:t>MWoA</w:t>
      </w:r>
      <w:proofErr w:type="spellEnd"/>
      <w:r w:rsidRPr="009A5FD3">
        <w:rPr>
          <w:b/>
          <w:szCs w:val="24"/>
          <w:lang w:val="en-US"/>
        </w:rPr>
        <w:t xml:space="preserve"> </w:t>
      </w:r>
      <w:r>
        <w:rPr>
          <w:b/>
          <w:szCs w:val="24"/>
          <w:lang w:val="en-US"/>
        </w:rPr>
        <w:t xml:space="preserve">in the 570-724 </w:t>
      </w:r>
      <w:proofErr w:type="spellStart"/>
      <w:r>
        <w:rPr>
          <w:b/>
          <w:szCs w:val="24"/>
          <w:lang w:val="en-US"/>
        </w:rPr>
        <w:t>ms</w:t>
      </w:r>
      <w:proofErr w:type="spellEnd"/>
      <w:r>
        <w:rPr>
          <w:b/>
          <w:szCs w:val="24"/>
          <w:lang w:val="en-US"/>
        </w:rPr>
        <w:t xml:space="preserve"> post-stimulus time-range</w:t>
      </w:r>
      <w:r w:rsidRPr="009A5FD3">
        <w:rPr>
          <w:b/>
          <w:szCs w:val="24"/>
          <w:lang w:val="en-US"/>
        </w:rPr>
        <w:t>.</w:t>
      </w:r>
      <w:proofErr w:type="gramEnd"/>
      <w:r w:rsidRPr="009A5FD3">
        <w:rPr>
          <w:b/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The left panel shows the source reconstruction on slices, the right panel presents the same source reconstruction in a 3D glass view. Slice levels are reported on the left side of the rows. LAURA algorithm was used, and unpaired t-test was performed on the whole epoch time-course. Results were considered as valid when at least 16 consecutive time-frames (around 30 </w:t>
      </w:r>
      <w:proofErr w:type="spellStart"/>
      <w:r>
        <w:rPr>
          <w:szCs w:val="24"/>
          <w:lang w:val="en-US"/>
        </w:rPr>
        <w:t>ms</w:t>
      </w:r>
      <w:proofErr w:type="spellEnd"/>
      <w:r>
        <w:rPr>
          <w:szCs w:val="24"/>
          <w:lang w:val="en-US"/>
        </w:rPr>
        <w:t xml:space="preserve">) were significant, the mean over the corresponding period of time is reported. The data are uncorrected. </w:t>
      </w:r>
      <w:r w:rsidRPr="009A5FD3">
        <w:rPr>
          <w:szCs w:val="24"/>
          <w:lang w:val="en-US"/>
        </w:rPr>
        <w:t>L: left, R: right</w:t>
      </w:r>
      <w:r>
        <w:rPr>
          <w:szCs w:val="24"/>
          <w:lang w:val="en-US"/>
        </w:rPr>
        <w:t xml:space="preserve">, P: posterior, A: anterior, </w:t>
      </w:r>
      <w:proofErr w:type="spellStart"/>
      <w:r>
        <w:rPr>
          <w:szCs w:val="24"/>
          <w:lang w:val="en-US"/>
        </w:rPr>
        <w:t>ChocR</w:t>
      </w:r>
      <w:proofErr w:type="spellEnd"/>
      <w:r>
        <w:rPr>
          <w:szCs w:val="24"/>
          <w:lang w:val="en-US"/>
        </w:rPr>
        <w:t>: right sided chocolate odor.</w:t>
      </w:r>
    </w:p>
    <w:p w:rsidR="00A46B04" w:rsidRPr="00615730" w:rsidRDefault="00A46B04" w:rsidP="00A46B04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</w:p>
    <w:p w:rsidR="00035AD2" w:rsidRDefault="00035AD2">
      <w:bookmarkStart w:id="0" w:name="_GoBack"/>
      <w:bookmarkEnd w:id="0"/>
    </w:p>
    <w:sectPr w:rsidR="00035AD2" w:rsidSect="00A46B04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41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3185" w:rsidRDefault="00A46B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3185" w:rsidRDefault="00A46B0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04"/>
    <w:rsid w:val="00035AD2"/>
    <w:rsid w:val="000362C0"/>
    <w:rsid w:val="0004260D"/>
    <w:rsid w:val="000443A0"/>
    <w:rsid w:val="00076520"/>
    <w:rsid w:val="0008214A"/>
    <w:rsid w:val="00086FC3"/>
    <w:rsid w:val="000B0741"/>
    <w:rsid w:val="000B0B2E"/>
    <w:rsid w:val="000C2DE5"/>
    <w:rsid w:val="000D12EE"/>
    <w:rsid w:val="000F0063"/>
    <w:rsid w:val="000F31CC"/>
    <w:rsid w:val="00121BB6"/>
    <w:rsid w:val="00123B64"/>
    <w:rsid w:val="001276A7"/>
    <w:rsid w:val="001432B7"/>
    <w:rsid w:val="00166A9C"/>
    <w:rsid w:val="00195494"/>
    <w:rsid w:val="00196390"/>
    <w:rsid w:val="001C2829"/>
    <w:rsid w:val="001D0F37"/>
    <w:rsid w:val="002068B3"/>
    <w:rsid w:val="00217821"/>
    <w:rsid w:val="002616CC"/>
    <w:rsid w:val="00272C53"/>
    <w:rsid w:val="00295941"/>
    <w:rsid w:val="002A05B4"/>
    <w:rsid w:val="002B03BA"/>
    <w:rsid w:val="00344822"/>
    <w:rsid w:val="00380FC5"/>
    <w:rsid w:val="00393179"/>
    <w:rsid w:val="00467929"/>
    <w:rsid w:val="00470519"/>
    <w:rsid w:val="00474CBC"/>
    <w:rsid w:val="004A772A"/>
    <w:rsid w:val="004D0931"/>
    <w:rsid w:val="004D2603"/>
    <w:rsid w:val="005206A9"/>
    <w:rsid w:val="00592325"/>
    <w:rsid w:val="005A1ADC"/>
    <w:rsid w:val="005F28B7"/>
    <w:rsid w:val="0060456B"/>
    <w:rsid w:val="006446B3"/>
    <w:rsid w:val="0064634F"/>
    <w:rsid w:val="006C0084"/>
    <w:rsid w:val="006C4B61"/>
    <w:rsid w:val="006D3031"/>
    <w:rsid w:val="006D4FA9"/>
    <w:rsid w:val="006E510C"/>
    <w:rsid w:val="006E5B2D"/>
    <w:rsid w:val="00712534"/>
    <w:rsid w:val="007365CE"/>
    <w:rsid w:val="00762D19"/>
    <w:rsid w:val="0076594C"/>
    <w:rsid w:val="00782192"/>
    <w:rsid w:val="007B3E1F"/>
    <w:rsid w:val="007E0FA8"/>
    <w:rsid w:val="00853A9E"/>
    <w:rsid w:val="00856EB7"/>
    <w:rsid w:val="00876B5E"/>
    <w:rsid w:val="00882605"/>
    <w:rsid w:val="00885E1A"/>
    <w:rsid w:val="008D50BE"/>
    <w:rsid w:val="008E22F9"/>
    <w:rsid w:val="008E44B8"/>
    <w:rsid w:val="008E54D1"/>
    <w:rsid w:val="008F536A"/>
    <w:rsid w:val="008F74A4"/>
    <w:rsid w:val="009225DF"/>
    <w:rsid w:val="00936619"/>
    <w:rsid w:val="00994849"/>
    <w:rsid w:val="00A218A7"/>
    <w:rsid w:val="00A37A5F"/>
    <w:rsid w:val="00A415FE"/>
    <w:rsid w:val="00A458B6"/>
    <w:rsid w:val="00A46B04"/>
    <w:rsid w:val="00A54B9A"/>
    <w:rsid w:val="00A70EE2"/>
    <w:rsid w:val="00A84F33"/>
    <w:rsid w:val="00AA3695"/>
    <w:rsid w:val="00B30AF5"/>
    <w:rsid w:val="00B532D7"/>
    <w:rsid w:val="00B6792A"/>
    <w:rsid w:val="00B7144C"/>
    <w:rsid w:val="00B8285B"/>
    <w:rsid w:val="00BC3BA7"/>
    <w:rsid w:val="00BC55B0"/>
    <w:rsid w:val="00BE00FC"/>
    <w:rsid w:val="00C50A36"/>
    <w:rsid w:val="00C51815"/>
    <w:rsid w:val="00C61758"/>
    <w:rsid w:val="00C845C6"/>
    <w:rsid w:val="00C86BC8"/>
    <w:rsid w:val="00C97F62"/>
    <w:rsid w:val="00CB16B1"/>
    <w:rsid w:val="00D300EF"/>
    <w:rsid w:val="00D505B6"/>
    <w:rsid w:val="00D56966"/>
    <w:rsid w:val="00DA3ABA"/>
    <w:rsid w:val="00DB0F13"/>
    <w:rsid w:val="00E05644"/>
    <w:rsid w:val="00E0630D"/>
    <w:rsid w:val="00E40AE3"/>
    <w:rsid w:val="00E92047"/>
    <w:rsid w:val="00ED08B3"/>
    <w:rsid w:val="00ED3B0B"/>
    <w:rsid w:val="00EF1B43"/>
    <w:rsid w:val="00F10C0A"/>
    <w:rsid w:val="00F13D6A"/>
    <w:rsid w:val="00F33613"/>
    <w:rsid w:val="00F60190"/>
    <w:rsid w:val="00F76743"/>
    <w:rsid w:val="00F83289"/>
    <w:rsid w:val="00F8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B0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6B0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B04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B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B04"/>
    <w:rPr>
      <w:rFonts w:ascii="Tahoma" w:eastAsia="Times New Roman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B0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6B0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B04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B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B04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Nelfa Pausal</dc:creator>
  <cp:lastModifiedBy>Nelfa Pausal</cp:lastModifiedBy>
  <cp:revision>1</cp:revision>
  <dcterms:created xsi:type="dcterms:W3CDTF">2023-05-05T11:43:00Z</dcterms:created>
  <dcterms:modified xsi:type="dcterms:W3CDTF">2023-05-05T11:43:00Z</dcterms:modified>
</cp:coreProperties>
</file>