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EEBD2E" w14:textId="5BF3C21A" w:rsidR="001643FA" w:rsidRPr="00B931F3" w:rsidRDefault="004C1709">
      <w:pPr>
        <w:rPr>
          <w:b/>
          <w:bCs/>
        </w:rPr>
      </w:pPr>
      <w:bookmarkStart w:id="0" w:name="_Hlk134644233"/>
      <w:bookmarkEnd w:id="0"/>
      <w:r w:rsidRPr="004C1709">
        <w:rPr>
          <w:b/>
          <w:bCs/>
        </w:rPr>
        <w:t xml:space="preserve">Additional file </w:t>
      </w:r>
      <w:r>
        <w:rPr>
          <w:b/>
          <w:bCs/>
        </w:rPr>
        <w:t>2</w:t>
      </w:r>
      <w:r w:rsidRPr="004C1709">
        <w:rPr>
          <w:b/>
          <w:bCs/>
        </w:rPr>
        <w:t>:</w:t>
      </w:r>
      <w:r>
        <w:rPr>
          <w:b/>
          <w:bCs/>
        </w:rPr>
        <w:t xml:space="preserve"> </w:t>
      </w:r>
      <w:r w:rsidR="00B931F3" w:rsidRPr="00B931F3">
        <w:rPr>
          <w:b/>
          <w:bCs/>
        </w:rPr>
        <w:t>A</w:t>
      </w:r>
      <w:r w:rsidR="001643FA" w:rsidRPr="00B931F3">
        <w:rPr>
          <w:b/>
          <w:bCs/>
        </w:rPr>
        <w:t>ppendix</w:t>
      </w:r>
      <w:r w:rsidR="00B931F3" w:rsidRPr="00B931F3">
        <w:rPr>
          <w:b/>
          <w:bCs/>
        </w:rPr>
        <w:t xml:space="preserve"> </w:t>
      </w:r>
      <w:r w:rsidR="001643FA" w:rsidRPr="00B931F3">
        <w:rPr>
          <w:b/>
          <w:bCs/>
        </w:rPr>
        <w:t>2</w:t>
      </w:r>
      <w:r>
        <w:rPr>
          <w:b/>
          <w:bCs/>
        </w:rPr>
        <w:t>.</w:t>
      </w:r>
      <w:r w:rsidR="001643FA" w:rsidRPr="00B931F3">
        <w:rPr>
          <w:b/>
          <w:bCs/>
        </w:rPr>
        <w:t xml:space="preserve"> Inclusion and Exclusion </w:t>
      </w:r>
      <w:r w:rsidR="00F86E98">
        <w:rPr>
          <w:b/>
          <w:bCs/>
        </w:rPr>
        <w:t>Criteria</w:t>
      </w:r>
    </w:p>
    <w:tbl>
      <w:tblPr>
        <w:tblStyle w:val="TableGrid"/>
        <w:tblW w:w="9067" w:type="dxa"/>
        <w:tblLook w:val="04A0" w:firstRow="1" w:lastRow="0" w:firstColumn="1" w:lastColumn="0" w:noHBand="0" w:noVBand="1"/>
      </w:tblPr>
      <w:tblGrid>
        <w:gridCol w:w="1460"/>
        <w:gridCol w:w="3223"/>
        <w:gridCol w:w="4384"/>
      </w:tblGrid>
      <w:tr w:rsidR="001643FA" w:rsidRPr="00B931F3" w14:paraId="2321E8A3" w14:textId="77777777" w:rsidTr="00F3651E">
        <w:tc>
          <w:tcPr>
            <w:tcW w:w="4683" w:type="dxa"/>
            <w:gridSpan w:val="2"/>
          </w:tcPr>
          <w:p w14:paraId="14689F3F" w14:textId="57BD5379" w:rsidR="001643FA" w:rsidRPr="00C826AE" w:rsidRDefault="00B931F3" w:rsidP="00F3651E">
            <w:pPr>
              <w:rPr>
                <w:rFonts w:cstheme="minorHAnsi"/>
                <w:b/>
                <w:bCs/>
                <w:sz w:val="20"/>
                <w:szCs w:val="20"/>
              </w:rPr>
            </w:pPr>
            <w:r w:rsidRPr="00C826AE">
              <w:rPr>
                <w:rFonts w:cstheme="minorHAnsi"/>
                <w:b/>
                <w:bCs/>
                <w:sz w:val="20"/>
                <w:szCs w:val="20"/>
              </w:rPr>
              <w:t>INCLUSION CRITERIA</w:t>
            </w:r>
          </w:p>
        </w:tc>
        <w:tc>
          <w:tcPr>
            <w:tcW w:w="4384" w:type="dxa"/>
          </w:tcPr>
          <w:p w14:paraId="0CB1FC1F" w14:textId="256DBFDA" w:rsidR="001643FA" w:rsidRPr="00C826AE" w:rsidRDefault="00B931F3" w:rsidP="00F3651E">
            <w:pPr>
              <w:rPr>
                <w:rFonts w:cstheme="minorHAnsi"/>
                <w:b/>
                <w:bCs/>
                <w:sz w:val="20"/>
                <w:szCs w:val="20"/>
              </w:rPr>
            </w:pPr>
            <w:r w:rsidRPr="00C826AE">
              <w:rPr>
                <w:rFonts w:cstheme="minorHAnsi"/>
                <w:b/>
                <w:bCs/>
                <w:sz w:val="20"/>
                <w:szCs w:val="20"/>
              </w:rPr>
              <w:t xml:space="preserve">EXCLUSION CRITERIA </w:t>
            </w:r>
          </w:p>
        </w:tc>
      </w:tr>
      <w:tr w:rsidR="001643FA" w:rsidRPr="00AA5EBC" w14:paraId="140323BB" w14:textId="77777777" w:rsidTr="00F3651E">
        <w:tc>
          <w:tcPr>
            <w:tcW w:w="1460" w:type="dxa"/>
          </w:tcPr>
          <w:p w14:paraId="66E6719B" w14:textId="77777777" w:rsidR="001643FA" w:rsidRPr="00C826AE" w:rsidRDefault="001643FA" w:rsidP="00F3651E">
            <w:pPr>
              <w:rPr>
                <w:rFonts w:cstheme="minorHAnsi"/>
                <w:b/>
                <w:bCs/>
                <w:sz w:val="20"/>
                <w:szCs w:val="20"/>
              </w:rPr>
            </w:pPr>
            <w:r w:rsidRPr="00C826AE">
              <w:rPr>
                <w:rFonts w:cstheme="minorHAnsi"/>
                <w:b/>
                <w:bCs/>
                <w:sz w:val="20"/>
                <w:szCs w:val="20"/>
              </w:rPr>
              <w:t>Population</w:t>
            </w:r>
          </w:p>
        </w:tc>
        <w:tc>
          <w:tcPr>
            <w:tcW w:w="3223" w:type="dxa"/>
          </w:tcPr>
          <w:p w14:paraId="31A13096" w14:textId="1A17E50D" w:rsidR="001643FA" w:rsidRPr="00C826AE" w:rsidRDefault="001643FA" w:rsidP="00B931F3">
            <w:pPr>
              <w:pStyle w:val="ListParagraph"/>
              <w:numPr>
                <w:ilvl w:val="0"/>
                <w:numId w:val="32"/>
              </w:numPr>
              <w:ind w:left="340" w:hanging="227"/>
              <w:rPr>
                <w:rFonts w:cstheme="minorHAnsi"/>
                <w:sz w:val="20"/>
                <w:szCs w:val="20"/>
              </w:rPr>
            </w:pPr>
            <w:r w:rsidRPr="00C826AE">
              <w:rPr>
                <w:rFonts w:cstheme="minorHAnsi"/>
                <w:sz w:val="20"/>
                <w:szCs w:val="20"/>
              </w:rPr>
              <w:t>Adults (≥18 years old) with chronic migraine</w:t>
            </w:r>
            <w:r w:rsidR="00093B44" w:rsidRPr="00C826AE">
              <w:rPr>
                <w:rFonts w:cstheme="minorHAnsi"/>
                <w:sz w:val="20"/>
                <w:szCs w:val="20"/>
              </w:rPr>
              <w:t>.</w:t>
            </w:r>
          </w:p>
        </w:tc>
        <w:tc>
          <w:tcPr>
            <w:tcW w:w="4384" w:type="dxa"/>
          </w:tcPr>
          <w:p w14:paraId="0FD1A5D7" w14:textId="77777777" w:rsidR="001643FA" w:rsidRPr="00C826AE" w:rsidRDefault="001643FA" w:rsidP="00B931F3">
            <w:pPr>
              <w:pStyle w:val="ListParagraph"/>
              <w:numPr>
                <w:ilvl w:val="0"/>
                <w:numId w:val="3"/>
              </w:numPr>
              <w:ind w:left="340" w:hanging="227"/>
              <w:rPr>
                <w:rFonts w:asciiTheme="minorHAnsi" w:hAnsiTheme="minorHAnsi" w:cstheme="minorHAnsi"/>
                <w:sz w:val="20"/>
                <w:szCs w:val="20"/>
              </w:rPr>
            </w:pPr>
            <w:r w:rsidRPr="00C826AE">
              <w:rPr>
                <w:rFonts w:asciiTheme="minorHAnsi" w:hAnsiTheme="minorHAnsi" w:cstheme="minorHAnsi"/>
                <w:sz w:val="20"/>
                <w:szCs w:val="20"/>
              </w:rPr>
              <w:t>Children and young people aged &lt; 18 years</w:t>
            </w:r>
          </w:p>
          <w:p w14:paraId="78D3D72F" w14:textId="6165D136" w:rsidR="001643FA" w:rsidRPr="00C826AE" w:rsidRDefault="001643FA" w:rsidP="00B931F3">
            <w:pPr>
              <w:pStyle w:val="ListParagraph"/>
              <w:numPr>
                <w:ilvl w:val="0"/>
                <w:numId w:val="3"/>
              </w:numPr>
              <w:ind w:left="340" w:hanging="227"/>
              <w:rPr>
                <w:rFonts w:asciiTheme="minorHAnsi" w:hAnsiTheme="minorHAnsi" w:cstheme="minorHAnsi"/>
                <w:sz w:val="20"/>
                <w:szCs w:val="20"/>
              </w:rPr>
            </w:pPr>
            <w:r w:rsidRPr="00C826AE">
              <w:rPr>
                <w:rFonts w:asciiTheme="minorHAnsi" w:eastAsia="Times New Roman" w:hAnsiTheme="minorHAnsi" w:cstheme="minorHAnsi"/>
                <w:sz w:val="20"/>
                <w:szCs w:val="20"/>
                <w:lang w:eastAsia="en-GB"/>
              </w:rPr>
              <w:t>Participants with menstrual migraine, acute migraine, abdominal migraine, vestibular migraine, or any other conditions-related migraine</w:t>
            </w:r>
          </w:p>
          <w:p w14:paraId="1663F6E3" w14:textId="3181B745" w:rsidR="001643FA" w:rsidRPr="00C826AE" w:rsidRDefault="001643FA" w:rsidP="00B931F3">
            <w:pPr>
              <w:pStyle w:val="ListParagraph"/>
              <w:numPr>
                <w:ilvl w:val="0"/>
                <w:numId w:val="3"/>
              </w:numPr>
              <w:ind w:left="340" w:hanging="227"/>
              <w:rPr>
                <w:rFonts w:cstheme="minorHAnsi"/>
                <w:sz w:val="20"/>
                <w:szCs w:val="20"/>
              </w:rPr>
            </w:pPr>
            <w:r w:rsidRPr="00C826AE">
              <w:rPr>
                <w:rFonts w:asciiTheme="minorHAnsi" w:eastAsia="Times New Roman" w:hAnsiTheme="minorHAnsi" w:cstheme="minorHAnsi"/>
                <w:sz w:val="20"/>
                <w:szCs w:val="20"/>
                <w:lang w:eastAsia="en-GB"/>
              </w:rPr>
              <w:t xml:space="preserve">Trials that examined participants with other primary headaches including tension-type headaches, cluster headaches, and all sorts of secondary headaches. </w:t>
            </w:r>
          </w:p>
        </w:tc>
      </w:tr>
      <w:tr w:rsidR="001643FA" w:rsidRPr="004402EC" w14:paraId="710D13CA" w14:textId="77777777" w:rsidTr="00F3651E">
        <w:tc>
          <w:tcPr>
            <w:tcW w:w="1460" w:type="dxa"/>
          </w:tcPr>
          <w:p w14:paraId="577E786D" w14:textId="77777777" w:rsidR="001643FA" w:rsidRPr="00C826AE" w:rsidRDefault="001643FA" w:rsidP="00F3651E">
            <w:pPr>
              <w:rPr>
                <w:rFonts w:cstheme="minorHAnsi"/>
                <w:b/>
                <w:bCs/>
                <w:sz w:val="20"/>
                <w:szCs w:val="20"/>
              </w:rPr>
            </w:pPr>
            <w:r w:rsidRPr="00C826AE">
              <w:rPr>
                <w:rFonts w:cstheme="minorHAnsi"/>
                <w:b/>
                <w:bCs/>
                <w:sz w:val="20"/>
                <w:szCs w:val="20"/>
              </w:rPr>
              <w:t>Intervention</w:t>
            </w:r>
          </w:p>
        </w:tc>
        <w:tc>
          <w:tcPr>
            <w:tcW w:w="3223" w:type="dxa"/>
          </w:tcPr>
          <w:p w14:paraId="63DD969D" w14:textId="394D36B7" w:rsidR="001643FA" w:rsidRPr="00C826AE" w:rsidRDefault="001643FA" w:rsidP="00B931F3">
            <w:pPr>
              <w:pStyle w:val="ListParagraph"/>
              <w:numPr>
                <w:ilvl w:val="0"/>
                <w:numId w:val="33"/>
              </w:numPr>
              <w:ind w:left="340" w:hanging="227"/>
              <w:rPr>
                <w:rFonts w:cstheme="minorHAnsi"/>
                <w:sz w:val="20"/>
                <w:szCs w:val="20"/>
              </w:rPr>
            </w:pPr>
            <w:r w:rsidRPr="00C826AE">
              <w:rPr>
                <w:rFonts w:eastAsia="Times New Roman" w:cstheme="minorHAnsi"/>
                <w:sz w:val="20"/>
                <w:szCs w:val="20"/>
                <w:lang w:eastAsia="en-GB"/>
              </w:rPr>
              <w:t xml:space="preserve">Available or anticipated be available pharmacological medications in the UK: CGRP MAbs, BTA, anti-depressants, ACE inhibitors and angiotensin receptor blockers, beta-blockers, calcium channel blockers, pizotifen, and anticonvulsants (topiramate, valproate/divalproex, gabapentin). </w:t>
            </w:r>
          </w:p>
        </w:tc>
        <w:tc>
          <w:tcPr>
            <w:tcW w:w="4384" w:type="dxa"/>
          </w:tcPr>
          <w:p w14:paraId="46E7FB59" w14:textId="53E3DBE1" w:rsidR="001643FA" w:rsidRPr="00C826AE" w:rsidRDefault="001643FA" w:rsidP="00B931F3">
            <w:pPr>
              <w:pStyle w:val="ListParagraph"/>
              <w:numPr>
                <w:ilvl w:val="0"/>
                <w:numId w:val="4"/>
              </w:numPr>
              <w:ind w:left="340" w:hanging="227"/>
              <w:rPr>
                <w:rFonts w:asciiTheme="minorHAnsi" w:hAnsiTheme="minorHAnsi" w:cstheme="minorHAnsi"/>
                <w:sz w:val="20"/>
                <w:szCs w:val="20"/>
                <w:lang w:eastAsia="en-GB"/>
              </w:rPr>
            </w:pPr>
            <w:r w:rsidRPr="00C826AE">
              <w:rPr>
                <w:rFonts w:asciiTheme="minorHAnsi" w:hAnsiTheme="minorHAnsi" w:cstheme="minorHAnsi"/>
                <w:sz w:val="20"/>
                <w:szCs w:val="20"/>
                <w:lang w:eastAsia="en-GB"/>
              </w:rPr>
              <w:t>Studies comparing cognitive-behavioural therapy, psychological interventions, exercise, dietary, and relaxation</w:t>
            </w:r>
          </w:p>
          <w:p w14:paraId="4CA257E7" w14:textId="77777777" w:rsidR="001643FA" w:rsidRPr="00C826AE" w:rsidRDefault="001643FA" w:rsidP="00B931F3">
            <w:pPr>
              <w:pStyle w:val="ListParagraph"/>
              <w:numPr>
                <w:ilvl w:val="0"/>
                <w:numId w:val="4"/>
              </w:numPr>
              <w:ind w:left="340" w:hanging="227"/>
              <w:rPr>
                <w:rFonts w:asciiTheme="minorHAnsi" w:hAnsiTheme="minorHAnsi" w:cstheme="minorHAnsi"/>
                <w:sz w:val="20"/>
                <w:szCs w:val="20"/>
                <w:lang w:eastAsia="en-GB"/>
              </w:rPr>
            </w:pPr>
            <w:r w:rsidRPr="00C826AE">
              <w:rPr>
                <w:rFonts w:asciiTheme="minorHAnsi" w:hAnsiTheme="minorHAnsi" w:cstheme="minorHAnsi"/>
                <w:sz w:val="20"/>
                <w:szCs w:val="20"/>
                <w:lang w:eastAsia="en-GB"/>
              </w:rPr>
              <w:t>Studies which were dose-response trials.</w:t>
            </w:r>
          </w:p>
          <w:p w14:paraId="0B131934" w14:textId="7251D232" w:rsidR="001643FA" w:rsidRPr="00C826AE" w:rsidRDefault="001643FA" w:rsidP="00B931F3">
            <w:pPr>
              <w:pStyle w:val="ListParagraph"/>
              <w:numPr>
                <w:ilvl w:val="0"/>
                <w:numId w:val="4"/>
              </w:numPr>
              <w:ind w:left="340" w:hanging="227"/>
              <w:rPr>
                <w:rFonts w:asciiTheme="minorHAnsi" w:hAnsiTheme="minorHAnsi" w:cstheme="minorHAnsi"/>
                <w:sz w:val="20"/>
                <w:szCs w:val="20"/>
                <w:lang w:eastAsia="en-GB"/>
              </w:rPr>
            </w:pPr>
            <w:r w:rsidRPr="00C826AE">
              <w:rPr>
                <w:rFonts w:asciiTheme="minorHAnsi" w:hAnsiTheme="minorHAnsi" w:cstheme="minorHAnsi"/>
                <w:sz w:val="20"/>
                <w:szCs w:val="20"/>
                <w:lang w:eastAsia="en-GB"/>
              </w:rPr>
              <w:t xml:space="preserve">Studies comparing different preparations of the same drug in absence of </w:t>
            </w:r>
            <w:r w:rsidR="00041766" w:rsidRPr="00C826AE">
              <w:rPr>
                <w:rFonts w:asciiTheme="minorHAnsi" w:hAnsiTheme="minorHAnsi" w:cstheme="minorHAnsi"/>
                <w:sz w:val="20"/>
                <w:szCs w:val="20"/>
                <w:lang w:eastAsia="en-GB"/>
              </w:rPr>
              <w:t xml:space="preserve">a </w:t>
            </w:r>
            <w:r w:rsidRPr="00C826AE">
              <w:rPr>
                <w:rFonts w:asciiTheme="minorHAnsi" w:hAnsiTheme="minorHAnsi" w:cstheme="minorHAnsi"/>
                <w:sz w:val="20"/>
                <w:szCs w:val="20"/>
                <w:lang w:eastAsia="en-GB"/>
              </w:rPr>
              <w:t>placebo</w:t>
            </w:r>
          </w:p>
          <w:p w14:paraId="76BAA306" w14:textId="77777777" w:rsidR="001643FA" w:rsidRPr="00C826AE" w:rsidRDefault="001643FA" w:rsidP="00B931F3">
            <w:pPr>
              <w:pStyle w:val="ListParagraph"/>
              <w:numPr>
                <w:ilvl w:val="0"/>
                <w:numId w:val="4"/>
              </w:numPr>
              <w:ind w:left="340" w:hanging="227"/>
              <w:rPr>
                <w:rFonts w:asciiTheme="minorHAnsi" w:hAnsiTheme="minorHAnsi" w:cstheme="minorHAnsi"/>
                <w:sz w:val="20"/>
                <w:szCs w:val="20"/>
                <w:lang w:eastAsia="en-GB"/>
              </w:rPr>
            </w:pPr>
            <w:r w:rsidRPr="00C826AE">
              <w:rPr>
                <w:rFonts w:asciiTheme="minorHAnsi" w:hAnsiTheme="minorHAnsi" w:cstheme="minorHAnsi"/>
                <w:sz w:val="20"/>
                <w:szCs w:val="20"/>
                <w:lang w:eastAsia="en-GB"/>
              </w:rPr>
              <w:t>Laboratory studies without clinical outcomes.</w:t>
            </w:r>
          </w:p>
        </w:tc>
      </w:tr>
      <w:tr w:rsidR="001643FA" w:rsidRPr="004402EC" w14:paraId="521A24C0" w14:textId="77777777" w:rsidTr="00F3651E">
        <w:tc>
          <w:tcPr>
            <w:tcW w:w="1460" w:type="dxa"/>
          </w:tcPr>
          <w:p w14:paraId="1DBD1AE8" w14:textId="77777777" w:rsidR="001643FA" w:rsidRPr="00C826AE" w:rsidRDefault="001643FA" w:rsidP="00F3651E">
            <w:pPr>
              <w:rPr>
                <w:rFonts w:cstheme="minorHAnsi"/>
                <w:b/>
                <w:bCs/>
                <w:sz w:val="20"/>
                <w:szCs w:val="20"/>
              </w:rPr>
            </w:pPr>
            <w:r w:rsidRPr="00C826AE">
              <w:rPr>
                <w:rFonts w:cstheme="minorHAnsi"/>
                <w:b/>
                <w:bCs/>
                <w:sz w:val="20"/>
                <w:szCs w:val="20"/>
              </w:rPr>
              <w:t>Comparator</w:t>
            </w:r>
          </w:p>
        </w:tc>
        <w:tc>
          <w:tcPr>
            <w:tcW w:w="3223" w:type="dxa"/>
          </w:tcPr>
          <w:p w14:paraId="7ABDE6C2" w14:textId="77777777" w:rsidR="001643FA" w:rsidRPr="00C826AE" w:rsidRDefault="001643FA" w:rsidP="00B931F3">
            <w:pPr>
              <w:pStyle w:val="ListParagraph"/>
              <w:numPr>
                <w:ilvl w:val="0"/>
                <w:numId w:val="1"/>
              </w:numPr>
              <w:ind w:left="340" w:hanging="227"/>
              <w:rPr>
                <w:rFonts w:asciiTheme="minorHAnsi" w:hAnsiTheme="minorHAnsi" w:cstheme="minorHAnsi"/>
                <w:sz w:val="20"/>
                <w:szCs w:val="20"/>
                <w:lang w:eastAsia="en-GB"/>
              </w:rPr>
            </w:pPr>
            <w:r w:rsidRPr="00C826AE">
              <w:rPr>
                <w:rFonts w:asciiTheme="minorHAnsi" w:hAnsiTheme="minorHAnsi" w:cstheme="minorHAnsi"/>
                <w:sz w:val="20"/>
                <w:szCs w:val="20"/>
                <w:lang w:eastAsia="en-GB"/>
              </w:rPr>
              <w:t>Placebo, or</w:t>
            </w:r>
          </w:p>
          <w:p w14:paraId="624A8E52" w14:textId="77777777" w:rsidR="001643FA" w:rsidRPr="00C826AE" w:rsidRDefault="001643FA" w:rsidP="00B931F3">
            <w:pPr>
              <w:pStyle w:val="ListParagraph"/>
              <w:numPr>
                <w:ilvl w:val="0"/>
                <w:numId w:val="1"/>
              </w:numPr>
              <w:ind w:left="340" w:hanging="227"/>
              <w:rPr>
                <w:rFonts w:asciiTheme="minorHAnsi" w:hAnsiTheme="minorHAnsi" w:cstheme="minorHAnsi"/>
                <w:sz w:val="20"/>
                <w:szCs w:val="20"/>
                <w:lang w:eastAsia="en-GB"/>
              </w:rPr>
            </w:pPr>
            <w:r w:rsidRPr="00C826AE">
              <w:rPr>
                <w:rFonts w:asciiTheme="minorHAnsi" w:hAnsiTheme="minorHAnsi" w:cstheme="minorHAnsi"/>
                <w:sz w:val="20"/>
                <w:szCs w:val="20"/>
                <w:lang w:eastAsia="en-GB"/>
              </w:rPr>
              <w:t>Usual care, or</w:t>
            </w:r>
          </w:p>
          <w:p w14:paraId="6142C4B7" w14:textId="77777777" w:rsidR="001643FA" w:rsidRPr="00C826AE" w:rsidRDefault="001643FA" w:rsidP="00B931F3">
            <w:pPr>
              <w:pStyle w:val="ListParagraph"/>
              <w:numPr>
                <w:ilvl w:val="0"/>
                <w:numId w:val="1"/>
              </w:numPr>
              <w:ind w:left="340" w:hanging="227"/>
              <w:rPr>
                <w:rFonts w:asciiTheme="minorHAnsi" w:hAnsiTheme="minorHAnsi" w:cstheme="minorHAnsi"/>
                <w:sz w:val="20"/>
                <w:szCs w:val="20"/>
                <w:lang w:eastAsia="en-GB"/>
              </w:rPr>
            </w:pPr>
            <w:r w:rsidRPr="00C826AE">
              <w:rPr>
                <w:rFonts w:asciiTheme="minorHAnsi" w:hAnsiTheme="minorHAnsi" w:cstheme="minorHAnsi"/>
                <w:sz w:val="20"/>
                <w:szCs w:val="20"/>
                <w:lang w:eastAsia="en-GB"/>
              </w:rPr>
              <w:t xml:space="preserve">Other prophylactic drugs.  </w:t>
            </w:r>
          </w:p>
        </w:tc>
        <w:tc>
          <w:tcPr>
            <w:tcW w:w="4384" w:type="dxa"/>
          </w:tcPr>
          <w:p w14:paraId="5B18611A" w14:textId="77777777" w:rsidR="001643FA" w:rsidRPr="00C826AE" w:rsidRDefault="001643FA" w:rsidP="00B931F3">
            <w:pPr>
              <w:pStyle w:val="ListParagraph"/>
              <w:numPr>
                <w:ilvl w:val="0"/>
                <w:numId w:val="4"/>
              </w:numPr>
              <w:ind w:left="340" w:hanging="227"/>
              <w:rPr>
                <w:rFonts w:asciiTheme="minorHAnsi" w:hAnsiTheme="minorHAnsi" w:cstheme="minorHAnsi"/>
                <w:sz w:val="20"/>
                <w:szCs w:val="20"/>
                <w:lang w:eastAsia="en-GB"/>
              </w:rPr>
            </w:pPr>
            <w:r w:rsidRPr="00C826AE">
              <w:rPr>
                <w:rFonts w:asciiTheme="minorHAnsi" w:hAnsiTheme="minorHAnsi" w:cstheme="minorHAnsi"/>
                <w:sz w:val="20"/>
                <w:szCs w:val="20"/>
                <w:lang w:eastAsia="en-GB"/>
              </w:rPr>
              <w:t>Chinese traditional medicines i.e., herbal medicine/drugs and other herbal remedies which are not prescribed in the UK.</w:t>
            </w:r>
          </w:p>
          <w:p w14:paraId="515201C1" w14:textId="77777777" w:rsidR="001643FA" w:rsidRPr="00C826AE" w:rsidRDefault="001643FA" w:rsidP="00B931F3">
            <w:pPr>
              <w:pStyle w:val="ListParagraph"/>
              <w:numPr>
                <w:ilvl w:val="0"/>
                <w:numId w:val="4"/>
              </w:numPr>
              <w:ind w:left="340" w:hanging="227"/>
              <w:rPr>
                <w:rFonts w:asciiTheme="minorHAnsi" w:hAnsiTheme="minorHAnsi" w:cstheme="minorHAnsi"/>
                <w:sz w:val="20"/>
                <w:szCs w:val="20"/>
                <w:lang w:eastAsia="en-GB"/>
              </w:rPr>
            </w:pPr>
            <w:r w:rsidRPr="00C826AE">
              <w:rPr>
                <w:rFonts w:asciiTheme="minorHAnsi" w:hAnsiTheme="minorHAnsi" w:cstheme="minorHAnsi"/>
                <w:sz w:val="20"/>
                <w:szCs w:val="20"/>
                <w:lang w:eastAsia="en-GB"/>
              </w:rPr>
              <w:t>Drugs which are not prescribed by NHS or recommended by NICE or SMC.</w:t>
            </w:r>
          </w:p>
        </w:tc>
      </w:tr>
      <w:tr w:rsidR="001643FA" w:rsidRPr="004402EC" w14:paraId="1F047A4B" w14:textId="77777777" w:rsidTr="00F3651E">
        <w:tc>
          <w:tcPr>
            <w:tcW w:w="1460" w:type="dxa"/>
          </w:tcPr>
          <w:p w14:paraId="5000B935" w14:textId="77777777" w:rsidR="001643FA" w:rsidRPr="00C826AE" w:rsidRDefault="001643FA" w:rsidP="00F3651E">
            <w:pPr>
              <w:rPr>
                <w:rFonts w:cstheme="minorHAnsi"/>
                <w:b/>
                <w:bCs/>
                <w:sz w:val="20"/>
                <w:szCs w:val="20"/>
              </w:rPr>
            </w:pPr>
            <w:r w:rsidRPr="00C826AE">
              <w:rPr>
                <w:rFonts w:cstheme="minorHAnsi"/>
                <w:b/>
                <w:bCs/>
                <w:sz w:val="20"/>
                <w:szCs w:val="20"/>
              </w:rPr>
              <w:t>Outcomes of interest</w:t>
            </w:r>
          </w:p>
        </w:tc>
        <w:tc>
          <w:tcPr>
            <w:tcW w:w="3223" w:type="dxa"/>
          </w:tcPr>
          <w:p w14:paraId="46CE0FD4" w14:textId="77777777" w:rsidR="001643FA" w:rsidRPr="00C826AE" w:rsidRDefault="001643FA" w:rsidP="00B931F3">
            <w:pPr>
              <w:pStyle w:val="ListParagraph"/>
              <w:numPr>
                <w:ilvl w:val="0"/>
                <w:numId w:val="1"/>
              </w:numPr>
              <w:ind w:left="340" w:hanging="227"/>
              <w:rPr>
                <w:rFonts w:asciiTheme="minorHAnsi" w:hAnsiTheme="minorHAnsi" w:cstheme="minorHAnsi"/>
                <w:sz w:val="20"/>
                <w:szCs w:val="20"/>
                <w:lang w:eastAsia="en-GB"/>
              </w:rPr>
            </w:pPr>
            <w:r w:rsidRPr="00C826AE">
              <w:rPr>
                <w:rFonts w:asciiTheme="minorHAnsi" w:hAnsiTheme="minorHAnsi" w:cstheme="minorHAnsi"/>
                <w:sz w:val="20"/>
                <w:szCs w:val="20"/>
                <w:lang w:eastAsia="en-GB"/>
              </w:rPr>
              <w:t>Headache days</w:t>
            </w:r>
          </w:p>
          <w:p w14:paraId="6A420F3B" w14:textId="77777777" w:rsidR="001643FA" w:rsidRPr="00C826AE" w:rsidRDefault="001643FA" w:rsidP="00B931F3">
            <w:pPr>
              <w:pStyle w:val="ListParagraph"/>
              <w:numPr>
                <w:ilvl w:val="0"/>
                <w:numId w:val="1"/>
              </w:numPr>
              <w:ind w:left="340" w:hanging="227"/>
              <w:rPr>
                <w:rFonts w:asciiTheme="minorHAnsi" w:hAnsiTheme="minorHAnsi" w:cstheme="minorHAnsi"/>
                <w:sz w:val="20"/>
                <w:szCs w:val="20"/>
                <w:lang w:eastAsia="en-GB"/>
              </w:rPr>
            </w:pPr>
            <w:r w:rsidRPr="00C826AE">
              <w:rPr>
                <w:rFonts w:asciiTheme="minorHAnsi" w:hAnsiTheme="minorHAnsi" w:cstheme="minorHAnsi"/>
                <w:sz w:val="20"/>
                <w:szCs w:val="20"/>
                <w:lang w:eastAsia="en-GB"/>
              </w:rPr>
              <w:t>Migraine days</w:t>
            </w:r>
          </w:p>
          <w:p w14:paraId="034F34C3" w14:textId="54E361A6" w:rsidR="001643FA" w:rsidRPr="00C826AE" w:rsidRDefault="001643FA" w:rsidP="00B931F3">
            <w:pPr>
              <w:pStyle w:val="ListParagraph"/>
              <w:numPr>
                <w:ilvl w:val="0"/>
                <w:numId w:val="1"/>
              </w:numPr>
              <w:ind w:left="340" w:hanging="227"/>
              <w:rPr>
                <w:rFonts w:asciiTheme="minorHAnsi" w:hAnsiTheme="minorHAnsi" w:cstheme="minorHAnsi"/>
                <w:sz w:val="20"/>
                <w:szCs w:val="20"/>
                <w:lang w:eastAsia="en-GB"/>
              </w:rPr>
            </w:pPr>
            <w:r w:rsidRPr="00C826AE">
              <w:rPr>
                <w:rFonts w:asciiTheme="minorHAnsi" w:hAnsiTheme="minorHAnsi" w:cstheme="minorHAnsi"/>
                <w:sz w:val="20"/>
                <w:szCs w:val="20"/>
                <w:lang w:eastAsia="en-GB"/>
              </w:rPr>
              <w:t xml:space="preserve">Headache-related </w:t>
            </w:r>
            <w:r w:rsidR="00B931F3" w:rsidRPr="00C826AE">
              <w:rPr>
                <w:rFonts w:asciiTheme="minorHAnsi" w:hAnsiTheme="minorHAnsi" w:cstheme="minorHAnsi"/>
                <w:sz w:val="20"/>
                <w:szCs w:val="20"/>
                <w:lang w:eastAsia="en-GB"/>
              </w:rPr>
              <w:t>QoL</w:t>
            </w:r>
          </w:p>
          <w:p w14:paraId="0F7CB5C9" w14:textId="63B2A53B" w:rsidR="001643FA" w:rsidRPr="00C826AE" w:rsidRDefault="001643FA" w:rsidP="00B931F3">
            <w:pPr>
              <w:pStyle w:val="ListParagraph"/>
              <w:numPr>
                <w:ilvl w:val="0"/>
                <w:numId w:val="1"/>
              </w:numPr>
              <w:ind w:left="340" w:hanging="227"/>
              <w:rPr>
                <w:rFonts w:asciiTheme="minorHAnsi" w:hAnsiTheme="minorHAnsi" w:cstheme="minorHAnsi"/>
                <w:sz w:val="20"/>
                <w:szCs w:val="20"/>
                <w:lang w:eastAsia="en-GB"/>
              </w:rPr>
            </w:pPr>
            <w:r w:rsidRPr="00C826AE">
              <w:rPr>
                <w:rFonts w:asciiTheme="minorHAnsi" w:hAnsiTheme="minorHAnsi" w:cstheme="minorHAnsi"/>
                <w:sz w:val="20"/>
                <w:szCs w:val="20"/>
                <w:lang w:eastAsia="en-GB"/>
              </w:rPr>
              <w:t xml:space="preserve">Migraine specified </w:t>
            </w:r>
            <w:r w:rsidR="00B931F3" w:rsidRPr="00C826AE">
              <w:rPr>
                <w:rFonts w:asciiTheme="minorHAnsi" w:hAnsiTheme="minorHAnsi" w:cstheme="minorHAnsi"/>
                <w:sz w:val="20"/>
                <w:szCs w:val="20"/>
                <w:lang w:eastAsia="en-GB"/>
              </w:rPr>
              <w:t xml:space="preserve">QoL </w:t>
            </w:r>
            <w:r w:rsidRPr="00C826AE">
              <w:rPr>
                <w:rFonts w:asciiTheme="minorHAnsi" w:hAnsiTheme="minorHAnsi" w:cstheme="minorHAnsi"/>
                <w:sz w:val="20"/>
                <w:szCs w:val="20"/>
                <w:lang w:eastAsia="en-GB"/>
              </w:rPr>
              <w:t>Headache intensity and duration</w:t>
            </w:r>
          </w:p>
          <w:p w14:paraId="3E56A494" w14:textId="77777777" w:rsidR="001643FA" w:rsidRPr="00C826AE" w:rsidRDefault="001643FA" w:rsidP="00B931F3">
            <w:pPr>
              <w:pStyle w:val="ListParagraph"/>
              <w:numPr>
                <w:ilvl w:val="0"/>
                <w:numId w:val="1"/>
              </w:numPr>
              <w:ind w:left="340" w:hanging="227"/>
              <w:rPr>
                <w:rFonts w:asciiTheme="minorHAnsi" w:hAnsiTheme="minorHAnsi" w:cstheme="minorHAnsi"/>
                <w:sz w:val="20"/>
                <w:szCs w:val="20"/>
                <w:lang w:eastAsia="en-GB"/>
              </w:rPr>
            </w:pPr>
            <w:r w:rsidRPr="00C826AE">
              <w:rPr>
                <w:rFonts w:asciiTheme="minorHAnsi" w:hAnsiTheme="minorHAnsi" w:cstheme="minorHAnsi"/>
                <w:sz w:val="20"/>
                <w:szCs w:val="20"/>
                <w:lang w:eastAsia="en-GB"/>
              </w:rPr>
              <w:t>Health service activity</w:t>
            </w:r>
          </w:p>
          <w:p w14:paraId="1CF4A353" w14:textId="5779AC76" w:rsidR="001643FA" w:rsidRPr="00C826AE" w:rsidRDefault="001643FA" w:rsidP="00B931F3">
            <w:pPr>
              <w:pStyle w:val="ListParagraph"/>
              <w:numPr>
                <w:ilvl w:val="0"/>
                <w:numId w:val="1"/>
              </w:numPr>
              <w:ind w:left="340" w:hanging="227"/>
              <w:rPr>
                <w:rFonts w:asciiTheme="minorHAnsi" w:hAnsiTheme="minorHAnsi" w:cstheme="minorHAnsi"/>
                <w:sz w:val="20"/>
                <w:szCs w:val="20"/>
                <w:lang w:eastAsia="en-GB"/>
              </w:rPr>
            </w:pPr>
            <w:r w:rsidRPr="00C826AE">
              <w:rPr>
                <w:rFonts w:asciiTheme="minorHAnsi" w:hAnsiTheme="minorHAnsi" w:cstheme="minorHAnsi"/>
                <w:sz w:val="20"/>
                <w:szCs w:val="20"/>
                <w:lang w:eastAsia="en-GB"/>
              </w:rPr>
              <w:t>Days lost from usual activities</w:t>
            </w:r>
          </w:p>
          <w:p w14:paraId="26BDC350" w14:textId="71DA1783" w:rsidR="001643FA" w:rsidRPr="00C826AE" w:rsidRDefault="001643FA" w:rsidP="00B931F3">
            <w:pPr>
              <w:pStyle w:val="ListParagraph"/>
              <w:numPr>
                <w:ilvl w:val="0"/>
                <w:numId w:val="1"/>
              </w:numPr>
              <w:ind w:left="340" w:hanging="227"/>
              <w:rPr>
                <w:rFonts w:cstheme="minorHAnsi"/>
                <w:sz w:val="20"/>
                <w:szCs w:val="20"/>
              </w:rPr>
            </w:pPr>
            <w:r w:rsidRPr="00C826AE">
              <w:rPr>
                <w:rFonts w:asciiTheme="minorHAnsi" w:hAnsiTheme="minorHAnsi" w:cstheme="minorHAnsi"/>
                <w:sz w:val="20"/>
                <w:szCs w:val="20"/>
                <w:lang w:eastAsia="en-GB"/>
              </w:rPr>
              <w:t>Any other reported outcomes</w:t>
            </w:r>
          </w:p>
        </w:tc>
        <w:tc>
          <w:tcPr>
            <w:tcW w:w="4384" w:type="dxa"/>
          </w:tcPr>
          <w:p w14:paraId="58FAA283" w14:textId="77777777" w:rsidR="001643FA" w:rsidRPr="00C826AE" w:rsidRDefault="001643FA" w:rsidP="00B931F3">
            <w:pPr>
              <w:pStyle w:val="ListParagraph"/>
              <w:numPr>
                <w:ilvl w:val="0"/>
                <w:numId w:val="5"/>
              </w:numPr>
              <w:ind w:left="340" w:hanging="227"/>
              <w:rPr>
                <w:rFonts w:asciiTheme="minorHAnsi" w:hAnsiTheme="minorHAnsi" w:cstheme="minorHAnsi"/>
                <w:sz w:val="20"/>
                <w:szCs w:val="20"/>
              </w:rPr>
            </w:pPr>
            <w:r w:rsidRPr="00C826AE">
              <w:rPr>
                <w:rFonts w:asciiTheme="minorHAnsi" w:hAnsiTheme="minorHAnsi" w:cstheme="minorHAnsi"/>
                <w:sz w:val="20"/>
                <w:szCs w:val="20"/>
                <w:lang w:eastAsia="en-GB"/>
              </w:rPr>
              <w:t>Non-human outcomes</w:t>
            </w:r>
          </w:p>
          <w:p w14:paraId="22395C40" w14:textId="2E085C1C" w:rsidR="001643FA" w:rsidRPr="00C826AE" w:rsidRDefault="001643FA" w:rsidP="00B931F3">
            <w:pPr>
              <w:pStyle w:val="ListParagraph"/>
              <w:numPr>
                <w:ilvl w:val="0"/>
                <w:numId w:val="5"/>
              </w:numPr>
              <w:ind w:left="340" w:hanging="227"/>
              <w:rPr>
                <w:rFonts w:asciiTheme="minorHAnsi" w:hAnsiTheme="minorHAnsi" w:cstheme="minorHAnsi"/>
                <w:sz w:val="20"/>
                <w:szCs w:val="20"/>
              </w:rPr>
            </w:pPr>
            <w:r w:rsidRPr="00C826AE">
              <w:rPr>
                <w:rFonts w:asciiTheme="minorHAnsi" w:hAnsiTheme="minorHAnsi" w:cstheme="minorHAnsi"/>
                <w:sz w:val="20"/>
                <w:szCs w:val="20"/>
                <w:lang w:eastAsia="en-GB"/>
              </w:rPr>
              <w:t>Outcomes with insufficient information</w:t>
            </w:r>
            <w:r w:rsidR="00B931F3" w:rsidRPr="00C826AE">
              <w:rPr>
                <w:rFonts w:asciiTheme="minorHAnsi" w:hAnsiTheme="minorHAnsi" w:cstheme="minorHAnsi"/>
                <w:sz w:val="20"/>
                <w:szCs w:val="20"/>
                <w:lang w:eastAsia="en-GB"/>
              </w:rPr>
              <w:t>.</w:t>
            </w:r>
            <w:r w:rsidRPr="00C826AE">
              <w:rPr>
                <w:rFonts w:asciiTheme="minorHAnsi" w:hAnsiTheme="minorHAnsi" w:cstheme="minorHAnsi"/>
                <w:sz w:val="20"/>
                <w:szCs w:val="20"/>
                <w:lang w:eastAsia="en-GB"/>
              </w:rPr>
              <w:t xml:space="preserve"> </w:t>
            </w:r>
          </w:p>
          <w:p w14:paraId="0D94C2DE" w14:textId="77777777" w:rsidR="001643FA" w:rsidRPr="00C826AE" w:rsidRDefault="001643FA" w:rsidP="00F3651E">
            <w:pPr>
              <w:rPr>
                <w:rFonts w:cstheme="minorHAnsi"/>
                <w:sz w:val="20"/>
                <w:szCs w:val="20"/>
              </w:rPr>
            </w:pPr>
          </w:p>
        </w:tc>
      </w:tr>
      <w:tr w:rsidR="001643FA" w:rsidRPr="004402EC" w14:paraId="6A320AA6" w14:textId="77777777" w:rsidTr="00F3651E">
        <w:tc>
          <w:tcPr>
            <w:tcW w:w="1460" w:type="dxa"/>
          </w:tcPr>
          <w:p w14:paraId="09D45934" w14:textId="77777777" w:rsidR="001643FA" w:rsidRPr="00C826AE" w:rsidRDefault="001643FA" w:rsidP="00F3651E">
            <w:pPr>
              <w:rPr>
                <w:rFonts w:cstheme="minorHAnsi"/>
                <w:b/>
                <w:bCs/>
                <w:sz w:val="20"/>
                <w:szCs w:val="20"/>
              </w:rPr>
            </w:pPr>
            <w:r w:rsidRPr="00C826AE">
              <w:rPr>
                <w:rFonts w:cstheme="minorHAnsi"/>
                <w:b/>
                <w:bCs/>
                <w:sz w:val="20"/>
                <w:szCs w:val="20"/>
              </w:rPr>
              <w:t>Study design</w:t>
            </w:r>
          </w:p>
        </w:tc>
        <w:tc>
          <w:tcPr>
            <w:tcW w:w="3223" w:type="dxa"/>
          </w:tcPr>
          <w:p w14:paraId="326EDE15" w14:textId="6A7D292D" w:rsidR="001643FA" w:rsidRPr="00C826AE" w:rsidRDefault="001643FA" w:rsidP="00B931F3">
            <w:pPr>
              <w:pStyle w:val="ListParagraph"/>
              <w:numPr>
                <w:ilvl w:val="0"/>
                <w:numId w:val="2"/>
              </w:numPr>
              <w:ind w:left="340" w:hanging="227"/>
              <w:rPr>
                <w:rFonts w:asciiTheme="minorHAnsi" w:hAnsiTheme="minorHAnsi" w:cstheme="minorHAnsi"/>
                <w:sz w:val="20"/>
                <w:szCs w:val="20"/>
              </w:rPr>
            </w:pPr>
            <w:r w:rsidRPr="00C826AE">
              <w:rPr>
                <w:rFonts w:asciiTheme="minorHAnsi" w:hAnsiTheme="minorHAnsi" w:cstheme="minorHAnsi"/>
                <w:sz w:val="20"/>
                <w:szCs w:val="20"/>
              </w:rPr>
              <w:t>R</w:t>
            </w:r>
            <w:r w:rsidR="00B931F3" w:rsidRPr="00C826AE">
              <w:rPr>
                <w:rFonts w:asciiTheme="minorHAnsi" w:hAnsiTheme="minorHAnsi" w:cstheme="minorHAnsi"/>
                <w:sz w:val="20"/>
                <w:szCs w:val="20"/>
              </w:rPr>
              <w:t xml:space="preserve">CTs </w:t>
            </w:r>
            <w:r w:rsidRPr="00C826AE">
              <w:rPr>
                <w:rFonts w:asciiTheme="minorHAnsi" w:hAnsiTheme="minorHAnsi" w:cstheme="minorHAnsi"/>
                <w:sz w:val="20"/>
                <w:szCs w:val="20"/>
              </w:rPr>
              <w:t>in any setting.</w:t>
            </w:r>
          </w:p>
          <w:p w14:paraId="624A9C53" w14:textId="0F4522C2" w:rsidR="001643FA" w:rsidRPr="00C826AE" w:rsidRDefault="001643FA" w:rsidP="00B931F3">
            <w:pPr>
              <w:pStyle w:val="ListParagraph"/>
              <w:numPr>
                <w:ilvl w:val="0"/>
                <w:numId w:val="2"/>
              </w:numPr>
              <w:ind w:left="340" w:hanging="227"/>
              <w:rPr>
                <w:rFonts w:asciiTheme="minorHAnsi" w:hAnsiTheme="minorHAnsi" w:cstheme="minorHAnsi"/>
                <w:sz w:val="20"/>
                <w:szCs w:val="20"/>
              </w:rPr>
            </w:pPr>
            <w:r w:rsidRPr="00C826AE">
              <w:rPr>
                <w:rFonts w:asciiTheme="minorHAnsi" w:hAnsiTheme="minorHAnsi" w:cstheme="minorHAnsi"/>
                <w:sz w:val="20"/>
                <w:szCs w:val="20"/>
              </w:rPr>
              <w:t>R</w:t>
            </w:r>
            <w:r w:rsidR="00B931F3" w:rsidRPr="00C826AE">
              <w:rPr>
                <w:rFonts w:asciiTheme="minorHAnsi" w:hAnsiTheme="minorHAnsi" w:cstheme="minorHAnsi"/>
                <w:sz w:val="20"/>
                <w:szCs w:val="20"/>
              </w:rPr>
              <w:t>CTs</w:t>
            </w:r>
            <w:r w:rsidRPr="00C826AE">
              <w:rPr>
                <w:rFonts w:asciiTheme="minorHAnsi" w:hAnsiTheme="minorHAnsi" w:cstheme="minorHAnsi"/>
                <w:sz w:val="20"/>
                <w:szCs w:val="20"/>
              </w:rPr>
              <w:t xml:space="preserve"> with more than 100 participants per arm. </w:t>
            </w:r>
          </w:p>
          <w:p w14:paraId="635C0E0B" w14:textId="77777777" w:rsidR="001643FA" w:rsidRPr="00C826AE" w:rsidRDefault="001643FA" w:rsidP="00F3651E">
            <w:pPr>
              <w:rPr>
                <w:rFonts w:cstheme="minorHAnsi"/>
                <w:sz w:val="20"/>
                <w:szCs w:val="20"/>
              </w:rPr>
            </w:pPr>
          </w:p>
        </w:tc>
        <w:tc>
          <w:tcPr>
            <w:tcW w:w="4384" w:type="dxa"/>
          </w:tcPr>
          <w:p w14:paraId="5D93996E" w14:textId="33611250" w:rsidR="001643FA" w:rsidRPr="00C826AE" w:rsidRDefault="001643FA" w:rsidP="00B931F3">
            <w:pPr>
              <w:pStyle w:val="ListParagraph"/>
              <w:numPr>
                <w:ilvl w:val="0"/>
                <w:numId w:val="6"/>
              </w:numPr>
              <w:ind w:left="340" w:hanging="227"/>
              <w:rPr>
                <w:rFonts w:asciiTheme="minorHAnsi" w:hAnsiTheme="minorHAnsi" w:cstheme="minorHAnsi"/>
                <w:sz w:val="20"/>
                <w:szCs w:val="20"/>
              </w:rPr>
            </w:pPr>
            <w:r w:rsidRPr="00C826AE">
              <w:rPr>
                <w:rFonts w:asciiTheme="minorHAnsi" w:hAnsiTheme="minorHAnsi" w:cstheme="minorHAnsi"/>
                <w:sz w:val="20"/>
                <w:szCs w:val="20"/>
              </w:rPr>
              <w:t>Non-randomised trials, quasi-randomized trials, observational studies (e.g., case reports and case series), subgroup analysis, and other designs.</w:t>
            </w:r>
          </w:p>
          <w:p w14:paraId="0271FE36" w14:textId="77777777" w:rsidR="001643FA" w:rsidRPr="00C826AE" w:rsidRDefault="001643FA" w:rsidP="00B931F3">
            <w:pPr>
              <w:pStyle w:val="ListParagraph"/>
              <w:numPr>
                <w:ilvl w:val="0"/>
                <w:numId w:val="6"/>
              </w:numPr>
              <w:ind w:left="340" w:hanging="227"/>
              <w:rPr>
                <w:rFonts w:asciiTheme="minorHAnsi" w:hAnsiTheme="minorHAnsi" w:cstheme="minorHAnsi"/>
                <w:sz w:val="20"/>
                <w:szCs w:val="20"/>
              </w:rPr>
            </w:pPr>
            <w:r w:rsidRPr="00C826AE">
              <w:rPr>
                <w:rFonts w:asciiTheme="minorHAnsi" w:hAnsiTheme="minorHAnsi" w:cstheme="minorHAnsi"/>
                <w:sz w:val="20"/>
                <w:szCs w:val="20"/>
              </w:rPr>
              <w:t xml:space="preserve">RCTs with fewer than 100 per arm. </w:t>
            </w:r>
          </w:p>
        </w:tc>
      </w:tr>
      <w:tr w:rsidR="001643FA" w:rsidRPr="004402EC" w14:paraId="5B03351F" w14:textId="77777777" w:rsidTr="00F3651E">
        <w:tc>
          <w:tcPr>
            <w:tcW w:w="9067" w:type="dxa"/>
            <w:gridSpan w:val="3"/>
          </w:tcPr>
          <w:p w14:paraId="1CCF6284" w14:textId="1C90AD44" w:rsidR="001643FA" w:rsidRPr="00C826AE" w:rsidRDefault="001643FA" w:rsidP="00F3651E">
            <w:pPr>
              <w:rPr>
                <w:rFonts w:cstheme="minorHAnsi"/>
                <w:sz w:val="20"/>
                <w:szCs w:val="20"/>
              </w:rPr>
            </w:pPr>
            <w:r w:rsidRPr="00C826AE">
              <w:rPr>
                <w:rFonts w:cstheme="minorHAnsi"/>
                <w:sz w:val="20"/>
                <w:szCs w:val="20"/>
              </w:rPr>
              <w:t xml:space="preserve">Abbreviations: </w:t>
            </w:r>
            <w:r w:rsidR="00B931F3" w:rsidRPr="00C826AE">
              <w:rPr>
                <w:rFonts w:cstheme="minorHAnsi"/>
                <w:sz w:val="20"/>
                <w:szCs w:val="20"/>
              </w:rPr>
              <w:t>CGRP = calcitonin gene-related peptide; MAbs = monoclonal antibodies; NHS = National Health Service; NICE = National Institute for Health and Care Excellence; QoL = quality of life; RCTs = Randomised controlled trials; SMC = Scottish Medicines Consortium</w:t>
            </w:r>
          </w:p>
        </w:tc>
      </w:tr>
    </w:tbl>
    <w:p w14:paraId="48021EE9" w14:textId="34F89BD4" w:rsidR="001643FA" w:rsidRPr="004402EC" w:rsidRDefault="001643FA"/>
    <w:p w14:paraId="05EC9920" w14:textId="77777777" w:rsidR="007D182A" w:rsidRDefault="007D182A">
      <w:pPr>
        <w:rPr>
          <w:b/>
          <w:bCs/>
        </w:rPr>
      </w:pPr>
      <w:bookmarkStart w:id="1" w:name="_Toc121320037"/>
      <w:r>
        <w:rPr>
          <w:b/>
          <w:bCs/>
        </w:rPr>
        <w:br w:type="page"/>
      </w:r>
    </w:p>
    <w:p w14:paraId="69753BF1" w14:textId="7AC9D22B" w:rsidR="001D58B3" w:rsidRPr="004402EC" w:rsidRDefault="004C1709" w:rsidP="00093B44">
      <w:pPr>
        <w:rPr>
          <w:b/>
          <w:bCs/>
        </w:rPr>
      </w:pPr>
      <w:r w:rsidRPr="004C1709">
        <w:rPr>
          <w:b/>
          <w:bCs/>
        </w:rPr>
        <w:lastRenderedPageBreak/>
        <w:t xml:space="preserve">Additional file </w:t>
      </w:r>
      <w:r>
        <w:rPr>
          <w:b/>
          <w:bCs/>
        </w:rPr>
        <w:t>2</w:t>
      </w:r>
      <w:r w:rsidRPr="004C1709">
        <w:rPr>
          <w:b/>
          <w:bCs/>
        </w:rPr>
        <w:t>:</w:t>
      </w:r>
      <w:r>
        <w:rPr>
          <w:b/>
          <w:bCs/>
        </w:rPr>
        <w:t xml:space="preserve"> </w:t>
      </w:r>
      <w:r w:rsidR="009C7652" w:rsidRPr="004402EC">
        <w:rPr>
          <w:b/>
          <w:bCs/>
        </w:rPr>
        <w:t>Appendix 3</w:t>
      </w:r>
      <w:r>
        <w:rPr>
          <w:b/>
          <w:bCs/>
        </w:rPr>
        <w:t>.</w:t>
      </w:r>
      <w:r w:rsidR="009C7652" w:rsidRPr="004402EC">
        <w:rPr>
          <w:b/>
          <w:bCs/>
        </w:rPr>
        <w:t xml:space="preserve"> The list of excluded studies </w:t>
      </w:r>
      <w:bookmarkEnd w:id="1"/>
    </w:p>
    <w:tbl>
      <w:tblPr>
        <w:tblStyle w:val="TableGrid"/>
        <w:tblW w:w="0" w:type="auto"/>
        <w:tblLook w:val="04A0" w:firstRow="1" w:lastRow="0" w:firstColumn="1" w:lastColumn="0" w:noHBand="0" w:noVBand="1"/>
      </w:tblPr>
      <w:tblGrid>
        <w:gridCol w:w="6232"/>
        <w:gridCol w:w="2784"/>
      </w:tblGrid>
      <w:tr w:rsidR="001D58B3" w:rsidRPr="004402EC" w14:paraId="45D4FBAB" w14:textId="77777777" w:rsidTr="00E458C5">
        <w:tc>
          <w:tcPr>
            <w:tcW w:w="6232" w:type="dxa"/>
            <w:vAlign w:val="center"/>
          </w:tcPr>
          <w:p w14:paraId="6EADEA87" w14:textId="51DC4D1E" w:rsidR="001D58B3" w:rsidRPr="004402EC" w:rsidRDefault="001D58B3" w:rsidP="001D58B3">
            <w:pPr>
              <w:rPr>
                <w:b/>
                <w:bCs/>
              </w:rPr>
            </w:pPr>
            <w:r w:rsidRPr="004402EC">
              <w:rPr>
                <w:rFonts w:cstheme="minorHAnsi"/>
                <w:b/>
                <w:bCs/>
                <w:sz w:val="20"/>
                <w:szCs w:val="20"/>
              </w:rPr>
              <w:t>Publications</w:t>
            </w:r>
          </w:p>
        </w:tc>
        <w:tc>
          <w:tcPr>
            <w:tcW w:w="2784" w:type="dxa"/>
            <w:vAlign w:val="center"/>
          </w:tcPr>
          <w:p w14:paraId="210B33F5" w14:textId="0B8754BD" w:rsidR="001D58B3" w:rsidRPr="004402EC" w:rsidRDefault="001D58B3" w:rsidP="001D58B3">
            <w:pPr>
              <w:rPr>
                <w:b/>
                <w:bCs/>
              </w:rPr>
            </w:pPr>
            <w:r w:rsidRPr="004402EC">
              <w:rPr>
                <w:rFonts w:cstheme="minorHAnsi"/>
                <w:b/>
                <w:bCs/>
                <w:sz w:val="20"/>
                <w:szCs w:val="20"/>
                <w:lang w:val="en-US"/>
              </w:rPr>
              <w:t>Reason(s) for exclusion</w:t>
            </w:r>
          </w:p>
        </w:tc>
      </w:tr>
      <w:tr w:rsidR="001D58B3" w:rsidRPr="004402EC" w14:paraId="1CE9A695" w14:textId="77777777" w:rsidTr="00E458C5">
        <w:tc>
          <w:tcPr>
            <w:tcW w:w="6232" w:type="dxa"/>
          </w:tcPr>
          <w:p w14:paraId="16C7BBC5" w14:textId="61CA8C28" w:rsidR="001D58B3" w:rsidRPr="004402EC" w:rsidRDefault="001D58B3" w:rsidP="001D58B3">
            <w:pPr>
              <w:rPr>
                <w:b/>
                <w:bCs/>
              </w:rPr>
            </w:pPr>
            <w:r w:rsidRPr="004402EC">
              <w:rPr>
                <w:rFonts w:cstheme="minorHAnsi"/>
                <w:sz w:val="20"/>
                <w:szCs w:val="20"/>
              </w:rPr>
              <w:t>1.</w:t>
            </w:r>
            <w:r w:rsidRPr="004402EC">
              <w:rPr>
                <w:rFonts w:cstheme="minorHAnsi"/>
                <w:sz w:val="20"/>
                <w:szCs w:val="20"/>
                <w:lang w:val="en-US"/>
              </w:rPr>
              <w:t>Pradalier A, Rancurel G, Dordain G, Verdure L, Rascol A, Dry J. Acute Migraine Attack Therapy: Comparison of Naproxen Sodium and an Ergotamine Tartrate Compound. Cephalalgia. 1985;5(2):107-113. doi:</w:t>
            </w:r>
            <w:hyperlink r:id="rId9" w:history="1">
              <w:r w:rsidRPr="004402EC">
                <w:rPr>
                  <w:rStyle w:val="Hyperlink"/>
                  <w:rFonts w:cstheme="minorHAnsi"/>
                  <w:sz w:val="20"/>
                  <w:szCs w:val="20"/>
                  <w:lang w:val="en-US"/>
                </w:rPr>
                <w:t>10.1046/j.1468-2982.1985.0502107.x</w:t>
              </w:r>
            </w:hyperlink>
          </w:p>
        </w:tc>
        <w:tc>
          <w:tcPr>
            <w:tcW w:w="2784" w:type="dxa"/>
          </w:tcPr>
          <w:p w14:paraId="077B3695" w14:textId="326FCEE5" w:rsidR="001D58B3" w:rsidRPr="004402EC" w:rsidRDefault="001D58B3" w:rsidP="001D58B3">
            <w:pPr>
              <w:rPr>
                <w:b/>
                <w:bCs/>
              </w:rPr>
            </w:pPr>
            <w:r w:rsidRPr="004402EC">
              <w:rPr>
                <w:rFonts w:cstheme="minorHAnsi"/>
                <w:sz w:val="20"/>
                <w:szCs w:val="20"/>
                <w:lang w:val="en-US"/>
              </w:rPr>
              <w:t>Acute Migraine</w:t>
            </w:r>
          </w:p>
        </w:tc>
      </w:tr>
      <w:tr w:rsidR="001D58B3" w:rsidRPr="004402EC" w14:paraId="5DBFA243" w14:textId="77777777" w:rsidTr="00E458C5">
        <w:tc>
          <w:tcPr>
            <w:tcW w:w="6232" w:type="dxa"/>
          </w:tcPr>
          <w:p w14:paraId="4AA85B4D" w14:textId="06610468" w:rsidR="001D58B3" w:rsidRPr="004402EC" w:rsidRDefault="001D58B3" w:rsidP="001D58B3">
            <w:pPr>
              <w:rPr>
                <w:b/>
                <w:bCs/>
              </w:rPr>
            </w:pPr>
            <w:r w:rsidRPr="004402EC">
              <w:rPr>
                <w:rFonts w:cstheme="minorHAnsi"/>
                <w:sz w:val="20"/>
                <w:szCs w:val="20"/>
                <w:lang w:val="en-US"/>
              </w:rPr>
              <w:t>2.Abbasi V, Atalu A, Seddighnia P. Comparison of Levetiracetam and sodium Valproate in the prevention of migraine: a randomized clinical trial study. International Journal of Basic &amp; Clinical Pharmacology. 2018 Aug;7(8):1460.</w:t>
            </w:r>
          </w:p>
        </w:tc>
        <w:tc>
          <w:tcPr>
            <w:tcW w:w="2784" w:type="dxa"/>
          </w:tcPr>
          <w:p w14:paraId="37C36327" w14:textId="52F2BBC2" w:rsidR="001D58B3" w:rsidRPr="004402EC" w:rsidRDefault="001D58B3" w:rsidP="001D58B3">
            <w:pPr>
              <w:rPr>
                <w:b/>
                <w:bCs/>
              </w:rPr>
            </w:pPr>
            <w:r w:rsidRPr="004402EC">
              <w:rPr>
                <w:rFonts w:cstheme="minorHAnsi"/>
                <w:sz w:val="20"/>
                <w:szCs w:val="20"/>
                <w:lang w:val="en-US"/>
              </w:rPr>
              <w:t>Small sample size of episodic migraine</w:t>
            </w:r>
          </w:p>
        </w:tc>
      </w:tr>
      <w:tr w:rsidR="001D58B3" w:rsidRPr="004402EC" w14:paraId="22C6E664" w14:textId="77777777" w:rsidTr="00E458C5">
        <w:tc>
          <w:tcPr>
            <w:tcW w:w="6232" w:type="dxa"/>
          </w:tcPr>
          <w:p w14:paraId="1BC0CF0A" w14:textId="4519E13C" w:rsidR="001D58B3" w:rsidRPr="004402EC" w:rsidRDefault="001D58B3" w:rsidP="001D58B3">
            <w:pPr>
              <w:rPr>
                <w:b/>
                <w:bCs/>
              </w:rPr>
            </w:pPr>
            <w:r w:rsidRPr="004402EC">
              <w:rPr>
                <w:rFonts w:cstheme="minorHAnsi"/>
                <w:sz w:val="20"/>
                <w:szCs w:val="20"/>
                <w:lang w:val="en-US"/>
              </w:rPr>
              <w:t>3.Krakowski AJ, Engisch R. A new agent for chemotherapy of migraine headaches: a controlled study. Psychosomatics: Journal of Consultation and Liaison Psychiatry. 1973 Sep.</w:t>
            </w:r>
          </w:p>
        </w:tc>
        <w:tc>
          <w:tcPr>
            <w:tcW w:w="2784" w:type="dxa"/>
          </w:tcPr>
          <w:p w14:paraId="4ED37F49" w14:textId="0CE299E2" w:rsidR="001D58B3" w:rsidRPr="004402EC" w:rsidRDefault="001D58B3" w:rsidP="001D58B3">
            <w:pPr>
              <w:rPr>
                <w:b/>
                <w:bCs/>
              </w:rPr>
            </w:pPr>
            <w:r w:rsidRPr="004402EC">
              <w:rPr>
                <w:rFonts w:cstheme="minorHAnsi"/>
                <w:sz w:val="20"/>
                <w:szCs w:val="20"/>
                <w:lang w:val="en-US"/>
              </w:rPr>
              <w:t>Small sample size of episodic migraine</w:t>
            </w:r>
          </w:p>
        </w:tc>
      </w:tr>
      <w:tr w:rsidR="001D58B3" w:rsidRPr="004402EC" w14:paraId="2D9A9B8B" w14:textId="77777777" w:rsidTr="00E458C5">
        <w:tc>
          <w:tcPr>
            <w:tcW w:w="6232" w:type="dxa"/>
          </w:tcPr>
          <w:p w14:paraId="4381601F" w14:textId="6C3639D5" w:rsidR="001D58B3" w:rsidRPr="004402EC" w:rsidRDefault="001D58B3" w:rsidP="001D58B3">
            <w:pPr>
              <w:rPr>
                <w:b/>
                <w:bCs/>
              </w:rPr>
            </w:pPr>
            <w:r w:rsidRPr="004402EC">
              <w:rPr>
                <w:rFonts w:cstheme="minorHAnsi"/>
                <w:sz w:val="20"/>
                <w:szCs w:val="20"/>
                <w:lang w:val="en-US"/>
              </w:rPr>
              <w:t>4.Adam EI, Gore SM, Price WH. Double blind trial of clonidine in the treatment of migraine in a general practice. The Journal of the Royal College of General Practitioners. 1978 Oct 1;28(195):587-90.</w:t>
            </w:r>
          </w:p>
        </w:tc>
        <w:tc>
          <w:tcPr>
            <w:tcW w:w="2784" w:type="dxa"/>
          </w:tcPr>
          <w:p w14:paraId="55515E47" w14:textId="77558C33" w:rsidR="001D58B3" w:rsidRPr="004402EC" w:rsidRDefault="001D58B3" w:rsidP="001D58B3">
            <w:pPr>
              <w:rPr>
                <w:b/>
                <w:bCs/>
              </w:rPr>
            </w:pPr>
            <w:r w:rsidRPr="004402EC">
              <w:rPr>
                <w:rFonts w:cstheme="minorHAnsi"/>
                <w:sz w:val="20"/>
                <w:szCs w:val="20"/>
                <w:lang w:val="en-US"/>
              </w:rPr>
              <w:t>Small sample size of episodic migraine</w:t>
            </w:r>
          </w:p>
        </w:tc>
      </w:tr>
      <w:tr w:rsidR="001D58B3" w:rsidRPr="004402EC" w14:paraId="1C5D27DE" w14:textId="77777777" w:rsidTr="00E458C5">
        <w:tc>
          <w:tcPr>
            <w:tcW w:w="6232" w:type="dxa"/>
          </w:tcPr>
          <w:p w14:paraId="1F4DDD7E" w14:textId="27F0690E" w:rsidR="001D58B3" w:rsidRPr="004402EC" w:rsidRDefault="001D58B3" w:rsidP="001D58B3">
            <w:pPr>
              <w:rPr>
                <w:b/>
                <w:bCs/>
              </w:rPr>
            </w:pPr>
            <w:r w:rsidRPr="004402EC">
              <w:rPr>
                <w:rFonts w:cstheme="minorHAnsi"/>
                <w:sz w:val="20"/>
                <w:szCs w:val="20"/>
                <w:lang w:val="en-US"/>
              </w:rPr>
              <w:t>5.</w:t>
            </w:r>
            <w:bookmarkStart w:id="2" w:name="_Hlk132200251"/>
            <w:r w:rsidRPr="004402EC">
              <w:rPr>
                <w:rFonts w:cstheme="minorHAnsi"/>
                <w:sz w:val="20"/>
                <w:szCs w:val="20"/>
                <w:lang w:val="en-US"/>
              </w:rPr>
              <w:t>Soares AD, Louçana PM, Nasi EP, Sousa KM, Sá OM, Silva-Néto RP. A double-blind, randomized, and placebo-controlled clinical trial with omega-3 polyunsaturated fatty acids (OPFA ɷ-3) for the prevention of migraine in chronic migraine patients using amitriptyline. Nutritional neuroscience. 2018 Mar 16;21(3):219-23.</w:t>
            </w:r>
            <w:bookmarkEnd w:id="2"/>
          </w:p>
        </w:tc>
        <w:tc>
          <w:tcPr>
            <w:tcW w:w="2784" w:type="dxa"/>
          </w:tcPr>
          <w:p w14:paraId="0936F4E2" w14:textId="55AD514B" w:rsidR="001D58B3" w:rsidRPr="004402EC" w:rsidRDefault="001D58B3" w:rsidP="001D58B3">
            <w:pPr>
              <w:rPr>
                <w:b/>
                <w:bCs/>
              </w:rPr>
            </w:pPr>
            <w:r w:rsidRPr="004402EC">
              <w:rPr>
                <w:rFonts w:cstheme="minorHAnsi"/>
                <w:sz w:val="20"/>
                <w:szCs w:val="20"/>
                <w:lang w:val="en-US"/>
              </w:rPr>
              <w:t xml:space="preserve">Small </w:t>
            </w:r>
            <w:r w:rsidR="00795F70" w:rsidRPr="004402EC">
              <w:rPr>
                <w:rFonts w:cstheme="minorHAnsi"/>
                <w:sz w:val="20"/>
                <w:szCs w:val="20"/>
                <w:lang w:val="en-US"/>
              </w:rPr>
              <w:t xml:space="preserve">sample size of </w:t>
            </w:r>
            <w:r w:rsidRPr="004402EC">
              <w:rPr>
                <w:rFonts w:cstheme="minorHAnsi"/>
                <w:sz w:val="20"/>
                <w:szCs w:val="20"/>
                <w:lang w:val="en-US"/>
              </w:rPr>
              <w:t xml:space="preserve">chronic </w:t>
            </w:r>
            <w:r w:rsidR="00795F70" w:rsidRPr="004402EC">
              <w:rPr>
                <w:rFonts w:cstheme="minorHAnsi"/>
                <w:sz w:val="20"/>
                <w:szCs w:val="20"/>
                <w:lang w:val="en-US"/>
              </w:rPr>
              <w:t>migraine</w:t>
            </w:r>
            <w:r w:rsidR="0016432E" w:rsidRPr="004402EC">
              <w:rPr>
                <w:rFonts w:cstheme="minorHAnsi"/>
                <w:sz w:val="20"/>
                <w:szCs w:val="20"/>
                <w:lang w:val="en-US"/>
              </w:rPr>
              <w:t>, and not recommended by NICE or SIGN</w:t>
            </w:r>
          </w:p>
        </w:tc>
      </w:tr>
      <w:tr w:rsidR="001D58B3" w:rsidRPr="004402EC" w14:paraId="73499262" w14:textId="77777777" w:rsidTr="00E458C5">
        <w:tc>
          <w:tcPr>
            <w:tcW w:w="6232" w:type="dxa"/>
          </w:tcPr>
          <w:p w14:paraId="3CCF381B" w14:textId="5450D91E" w:rsidR="001D58B3" w:rsidRPr="004402EC" w:rsidRDefault="001D58B3" w:rsidP="001D58B3">
            <w:pPr>
              <w:rPr>
                <w:b/>
                <w:bCs/>
              </w:rPr>
            </w:pPr>
            <w:r w:rsidRPr="004402EC">
              <w:rPr>
                <w:rFonts w:cstheme="minorHAnsi"/>
                <w:sz w:val="20"/>
                <w:szCs w:val="20"/>
                <w:lang w:val="en-US"/>
              </w:rPr>
              <w:t>6.Afshari D, Rafizadeh S, Rezaei M. A comparative study of the effects of low-dose topiramate versus sodium valproate in migraine prophylaxis. International journal of Neuroscience. 2012 Jan 1;122(2):60-8.</w:t>
            </w:r>
          </w:p>
        </w:tc>
        <w:tc>
          <w:tcPr>
            <w:tcW w:w="2784" w:type="dxa"/>
          </w:tcPr>
          <w:p w14:paraId="74A83015" w14:textId="3CA64112" w:rsidR="001D58B3" w:rsidRPr="004402EC" w:rsidRDefault="001D58B3" w:rsidP="001D58B3">
            <w:pPr>
              <w:rPr>
                <w:b/>
                <w:bCs/>
              </w:rPr>
            </w:pPr>
            <w:r w:rsidRPr="004402EC">
              <w:rPr>
                <w:rFonts w:cstheme="minorHAnsi"/>
                <w:sz w:val="20"/>
                <w:szCs w:val="20"/>
                <w:lang w:val="en-US"/>
              </w:rPr>
              <w:t>Small sample size of episodic migraine</w:t>
            </w:r>
          </w:p>
        </w:tc>
      </w:tr>
      <w:tr w:rsidR="001D58B3" w:rsidRPr="004402EC" w14:paraId="64CD7131" w14:textId="77777777" w:rsidTr="00E458C5">
        <w:tc>
          <w:tcPr>
            <w:tcW w:w="6232" w:type="dxa"/>
          </w:tcPr>
          <w:p w14:paraId="6881A413" w14:textId="511B1BF7" w:rsidR="001D58B3" w:rsidRPr="004402EC" w:rsidRDefault="001D58B3" w:rsidP="001D58B3">
            <w:pPr>
              <w:rPr>
                <w:b/>
                <w:bCs/>
              </w:rPr>
            </w:pPr>
            <w:r w:rsidRPr="004402EC">
              <w:rPr>
                <w:rFonts w:cstheme="minorHAnsi"/>
                <w:sz w:val="20"/>
                <w:szCs w:val="20"/>
                <w:lang w:val="en-US"/>
              </w:rPr>
              <w:t>7.Allais G, De Lorenzo C, Quirico PE, Airola G, Tolardo G, Mana O, Benedetto C. Acupuncture in the prophylactic treatment of migraine without aura: a comparison with flunarizine. Headache: The Journal of Head and Face Pain. 2002 Oct;42(9):855-61.</w:t>
            </w:r>
          </w:p>
        </w:tc>
        <w:tc>
          <w:tcPr>
            <w:tcW w:w="2784" w:type="dxa"/>
          </w:tcPr>
          <w:p w14:paraId="50804B16" w14:textId="180CB710" w:rsidR="001D58B3" w:rsidRPr="004402EC" w:rsidRDefault="001D58B3" w:rsidP="001D58B3">
            <w:pPr>
              <w:rPr>
                <w:b/>
                <w:bCs/>
              </w:rPr>
            </w:pPr>
            <w:r w:rsidRPr="004402EC">
              <w:rPr>
                <w:rFonts w:cstheme="minorHAnsi"/>
                <w:sz w:val="20"/>
                <w:szCs w:val="20"/>
                <w:lang w:val="en-US"/>
              </w:rPr>
              <w:t>Small sample size of episodic migraine</w:t>
            </w:r>
          </w:p>
        </w:tc>
      </w:tr>
      <w:tr w:rsidR="001D58B3" w:rsidRPr="004402EC" w14:paraId="64FB8712" w14:textId="77777777" w:rsidTr="00E458C5">
        <w:tc>
          <w:tcPr>
            <w:tcW w:w="6232" w:type="dxa"/>
          </w:tcPr>
          <w:p w14:paraId="175086D8" w14:textId="20F4600D" w:rsidR="001D58B3" w:rsidRPr="004402EC" w:rsidRDefault="001D58B3" w:rsidP="001D58B3">
            <w:pPr>
              <w:rPr>
                <w:rFonts w:cstheme="minorHAnsi"/>
                <w:sz w:val="20"/>
                <w:szCs w:val="20"/>
                <w:lang w:val="en-US"/>
              </w:rPr>
            </w:pPr>
            <w:r w:rsidRPr="004402EC">
              <w:rPr>
                <w:rFonts w:cstheme="minorHAnsi"/>
                <w:sz w:val="20"/>
                <w:szCs w:val="20"/>
                <w:lang w:val="en-US"/>
              </w:rPr>
              <w:t>8. Chabi A, Zhang Y, Jackson S, Cady R, Lines C, Herring WJ, Connor KM, Michelson D. Randomized controlled trial of the orexin receptor antagonist filorexant for migraine prophylaxis. Cephalalgia. 2015 Apr;35(5):379-88.</w:t>
            </w:r>
          </w:p>
        </w:tc>
        <w:tc>
          <w:tcPr>
            <w:tcW w:w="2784" w:type="dxa"/>
          </w:tcPr>
          <w:p w14:paraId="0751B78E" w14:textId="5A15975B" w:rsidR="001D58B3" w:rsidRPr="004402EC" w:rsidRDefault="001D58B3" w:rsidP="001D58B3">
            <w:pPr>
              <w:rPr>
                <w:rFonts w:cstheme="minorHAnsi"/>
                <w:sz w:val="20"/>
                <w:szCs w:val="20"/>
                <w:lang w:val="en-US"/>
              </w:rPr>
            </w:pPr>
            <w:r w:rsidRPr="004402EC">
              <w:rPr>
                <w:rFonts w:cstheme="minorHAnsi"/>
                <w:sz w:val="20"/>
                <w:szCs w:val="20"/>
                <w:lang w:val="en-US"/>
              </w:rPr>
              <w:t>Not available in the market</w:t>
            </w:r>
          </w:p>
        </w:tc>
      </w:tr>
      <w:tr w:rsidR="001D58B3" w:rsidRPr="004402EC" w14:paraId="066C3574" w14:textId="77777777" w:rsidTr="00E458C5">
        <w:tc>
          <w:tcPr>
            <w:tcW w:w="6232" w:type="dxa"/>
          </w:tcPr>
          <w:p w14:paraId="3F2E27F1" w14:textId="095C6696" w:rsidR="001D58B3" w:rsidRPr="004402EC" w:rsidRDefault="001D58B3" w:rsidP="001D58B3">
            <w:pPr>
              <w:rPr>
                <w:rFonts w:cstheme="minorHAnsi"/>
                <w:sz w:val="20"/>
                <w:szCs w:val="20"/>
                <w:lang w:val="en-US"/>
              </w:rPr>
            </w:pPr>
            <w:r w:rsidRPr="004402EC">
              <w:rPr>
                <w:rFonts w:cstheme="minorHAnsi"/>
                <w:sz w:val="20"/>
                <w:szCs w:val="20"/>
                <w:lang w:val="en-US"/>
              </w:rPr>
              <w:t>9. Andersson PG, Dahl S, Hansen JH, Hansen PE, Hedman C, Nygaard Kristensen T, de Fine Olivarius B. Prophylactic treatment of classical and non‐classical migraine with metoprolol—a comparison with placebo. Cephalalgia. 1983 Dec;3(4):207-12.</w:t>
            </w:r>
          </w:p>
        </w:tc>
        <w:tc>
          <w:tcPr>
            <w:tcW w:w="2784" w:type="dxa"/>
          </w:tcPr>
          <w:p w14:paraId="68BF1A98" w14:textId="38D84AE1" w:rsidR="001D58B3" w:rsidRPr="004402EC" w:rsidRDefault="001D58B3" w:rsidP="001D58B3">
            <w:pPr>
              <w:rPr>
                <w:rFonts w:cstheme="minorHAnsi"/>
                <w:sz w:val="20"/>
                <w:szCs w:val="20"/>
                <w:lang w:val="en-US"/>
              </w:rPr>
            </w:pPr>
            <w:r w:rsidRPr="004402EC">
              <w:rPr>
                <w:rFonts w:cstheme="minorHAnsi"/>
                <w:sz w:val="20"/>
                <w:szCs w:val="20"/>
                <w:lang w:val="en-US"/>
              </w:rPr>
              <w:t>Small sample size of episodic migraine</w:t>
            </w:r>
          </w:p>
        </w:tc>
      </w:tr>
      <w:tr w:rsidR="001D58B3" w:rsidRPr="004402EC" w14:paraId="421C7B1E" w14:textId="77777777" w:rsidTr="00E458C5">
        <w:tc>
          <w:tcPr>
            <w:tcW w:w="6232" w:type="dxa"/>
          </w:tcPr>
          <w:p w14:paraId="385E1FF7" w14:textId="5CBD7107" w:rsidR="001D58B3" w:rsidRPr="004402EC" w:rsidRDefault="001D58B3" w:rsidP="001D58B3">
            <w:pPr>
              <w:rPr>
                <w:rFonts w:cstheme="minorHAnsi"/>
                <w:sz w:val="20"/>
                <w:szCs w:val="20"/>
                <w:lang w:val="en-US"/>
              </w:rPr>
            </w:pPr>
            <w:r w:rsidRPr="004402EC">
              <w:rPr>
                <w:rFonts w:cstheme="minorHAnsi"/>
                <w:sz w:val="20"/>
                <w:szCs w:val="20"/>
                <w:lang w:val="en-US"/>
              </w:rPr>
              <w:t>10. Camporeale A, Kudrow D, Sides R, Wang S, Van Dycke A, Selzler KJ, Stauffer VL. A phase 3, long-term, open-label safety study of Galcanezumab in patients with migraine. BMC neurology. 2018 Dec;18(1):1-2.</w:t>
            </w:r>
          </w:p>
        </w:tc>
        <w:tc>
          <w:tcPr>
            <w:tcW w:w="2784" w:type="dxa"/>
          </w:tcPr>
          <w:p w14:paraId="0DFD1BB4" w14:textId="5F4F0EC9" w:rsidR="001D58B3" w:rsidRPr="004402EC" w:rsidRDefault="001D58B3" w:rsidP="001D58B3">
            <w:pPr>
              <w:rPr>
                <w:rFonts w:cstheme="minorHAnsi"/>
                <w:sz w:val="20"/>
                <w:szCs w:val="20"/>
                <w:lang w:val="en-US"/>
              </w:rPr>
            </w:pPr>
            <w:r w:rsidRPr="004402EC">
              <w:rPr>
                <w:rFonts w:cstheme="minorHAnsi"/>
                <w:sz w:val="20"/>
                <w:szCs w:val="20"/>
                <w:lang w:val="en-US"/>
              </w:rPr>
              <w:t>A safety study, different Ga</w:t>
            </w:r>
            <w:r w:rsidR="008F16B8" w:rsidRPr="004402EC">
              <w:rPr>
                <w:rFonts w:cstheme="minorHAnsi"/>
                <w:sz w:val="20"/>
                <w:szCs w:val="20"/>
                <w:lang w:val="en-US"/>
              </w:rPr>
              <w:t>l</w:t>
            </w:r>
            <w:r w:rsidRPr="004402EC">
              <w:rPr>
                <w:rFonts w:cstheme="minorHAnsi"/>
                <w:sz w:val="20"/>
                <w:szCs w:val="20"/>
                <w:lang w:val="en-US"/>
              </w:rPr>
              <w:t>canez</w:t>
            </w:r>
            <w:r w:rsidR="003824D5" w:rsidRPr="004402EC">
              <w:rPr>
                <w:rFonts w:cstheme="minorHAnsi"/>
                <w:sz w:val="20"/>
                <w:szCs w:val="20"/>
                <w:lang w:val="en-US"/>
              </w:rPr>
              <w:t>u</w:t>
            </w:r>
            <w:r w:rsidRPr="004402EC">
              <w:rPr>
                <w:rFonts w:cstheme="minorHAnsi"/>
                <w:sz w:val="20"/>
                <w:szCs w:val="20"/>
                <w:lang w:val="en-US"/>
              </w:rPr>
              <w:t>m</w:t>
            </w:r>
            <w:r w:rsidR="003824D5" w:rsidRPr="004402EC">
              <w:rPr>
                <w:rFonts w:cstheme="minorHAnsi"/>
                <w:sz w:val="20"/>
                <w:szCs w:val="20"/>
                <w:lang w:val="en-US"/>
              </w:rPr>
              <w:t>a</w:t>
            </w:r>
            <w:r w:rsidRPr="004402EC">
              <w:rPr>
                <w:rFonts w:cstheme="minorHAnsi"/>
                <w:sz w:val="20"/>
                <w:szCs w:val="20"/>
                <w:lang w:val="en-US"/>
              </w:rPr>
              <w:t>b doses.</w:t>
            </w:r>
          </w:p>
        </w:tc>
      </w:tr>
      <w:tr w:rsidR="001D58B3" w:rsidRPr="004402EC" w14:paraId="37970C77" w14:textId="77777777" w:rsidTr="00E458C5">
        <w:tc>
          <w:tcPr>
            <w:tcW w:w="6232" w:type="dxa"/>
          </w:tcPr>
          <w:p w14:paraId="407FF4E9" w14:textId="7EFA7FCA" w:rsidR="001D58B3" w:rsidRPr="004402EC" w:rsidRDefault="001D58B3" w:rsidP="001D58B3">
            <w:pPr>
              <w:rPr>
                <w:rFonts w:cstheme="minorHAnsi"/>
                <w:sz w:val="20"/>
                <w:szCs w:val="20"/>
                <w:lang w:val="en-US"/>
              </w:rPr>
            </w:pPr>
            <w:r w:rsidRPr="004402EC">
              <w:rPr>
                <w:rFonts w:cstheme="minorHAnsi"/>
                <w:sz w:val="20"/>
                <w:szCs w:val="20"/>
                <w:lang w:val="en-US"/>
              </w:rPr>
              <w:t>11.Ansell E, Fazzone T, Festenstein R, Johnson ES, Thavapalan M, Wilkinson M, Wozniak I. Nimodipine in migraine prophylaxis. Cephalalgia. 1988 Dec;8(4):269-72.</w:t>
            </w:r>
          </w:p>
        </w:tc>
        <w:tc>
          <w:tcPr>
            <w:tcW w:w="2784" w:type="dxa"/>
          </w:tcPr>
          <w:p w14:paraId="07E35741" w14:textId="6B057698" w:rsidR="001D58B3" w:rsidRPr="004402EC" w:rsidRDefault="001D58B3" w:rsidP="001D58B3">
            <w:pPr>
              <w:rPr>
                <w:rFonts w:cstheme="minorHAnsi"/>
                <w:sz w:val="20"/>
                <w:szCs w:val="20"/>
                <w:lang w:val="en-US"/>
              </w:rPr>
            </w:pPr>
            <w:r w:rsidRPr="004402EC">
              <w:rPr>
                <w:rFonts w:cstheme="minorHAnsi"/>
                <w:sz w:val="20"/>
                <w:szCs w:val="20"/>
                <w:lang w:val="en-US"/>
              </w:rPr>
              <w:t>Small sample size of episodic migraine</w:t>
            </w:r>
          </w:p>
        </w:tc>
      </w:tr>
      <w:tr w:rsidR="001D58B3" w:rsidRPr="004402EC" w14:paraId="39B458D5" w14:textId="77777777" w:rsidTr="00E458C5">
        <w:tc>
          <w:tcPr>
            <w:tcW w:w="6232" w:type="dxa"/>
          </w:tcPr>
          <w:p w14:paraId="09050111" w14:textId="4BA39C21" w:rsidR="001D58B3" w:rsidRPr="004402EC" w:rsidRDefault="001D58B3" w:rsidP="001D58B3">
            <w:pPr>
              <w:rPr>
                <w:rFonts w:cstheme="minorHAnsi"/>
                <w:sz w:val="20"/>
                <w:szCs w:val="20"/>
                <w:lang w:val="en-US"/>
              </w:rPr>
            </w:pPr>
            <w:r w:rsidRPr="004402EC">
              <w:rPr>
                <w:rFonts w:cstheme="minorHAnsi"/>
                <w:sz w:val="20"/>
                <w:szCs w:val="20"/>
                <w:lang w:val="en-US"/>
              </w:rPr>
              <w:t>12.Bostani A, Rajabi A, Moradian N, Razazian N, Rezaei M. The effects of cinnarizine versus sodium valproate in migraine prophylaxis. International Journal of Neuroscience. 2013 Jul 1;123(7):487-93.</w:t>
            </w:r>
          </w:p>
        </w:tc>
        <w:tc>
          <w:tcPr>
            <w:tcW w:w="2784" w:type="dxa"/>
          </w:tcPr>
          <w:p w14:paraId="2006A353" w14:textId="5EA98204" w:rsidR="001D58B3" w:rsidRPr="004402EC" w:rsidRDefault="001D58B3" w:rsidP="001D58B3">
            <w:pPr>
              <w:rPr>
                <w:rFonts w:cstheme="minorHAnsi"/>
                <w:sz w:val="20"/>
                <w:szCs w:val="20"/>
                <w:lang w:val="en-US"/>
              </w:rPr>
            </w:pPr>
            <w:r w:rsidRPr="004402EC">
              <w:rPr>
                <w:rFonts w:cstheme="minorHAnsi"/>
                <w:sz w:val="20"/>
                <w:szCs w:val="20"/>
                <w:lang w:val="en-US"/>
              </w:rPr>
              <w:t>Not clear if chronic, small sample size</w:t>
            </w:r>
          </w:p>
        </w:tc>
      </w:tr>
      <w:tr w:rsidR="001D58B3" w:rsidRPr="004402EC" w14:paraId="6CB9D24C" w14:textId="77777777" w:rsidTr="00E458C5">
        <w:tc>
          <w:tcPr>
            <w:tcW w:w="6232" w:type="dxa"/>
          </w:tcPr>
          <w:p w14:paraId="4D0C43E1" w14:textId="27EDC01A" w:rsidR="001D58B3" w:rsidRPr="004402EC" w:rsidRDefault="001D58B3" w:rsidP="001D58B3">
            <w:pPr>
              <w:rPr>
                <w:rFonts w:cstheme="minorHAnsi"/>
                <w:sz w:val="20"/>
                <w:szCs w:val="20"/>
                <w:lang w:val="en-US"/>
              </w:rPr>
            </w:pPr>
            <w:r w:rsidRPr="004402EC">
              <w:rPr>
                <w:rFonts w:cstheme="minorHAnsi"/>
                <w:sz w:val="20"/>
                <w:szCs w:val="20"/>
                <w:lang w:val="en-US"/>
              </w:rPr>
              <w:t>13.Ashina M, Doležil D, Bonner JH, Zhou L, Klatt J, Picard H, Mikol DD. A phase 2, randomized, double-blind, placebo-controlled trial of AMG 301, a pituitary adenylate cyclase-activating polypeptide PAC1 receptor monoclonal antibody for migraine prevention. Cephalalgia. 2021 Jan;41(1):33-44.</w:t>
            </w:r>
          </w:p>
        </w:tc>
        <w:tc>
          <w:tcPr>
            <w:tcW w:w="2784" w:type="dxa"/>
          </w:tcPr>
          <w:p w14:paraId="6A94E248" w14:textId="27161684" w:rsidR="001D58B3" w:rsidRPr="004402EC" w:rsidRDefault="00795F70" w:rsidP="001D58B3">
            <w:pPr>
              <w:rPr>
                <w:rFonts w:cstheme="minorHAnsi"/>
                <w:sz w:val="20"/>
                <w:szCs w:val="20"/>
                <w:lang w:val="en-US"/>
              </w:rPr>
            </w:pPr>
            <w:r w:rsidRPr="004402EC">
              <w:rPr>
                <w:rFonts w:cstheme="minorHAnsi"/>
                <w:sz w:val="20"/>
                <w:szCs w:val="20"/>
                <w:lang w:val="en-US"/>
              </w:rPr>
              <w:t>Not available in the market</w:t>
            </w:r>
          </w:p>
        </w:tc>
      </w:tr>
      <w:tr w:rsidR="004C628C" w:rsidRPr="004402EC" w14:paraId="76B741ED" w14:textId="77777777" w:rsidTr="00E458C5">
        <w:tc>
          <w:tcPr>
            <w:tcW w:w="6232" w:type="dxa"/>
          </w:tcPr>
          <w:p w14:paraId="1D35F067" w14:textId="3DC9CAAC" w:rsidR="004C628C" w:rsidRPr="004402EC" w:rsidRDefault="004C628C" w:rsidP="004C628C">
            <w:pPr>
              <w:rPr>
                <w:rFonts w:cstheme="minorHAnsi"/>
                <w:sz w:val="20"/>
                <w:szCs w:val="20"/>
                <w:lang w:val="en-US"/>
              </w:rPr>
            </w:pPr>
            <w:r w:rsidRPr="004402EC">
              <w:rPr>
                <w:rFonts w:cstheme="minorHAnsi"/>
                <w:sz w:val="20"/>
                <w:szCs w:val="20"/>
                <w:lang w:val="en-US"/>
              </w:rPr>
              <w:t xml:space="preserve">14.Assarzadegan F, Tabesh H, Hosseini-Zijoud SM, Beale AD, Shoghli A, Yazdi MG, Mansouri B, Hesami O, Moghadam NB, Kasmaei HD. Comparing zonisamide with sodium valproate in the management of migraine headaches: double-blind randomized clinical trial of efficacy and </w:t>
            </w:r>
            <w:r w:rsidRPr="004402EC">
              <w:rPr>
                <w:rFonts w:cstheme="minorHAnsi"/>
                <w:sz w:val="20"/>
                <w:szCs w:val="20"/>
                <w:lang w:val="en-US"/>
              </w:rPr>
              <w:lastRenderedPageBreak/>
              <w:t>safety. Iranian Red Crescent Medical Journal. 2016 Sep;18(9).</w:t>
            </w:r>
          </w:p>
        </w:tc>
        <w:tc>
          <w:tcPr>
            <w:tcW w:w="2784" w:type="dxa"/>
          </w:tcPr>
          <w:p w14:paraId="39546BC5" w14:textId="01710ADF" w:rsidR="004C628C" w:rsidRPr="004402EC" w:rsidRDefault="004C628C" w:rsidP="004C628C">
            <w:pPr>
              <w:rPr>
                <w:rFonts w:cstheme="minorHAnsi"/>
                <w:sz w:val="20"/>
                <w:szCs w:val="20"/>
                <w:lang w:val="en-US"/>
              </w:rPr>
            </w:pPr>
            <w:r w:rsidRPr="004402EC">
              <w:rPr>
                <w:rFonts w:cstheme="minorHAnsi"/>
                <w:sz w:val="20"/>
                <w:szCs w:val="20"/>
                <w:lang w:val="en-US"/>
              </w:rPr>
              <w:lastRenderedPageBreak/>
              <w:t>Small sample size of episodic migraine</w:t>
            </w:r>
          </w:p>
        </w:tc>
      </w:tr>
      <w:tr w:rsidR="004C628C" w:rsidRPr="004402EC" w14:paraId="65DE1DFB" w14:textId="77777777" w:rsidTr="00E458C5">
        <w:tc>
          <w:tcPr>
            <w:tcW w:w="6232" w:type="dxa"/>
          </w:tcPr>
          <w:p w14:paraId="3B404D1C" w14:textId="68BAAD14" w:rsidR="004C628C" w:rsidRPr="004402EC" w:rsidRDefault="004C628C" w:rsidP="004C628C">
            <w:pPr>
              <w:rPr>
                <w:rFonts w:cstheme="minorHAnsi"/>
                <w:sz w:val="20"/>
                <w:szCs w:val="20"/>
                <w:lang w:val="en-US"/>
              </w:rPr>
            </w:pPr>
            <w:r w:rsidRPr="004402EC">
              <w:rPr>
                <w:rFonts w:cstheme="minorHAnsi"/>
                <w:sz w:val="20"/>
                <w:szCs w:val="20"/>
                <w:lang w:val="en-US"/>
              </w:rPr>
              <w:lastRenderedPageBreak/>
              <w:t>15. Barrientos N, Chana P. Botulinum toxin type A in prophylactic treatment of migraine headaches: a preliminary study. The Journal of headache and pain. 2003 Dec;4(3):146-51.</w:t>
            </w:r>
          </w:p>
        </w:tc>
        <w:tc>
          <w:tcPr>
            <w:tcW w:w="2784" w:type="dxa"/>
          </w:tcPr>
          <w:p w14:paraId="2CDAEDB6" w14:textId="5C8ECE94" w:rsidR="004C628C" w:rsidRPr="004402EC" w:rsidRDefault="004C628C" w:rsidP="004C628C">
            <w:pPr>
              <w:rPr>
                <w:rFonts w:cstheme="minorHAnsi"/>
                <w:sz w:val="20"/>
                <w:szCs w:val="20"/>
                <w:lang w:val="en-US"/>
              </w:rPr>
            </w:pPr>
            <w:r w:rsidRPr="004402EC">
              <w:rPr>
                <w:rFonts w:cstheme="minorHAnsi"/>
                <w:sz w:val="20"/>
                <w:szCs w:val="20"/>
                <w:lang w:val="en-US"/>
              </w:rPr>
              <w:t>Small sample size of episodic migraine</w:t>
            </w:r>
          </w:p>
        </w:tc>
      </w:tr>
      <w:tr w:rsidR="004C628C" w:rsidRPr="004402EC" w14:paraId="79A28580" w14:textId="77777777" w:rsidTr="00E458C5">
        <w:tc>
          <w:tcPr>
            <w:tcW w:w="6232" w:type="dxa"/>
          </w:tcPr>
          <w:p w14:paraId="3AA1F764" w14:textId="6D97E1CC" w:rsidR="004C628C" w:rsidRPr="004402EC" w:rsidRDefault="004C628C" w:rsidP="004C628C">
            <w:pPr>
              <w:rPr>
                <w:rFonts w:cstheme="minorHAnsi"/>
                <w:sz w:val="20"/>
                <w:szCs w:val="20"/>
                <w:lang w:val="en-US"/>
              </w:rPr>
            </w:pPr>
            <w:r w:rsidRPr="004402EC">
              <w:rPr>
                <w:rFonts w:cstheme="minorHAnsi"/>
                <w:sz w:val="20"/>
                <w:szCs w:val="20"/>
                <w:lang w:val="en-US"/>
              </w:rPr>
              <w:t>16.Bavrasad R, Nejad SE, Yarahmadi AR, Sajedi SI, Rahim F. Assessment of the middle dose of topiramate in comparison with sodium valproate for migraine prophylaxis: a randomized-double-blind study. International Journal of Pharmacology. 2010 Sep 1;6(5):670-5.</w:t>
            </w:r>
          </w:p>
        </w:tc>
        <w:tc>
          <w:tcPr>
            <w:tcW w:w="2784" w:type="dxa"/>
          </w:tcPr>
          <w:p w14:paraId="729C84E0" w14:textId="76BE4DBC" w:rsidR="004C628C" w:rsidRPr="004402EC" w:rsidRDefault="004C628C" w:rsidP="004C628C">
            <w:pPr>
              <w:rPr>
                <w:rFonts w:cstheme="minorHAnsi"/>
                <w:sz w:val="20"/>
                <w:szCs w:val="20"/>
                <w:lang w:val="en-US"/>
              </w:rPr>
            </w:pPr>
            <w:r w:rsidRPr="004402EC">
              <w:rPr>
                <w:rFonts w:cstheme="minorHAnsi"/>
                <w:sz w:val="20"/>
                <w:szCs w:val="20"/>
                <w:lang w:val="en-US"/>
              </w:rPr>
              <w:t>Small sample size of episodic migraine</w:t>
            </w:r>
          </w:p>
        </w:tc>
      </w:tr>
      <w:tr w:rsidR="004C628C" w:rsidRPr="004402EC" w14:paraId="51AE4B5F" w14:textId="77777777" w:rsidTr="00E458C5">
        <w:tc>
          <w:tcPr>
            <w:tcW w:w="6232" w:type="dxa"/>
          </w:tcPr>
          <w:p w14:paraId="4E25EA87" w14:textId="7DB92499" w:rsidR="004C628C" w:rsidRPr="004402EC" w:rsidRDefault="004C628C" w:rsidP="004C628C">
            <w:pPr>
              <w:rPr>
                <w:rFonts w:cstheme="minorHAnsi"/>
                <w:sz w:val="20"/>
                <w:szCs w:val="20"/>
                <w:lang w:val="en-US"/>
              </w:rPr>
            </w:pPr>
            <w:r w:rsidRPr="004402EC">
              <w:rPr>
                <w:rFonts w:cstheme="minorHAnsi"/>
                <w:sz w:val="20"/>
                <w:szCs w:val="20"/>
                <w:lang w:val="en-US"/>
              </w:rPr>
              <w:t>17.Beran RG, Spira PJ. Levetiracetam in chronic daily headache: A double-blind, randomised placebo-controlled study: (The Australian KEPPRA Headache Trial [AUS-KHT]). Cephalalgia. 2011 Apr;31(5):530-6.</w:t>
            </w:r>
          </w:p>
        </w:tc>
        <w:tc>
          <w:tcPr>
            <w:tcW w:w="2784" w:type="dxa"/>
          </w:tcPr>
          <w:p w14:paraId="1FA32AD1" w14:textId="42BDF2CD" w:rsidR="004C628C" w:rsidRPr="004402EC" w:rsidRDefault="004C628C" w:rsidP="004C628C">
            <w:pPr>
              <w:rPr>
                <w:rFonts w:cstheme="minorHAnsi"/>
                <w:sz w:val="20"/>
                <w:szCs w:val="20"/>
                <w:lang w:val="en-US"/>
              </w:rPr>
            </w:pPr>
            <w:r w:rsidRPr="004402EC">
              <w:rPr>
                <w:rFonts w:cstheme="minorHAnsi"/>
                <w:sz w:val="20"/>
                <w:szCs w:val="20"/>
                <w:lang w:val="en-US"/>
              </w:rPr>
              <w:t>Small sample size of chronic headache day</w:t>
            </w:r>
          </w:p>
        </w:tc>
      </w:tr>
      <w:tr w:rsidR="004C628C" w:rsidRPr="004402EC" w14:paraId="24518D67" w14:textId="77777777" w:rsidTr="00E458C5">
        <w:tc>
          <w:tcPr>
            <w:tcW w:w="6232" w:type="dxa"/>
          </w:tcPr>
          <w:p w14:paraId="730EB35B" w14:textId="0C1867A3" w:rsidR="004C628C" w:rsidRPr="004402EC" w:rsidRDefault="004C628C" w:rsidP="004C628C">
            <w:pPr>
              <w:rPr>
                <w:rFonts w:cstheme="minorHAnsi"/>
                <w:sz w:val="20"/>
                <w:szCs w:val="20"/>
                <w:lang w:val="en-US"/>
              </w:rPr>
            </w:pPr>
            <w:r w:rsidRPr="004402EC">
              <w:rPr>
                <w:rFonts w:cstheme="minorHAnsi"/>
                <w:sz w:val="20"/>
                <w:szCs w:val="20"/>
                <w:lang w:val="en-US"/>
              </w:rPr>
              <w:t>18. Bigal ME, Dodick DW, Krymchantowski AV, VanderPluym JH, Tepper SJ, Aycardi E, Loupe PS, Ma Y, Goadsby PJ. TEV-48125 for the preventive treatment of chronic migraine: efficacy at early time points. Neurology. 2016 Jul 5;87(1):41-8.</w:t>
            </w:r>
          </w:p>
        </w:tc>
        <w:tc>
          <w:tcPr>
            <w:tcW w:w="2784" w:type="dxa"/>
          </w:tcPr>
          <w:p w14:paraId="1603A159" w14:textId="3E5390A5" w:rsidR="00C214C5" w:rsidRPr="004402EC" w:rsidRDefault="004C628C" w:rsidP="004C628C">
            <w:pPr>
              <w:rPr>
                <w:rFonts w:cstheme="minorHAnsi"/>
                <w:sz w:val="20"/>
                <w:szCs w:val="20"/>
                <w:lang w:val="en-US"/>
              </w:rPr>
            </w:pPr>
            <w:r w:rsidRPr="004402EC">
              <w:rPr>
                <w:rFonts w:cstheme="minorHAnsi"/>
                <w:sz w:val="20"/>
                <w:szCs w:val="20"/>
                <w:lang w:val="en-US"/>
              </w:rPr>
              <w:t>Small</w:t>
            </w:r>
            <w:r w:rsidR="00927983" w:rsidRPr="004402EC">
              <w:rPr>
                <w:rFonts w:cstheme="minorHAnsi"/>
                <w:sz w:val="20"/>
                <w:szCs w:val="20"/>
                <w:lang w:val="en-US"/>
              </w:rPr>
              <w:t xml:space="preserve"> sample</w:t>
            </w:r>
            <w:r w:rsidRPr="004402EC">
              <w:rPr>
                <w:rFonts w:cstheme="minorHAnsi"/>
                <w:sz w:val="20"/>
                <w:szCs w:val="20"/>
                <w:lang w:val="en-US"/>
              </w:rPr>
              <w:t xml:space="preserve"> size of </w:t>
            </w:r>
            <w:r w:rsidR="004D2E94" w:rsidRPr="004402EC">
              <w:rPr>
                <w:rFonts w:cstheme="minorHAnsi"/>
                <w:sz w:val="20"/>
                <w:szCs w:val="20"/>
                <w:lang w:val="en-US"/>
              </w:rPr>
              <w:t xml:space="preserve">mixed population of </w:t>
            </w:r>
            <w:r w:rsidRPr="004402EC">
              <w:rPr>
                <w:rFonts w:cstheme="minorHAnsi"/>
                <w:sz w:val="20"/>
                <w:szCs w:val="20"/>
                <w:lang w:val="en-US"/>
              </w:rPr>
              <w:t>chronic migraine</w:t>
            </w:r>
            <w:r w:rsidR="004D2E94" w:rsidRPr="004402EC">
              <w:rPr>
                <w:rFonts w:cstheme="minorHAnsi"/>
                <w:sz w:val="20"/>
                <w:szCs w:val="20"/>
                <w:lang w:val="en-US"/>
              </w:rPr>
              <w:t xml:space="preserve"> and HFEM.</w:t>
            </w:r>
            <w:r w:rsidR="007D182A">
              <w:rPr>
                <w:rFonts w:cstheme="minorHAnsi"/>
                <w:sz w:val="20"/>
                <w:szCs w:val="20"/>
                <w:lang w:val="en-US"/>
              </w:rPr>
              <w:t xml:space="preserve"> </w:t>
            </w:r>
            <w:r w:rsidR="00972021" w:rsidRPr="004402EC">
              <w:rPr>
                <w:rFonts w:cstheme="minorHAnsi"/>
                <w:sz w:val="20"/>
                <w:szCs w:val="20"/>
                <w:lang w:val="en-US"/>
              </w:rPr>
              <w:t>Also,</w:t>
            </w:r>
            <w:r w:rsidR="000A7A62" w:rsidRPr="004402EC">
              <w:rPr>
                <w:rFonts w:cstheme="minorHAnsi"/>
                <w:sz w:val="20"/>
                <w:szCs w:val="20"/>
                <w:lang w:val="en-US"/>
              </w:rPr>
              <w:t xml:space="preserve"> no </w:t>
            </w:r>
            <w:r w:rsidR="009C12F8" w:rsidRPr="004402EC">
              <w:rPr>
                <w:rFonts w:cstheme="minorHAnsi"/>
                <w:sz w:val="20"/>
                <w:szCs w:val="20"/>
                <w:lang w:val="en-US"/>
              </w:rPr>
              <w:t>outcome of interests</w:t>
            </w:r>
            <w:r w:rsidR="00325835">
              <w:rPr>
                <w:rFonts w:cstheme="minorHAnsi"/>
                <w:sz w:val="20"/>
                <w:szCs w:val="20"/>
                <w:lang w:val="en-US"/>
              </w:rPr>
              <w:t>.</w:t>
            </w:r>
            <w:r w:rsidR="004D2E94" w:rsidRPr="004402EC">
              <w:rPr>
                <w:rFonts w:cstheme="minorHAnsi"/>
                <w:sz w:val="20"/>
                <w:szCs w:val="20"/>
                <w:lang w:val="en-US"/>
              </w:rPr>
              <w:t xml:space="preserve"> </w:t>
            </w:r>
          </w:p>
        </w:tc>
      </w:tr>
      <w:tr w:rsidR="004C628C" w:rsidRPr="004402EC" w14:paraId="6EAEC668" w14:textId="77777777" w:rsidTr="00E458C5">
        <w:tc>
          <w:tcPr>
            <w:tcW w:w="6232" w:type="dxa"/>
          </w:tcPr>
          <w:p w14:paraId="2FEF277D" w14:textId="549B0DDD" w:rsidR="004C628C" w:rsidRPr="004402EC" w:rsidRDefault="004C628C" w:rsidP="004C628C">
            <w:pPr>
              <w:rPr>
                <w:rFonts w:cstheme="minorHAnsi"/>
                <w:sz w:val="20"/>
                <w:szCs w:val="20"/>
                <w:lang w:val="en-US"/>
              </w:rPr>
            </w:pPr>
            <w:r w:rsidRPr="004402EC">
              <w:rPr>
                <w:rFonts w:cstheme="minorHAnsi"/>
                <w:sz w:val="20"/>
                <w:szCs w:val="20"/>
                <w:lang w:val="en-US"/>
              </w:rPr>
              <w:t>19. Blumenfeld AM, Stevanovic DM, Ortega M, Cohen JM, Seminerio MJ, Yang R, Jiang B, Tepper SJ. No “Wearing‐Off Effect” Seen in Quarterly or Monthly Dosing of Fremanezumab: Subanalysis of a Randomized Long‐Term Study. Headache: The Journal of Head and Face Pain. 2020 Nov;60(10):2431-43.</w:t>
            </w:r>
          </w:p>
        </w:tc>
        <w:tc>
          <w:tcPr>
            <w:tcW w:w="2784" w:type="dxa"/>
          </w:tcPr>
          <w:p w14:paraId="04CAAF2B" w14:textId="5B6FB133" w:rsidR="004C628C" w:rsidRPr="004402EC" w:rsidRDefault="004C628C" w:rsidP="004C628C">
            <w:pPr>
              <w:rPr>
                <w:rFonts w:cstheme="minorHAnsi"/>
                <w:sz w:val="20"/>
                <w:szCs w:val="20"/>
                <w:lang w:val="en-US"/>
              </w:rPr>
            </w:pPr>
            <w:r w:rsidRPr="004402EC">
              <w:rPr>
                <w:rFonts w:cstheme="minorHAnsi"/>
                <w:sz w:val="20"/>
                <w:szCs w:val="20"/>
                <w:lang w:val="en-US"/>
              </w:rPr>
              <w:t xml:space="preserve"> Wearing-Off Effect study</w:t>
            </w:r>
          </w:p>
        </w:tc>
      </w:tr>
      <w:tr w:rsidR="004C628C" w:rsidRPr="004402EC" w14:paraId="25E4FB7C" w14:textId="77777777" w:rsidTr="00E458C5">
        <w:tc>
          <w:tcPr>
            <w:tcW w:w="6232" w:type="dxa"/>
          </w:tcPr>
          <w:p w14:paraId="5DF812B0" w14:textId="66EDCA2A" w:rsidR="004C628C" w:rsidRPr="004402EC" w:rsidRDefault="004C628C" w:rsidP="004C628C">
            <w:pPr>
              <w:rPr>
                <w:rFonts w:cstheme="minorHAnsi"/>
                <w:sz w:val="20"/>
                <w:szCs w:val="20"/>
                <w:lang w:val="en-US"/>
              </w:rPr>
            </w:pPr>
            <w:r w:rsidRPr="004402EC">
              <w:rPr>
                <w:rFonts w:cstheme="minorHAnsi"/>
                <w:sz w:val="20"/>
                <w:szCs w:val="20"/>
                <w:lang w:val="en-US"/>
              </w:rPr>
              <w:t>20. Blumenfeld AM, Schim JD, Chippendale TJ. Botulinum toxin type A and divalproex sodium for prophylactic treatment of episodic or chronic migraine. Headache: The Journal of Head and Face Pain. 2008 Feb;48(2):210-20.</w:t>
            </w:r>
          </w:p>
        </w:tc>
        <w:tc>
          <w:tcPr>
            <w:tcW w:w="2784" w:type="dxa"/>
          </w:tcPr>
          <w:p w14:paraId="10F1C37B" w14:textId="4B71A8E4" w:rsidR="004C628C" w:rsidRPr="004402EC" w:rsidRDefault="004C628C" w:rsidP="004C628C">
            <w:pPr>
              <w:rPr>
                <w:rFonts w:cstheme="minorHAnsi"/>
                <w:sz w:val="20"/>
                <w:szCs w:val="20"/>
                <w:lang w:val="en-US"/>
              </w:rPr>
            </w:pPr>
            <w:r w:rsidRPr="004402EC">
              <w:rPr>
                <w:rFonts w:cstheme="minorHAnsi"/>
                <w:sz w:val="20"/>
                <w:szCs w:val="20"/>
                <w:lang w:val="en-US"/>
              </w:rPr>
              <w:t>Small size of mixed population</w:t>
            </w:r>
          </w:p>
        </w:tc>
      </w:tr>
      <w:tr w:rsidR="004C628C" w:rsidRPr="004402EC" w14:paraId="2090D610" w14:textId="77777777" w:rsidTr="00E458C5">
        <w:tc>
          <w:tcPr>
            <w:tcW w:w="6232" w:type="dxa"/>
          </w:tcPr>
          <w:p w14:paraId="2556D7B0" w14:textId="6269016D" w:rsidR="004C628C" w:rsidRPr="004402EC" w:rsidRDefault="004C628C" w:rsidP="004C628C">
            <w:pPr>
              <w:rPr>
                <w:rFonts w:cstheme="minorHAnsi"/>
                <w:sz w:val="20"/>
                <w:szCs w:val="20"/>
                <w:lang w:val="en-US"/>
              </w:rPr>
            </w:pPr>
            <w:r w:rsidRPr="004402EC">
              <w:rPr>
                <w:rFonts w:cstheme="minorHAnsi"/>
                <w:sz w:val="20"/>
                <w:szCs w:val="20"/>
                <w:lang w:val="en-US"/>
              </w:rPr>
              <w:t>21. Brandes JL, Saper JR, Diamond M, Couch JR, Lewis DW, Schmitt J, Neto W, Schwabe S, Jacobs D, MIGR-002 Study Group, MIGR-002 Study Group. Topiramate for migraine prevention: a randomized controlled trial. Jama. 2004 Feb 25;291(8):965-73.</w:t>
            </w:r>
          </w:p>
        </w:tc>
        <w:tc>
          <w:tcPr>
            <w:tcW w:w="2784" w:type="dxa"/>
          </w:tcPr>
          <w:p w14:paraId="0F9D4C9D" w14:textId="7168A130" w:rsidR="004C628C" w:rsidRPr="004402EC" w:rsidRDefault="004C628C" w:rsidP="004C628C">
            <w:pPr>
              <w:rPr>
                <w:rFonts w:cstheme="minorHAnsi"/>
                <w:sz w:val="20"/>
                <w:szCs w:val="20"/>
                <w:lang w:val="en-US"/>
              </w:rPr>
            </w:pPr>
            <w:r w:rsidRPr="004402EC">
              <w:rPr>
                <w:rFonts w:cstheme="minorHAnsi"/>
                <w:sz w:val="20"/>
                <w:szCs w:val="20"/>
                <w:lang w:val="en-US"/>
              </w:rPr>
              <w:t>The mixed population of adults and adolescence</w:t>
            </w:r>
          </w:p>
        </w:tc>
      </w:tr>
      <w:tr w:rsidR="004C628C" w:rsidRPr="004402EC" w14:paraId="2CE598E3" w14:textId="77777777" w:rsidTr="00E458C5">
        <w:tc>
          <w:tcPr>
            <w:tcW w:w="6232" w:type="dxa"/>
          </w:tcPr>
          <w:p w14:paraId="7EC6E303" w14:textId="55FCB289" w:rsidR="004C628C" w:rsidRPr="004402EC" w:rsidRDefault="004C628C" w:rsidP="004C628C">
            <w:pPr>
              <w:rPr>
                <w:rFonts w:cstheme="minorHAnsi"/>
                <w:sz w:val="20"/>
                <w:szCs w:val="20"/>
                <w:lang w:val="en-US"/>
              </w:rPr>
            </w:pPr>
            <w:r w:rsidRPr="004402EC">
              <w:rPr>
                <w:rFonts w:cstheme="minorHAnsi"/>
                <w:sz w:val="20"/>
                <w:szCs w:val="20"/>
                <w:lang w:val="en-US"/>
              </w:rPr>
              <w:t>22. Standnes B. The prophylactic effect of timolol versus propranolol and placebo in common migraine: beta-blockers in migraine. Cephalalgia. 1982 Sep;2(3):165-70.</w:t>
            </w:r>
          </w:p>
        </w:tc>
        <w:tc>
          <w:tcPr>
            <w:tcW w:w="2784" w:type="dxa"/>
          </w:tcPr>
          <w:p w14:paraId="2EFFF84E" w14:textId="04D4C544" w:rsidR="004C628C" w:rsidRPr="004402EC" w:rsidRDefault="00927983" w:rsidP="004C628C">
            <w:pPr>
              <w:rPr>
                <w:rFonts w:cstheme="minorHAnsi"/>
                <w:sz w:val="20"/>
                <w:szCs w:val="20"/>
                <w:lang w:val="en-US"/>
              </w:rPr>
            </w:pPr>
            <w:r w:rsidRPr="004402EC">
              <w:rPr>
                <w:rFonts w:cstheme="minorHAnsi"/>
                <w:sz w:val="20"/>
                <w:szCs w:val="20"/>
                <w:lang w:val="en-US"/>
              </w:rPr>
              <w:t xml:space="preserve">Small </w:t>
            </w:r>
            <w:r w:rsidR="003174B4" w:rsidRPr="004402EC">
              <w:rPr>
                <w:rFonts w:cstheme="minorHAnsi"/>
                <w:sz w:val="20"/>
                <w:szCs w:val="20"/>
                <w:lang w:val="en-US"/>
              </w:rPr>
              <w:t xml:space="preserve">sample </w:t>
            </w:r>
            <w:r w:rsidR="004C628C" w:rsidRPr="004402EC">
              <w:rPr>
                <w:rFonts w:cstheme="minorHAnsi"/>
                <w:sz w:val="20"/>
                <w:szCs w:val="20"/>
                <w:lang w:val="en-US"/>
              </w:rPr>
              <w:t>size</w:t>
            </w:r>
            <w:r w:rsidR="003174B4" w:rsidRPr="004402EC">
              <w:rPr>
                <w:rFonts w:cstheme="minorHAnsi"/>
                <w:sz w:val="20"/>
                <w:szCs w:val="20"/>
                <w:lang w:val="en-US"/>
              </w:rPr>
              <w:t xml:space="preserve"> of episodic migraine</w:t>
            </w:r>
          </w:p>
        </w:tc>
      </w:tr>
      <w:tr w:rsidR="004C628C" w:rsidRPr="004402EC" w14:paraId="15602629" w14:textId="77777777" w:rsidTr="00E458C5">
        <w:tc>
          <w:tcPr>
            <w:tcW w:w="6232" w:type="dxa"/>
          </w:tcPr>
          <w:p w14:paraId="4B7CB569" w14:textId="1AAF36EE" w:rsidR="004C628C" w:rsidRPr="004402EC" w:rsidRDefault="004C628C" w:rsidP="004C628C">
            <w:pPr>
              <w:rPr>
                <w:rFonts w:cstheme="minorHAnsi"/>
                <w:sz w:val="20"/>
                <w:szCs w:val="20"/>
                <w:lang w:val="en-US"/>
              </w:rPr>
            </w:pPr>
            <w:r w:rsidRPr="004402EC">
              <w:rPr>
                <w:rFonts w:cstheme="minorHAnsi"/>
                <w:sz w:val="20"/>
                <w:szCs w:val="20"/>
                <w:lang w:val="en-US"/>
              </w:rPr>
              <w:t xml:space="preserve">23. Broessner G, Reuter U, Bonner JH, Dodick DW, Hallström Y, Picard H, Zhang F, Lenz RA, Klatt J, Mikol DD. The spectrum of response to </w:t>
            </w:r>
            <w:r w:rsidR="00972021">
              <w:rPr>
                <w:rFonts w:cstheme="minorHAnsi"/>
                <w:sz w:val="20"/>
                <w:szCs w:val="20"/>
                <w:lang w:val="en-US"/>
              </w:rPr>
              <w:t>E</w:t>
            </w:r>
            <w:r w:rsidRPr="004402EC">
              <w:rPr>
                <w:rFonts w:cstheme="minorHAnsi"/>
                <w:sz w:val="20"/>
                <w:szCs w:val="20"/>
                <w:lang w:val="en-US"/>
              </w:rPr>
              <w:t>renumab in patients with episodic migraine and subgroup analysis of patients achieving≥ 50%,≥ 75%, and 100% response. Headache: The Journal of Head and Face Pain. 2020 Oct;60(9):2026-40.</w:t>
            </w:r>
          </w:p>
        </w:tc>
        <w:tc>
          <w:tcPr>
            <w:tcW w:w="2784" w:type="dxa"/>
          </w:tcPr>
          <w:p w14:paraId="0A485E8E" w14:textId="277F793D" w:rsidR="004C628C" w:rsidRPr="004402EC" w:rsidRDefault="004C628C" w:rsidP="004C628C">
            <w:pPr>
              <w:rPr>
                <w:rFonts w:cstheme="minorHAnsi"/>
                <w:sz w:val="20"/>
                <w:szCs w:val="20"/>
                <w:lang w:val="en-US"/>
              </w:rPr>
            </w:pPr>
            <w:r w:rsidRPr="004402EC">
              <w:rPr>
                <w:rFonts w:cstheme="minorHAnsi"/>
                <w:sz w:val="20"/>
                <w:szCs w:val="20"/>
                <w:lang w:val="en-US"/>
              </w:rPr>
              <w:t>No report of Adverse Events</w:t>
            </w:r>
          </w:p>
        </w:tc>
      </w:tr>
      <w:tr w:rsidR="004C628C" w:rsidRPr="004402EC" w14:paraId="03AC1676" w14:textId="77777777" w:rsidTr="00E458C5">
        <w:tc>
          <w:tcPr>
            <w:tcW w:w="6232" w:type="dxa"/>
          </w:tcPr>
          <w:p w14:paraId="3B57AEB4" w14:textId="605AEDFA" w:rsidR="004C628C" w:rsidRPr="004402EC" w:rsidRDefault="004C628C" w:rsidP="004C628C">
            <w:pPr>
              <w:rPr>
                <w:rFonts w:cstheme="minorHAnsi"/>
                <w:sz w:val="20"/>
                <w:szCs w:val="20"/>
                <w:lang w:val="en-US"/>
              </w:rPr>
            </w:pPr>
            <w:r w:rsidRPr="004402EC">
              <w:rPr>
                <w:rFonts w:cstheme="minorHAnsi"/>
                <w:sz w:val="20"/>
                <w:szCs w:val="20"/>
                <w:lang w:val="en-US"/>
              </w:rPr>
              <w:t>24. Bruno MA, Krymchantowski AV. Amitriptyline and intraoral devices for migraine prevention: a randomized comparative trial. Arquivos de Neuro-Psiquiatria. 2018;76:213-8.</w:t>
            </w:r>
          </w:p>
        </w:tc>
        <w:tc>
          <w:tcPr>
            <w:tcW w:w="2784" w:type="dxa"/>
          </w:tcPr>
          <w:p w14:paraId="2DD5F1DA" w14:textId="1B688157" w:rsidR="004C628C" w:rsidRPr="004402EC" w:rsidRDefault="004C628C" w:rsidP="004C628C">
            <w:pPr>
              <w:rPr>
                <w:rFonts w:cstheme="minorHAnsi"/>
                <w:sz w:val="20"/>
                <w:szCs w:val="20"/>
                <w:lang w:val="en-US"/>
              </w:rPr>
            </w:pPr>
            <w:r w:rsidRPr="004402EC">
              <w:rPr>
                <w:rFonts w:cstheme="minorHAnsi"/>
                <w:sz w:val="20"/>
                <w:szCs w:val="20"/>
                <w:lang w:val="en-US"/>
              </w:rPr>
              <w:t>Small sample size of episodic migraine</w:t>
            </w:r>
          </w:p>
        </w:tc>
      </w:tr>
      <w:tr w:rsidR="004C628C" w:rsidRPr="004402EC" w14:paraId="5B96AED1" w14:textId="77777777" w:rsidTr="00E458C5">
        <w:tc>
          <w:tcPr>
            <w:tcW w:w="6232" w:type="dxa"/>
          </w:tcPr>
          <w:p w14:paraId="62A219BD" w14:textId="56792B64" w:rsidR="004C628C" w:rsidRPr="004402EC" w:rsidRDefault="004C628C" w:rsidP="004C628C">
            <w:pPr>
              <w:rPr>
                <w:rFonts w:cstheme="minorHAnsi"/>
                <w:sz w:val="20"/>
                <w:szCs w:val="20"/>
                <w:lang w:val="en-US"/>
              </w:rPr>
            </w:pPr>
            <w:r w:rsidRPr="004402EC">
              <w:rPr>
                <w:rFonts w:cstheme="minorHAnsi"/>
                <w:sz w:val="20"/>
                <w:szCs w:val="20"/>
                <w:lang w:val="en-US"/>
              </w:rPr>
              <w:t xml:space="preserve">25.  R. K. Cady, C. P. Schreiber, J. A. H. Porter, A. M. Blumenfeld, and K. U. Farmer, “A multi-center double-blind pilot comparison of </w:t>
            </w:r>
            <w:r w:rsidR="007D182A">
              <w:rPr>
                <w:rFonts w:cstheme="minorHAnsi"/>
                <w:sz w:val="20"/>
                <w:szCs w:val="20"/>
                <w:lang w:val="en-US"/>
              </w:rPr>
              <w:t>O</w:t>
            </w:r>
            <w:r w:rsidRPr="004402EC">
              <w:rPr>
                <w:rFonts w:cstheme="minorHAnsi"/>
                <w:sz w:val="20"/>
                <w:szCs w:val="20"/>
                <w:lang w:val="en-US"/>
              </w:rPr>
              <w:t>nabotulinumtoxinA and topiramate for the prophylactic treatment of chronic migraine,” </w:t>
            </w:r>
            <w:r w:rsidRPr="004402EC">
              <w:rPr>
                <w:rFonts w:cstheme="minorHAnsi"/>
                <w:i/>
                <w:iCs/>
                <w:sz w:val="20"/>
                <w:szCs w:val="20"/>
                <w:lang w:val="en-US"/>
              </w:rPr>
              <w:t>Headache: The Journal of Head and Face Pain</w:t>
            </w:r>
            <w:r w:rsidRPr="004402EC">
              <w:rPr>
                <w:rFonts w:cstheme="minorHAnsi"/>
                <w:sz w:val="20"/>
                <w:szCs w:val="20"/>
                <w:lang w:val="en-US"/>
              </w:rPr>
              <w:t>, vol. 51, no. 1, pp. 21–32, 2011.</w:t>
            </w:r>
          </w:p>
        </w:tc>
        <w:tc>
          <w:tcPr>
            <w:tcW w:w="2784" w:type="dxa"/>
          </w:tcPr>
          <w:p w14:paraId="7FC249D0" w14:textId="7E86BB81" w:rsidR="004C628C" w:rsidRPr="004402EC" w:rsidRDefault="00041766" w:rsidP="004C628C">
            <w:pPr>
              <w:rPr>
                <w:rFonts w:cstheme="minorHAnsi"/>
                <w:sz w:val="20"/>
                <w:szCs w:val="20"/>
                <w:lang w:val="en-US"/>
              </w:rPr>
            </w:pPr>
            <w:r w:rsidRPr="004402EC">
              <w:rPr>
                <w:rFonts w:cstheme="minorHAnsi"/>
                <w:sz w:val="20"/>
                <w:szCs w:val="20"/>
                <w:lang w:val="en-US"/>
              </w:rPr>
              <w:t>Pilot study, s</w:t>
            </w:r>
            <w:r w:rsidR="004C628C" w:rsidRPr="004402EC">
              <w:rPr>
                <w:rFonts w:cstheme="minorHAnsi"/>
                <w:sz w:val="20"/>
                <w:szCs w:val="20"/>
                <w:lang w:val="en-US"/>
              </w:rPr>
              <w:t>mall sample size</w:t>
            </w:r>
            <w:r w:rsidR="00927983" w:rsidRPr="004402EC">
              <w:rPr>
                <w:rFonts w:cstheme="minorHAnsi"/>
                <w:sz w:val="20"/>
                <w:szCs w:val="20"/>
                <w:lang w:val="en-US"/>
              </w:rPr>
              <w:t xml:space="preserve"> of chronic migraine</w:t>
            </w:r>
          </w:p>
        </w:tc>
      </w:tr>
      <w:tr w:rsidR="004C628C" w:rsidRPr="004402EC" w14:paraId="6723AD43" w14:textId="77777777" w:rsidTr="00E458C5">
        <w:tc>
          <w:tcPr>
            <w:tcW w:w="6232" w:type="dxa"/>
          </w:tcPr>
          <w:p w14:paraId="544A140C" w14:textId="095BE1A9" w:rsidR="004C628C" w:rsidRPr="004402EC" w:rsidRDefault="004C628C" w:rsidP="004C628C">
            <w:pPr>
              <w:rPr>
                <w:rFonts w:cstheme="minorHAnsi"/>
                <w:sz w:val="20"/>
                <w:szCs w:val="20"/>
                <w:lang w:val="en-US"/>
              </w:rPr>
            </w:pPr>
            <w:r w:rsidRPr="004402EC">
              <w:rPr>
                <w:rFonts w:cstheme="minorHAnsi"/>
                <w:sz w:val="20"/>
                <w:szCs w:val="20"/>
                <w:lang w:val="en-US"/>
              </w:rPr>
              <w:t>26.Cady RK, Voirin J, Farmer K, Browning R, Beach ME, Tarrasch J. Two center, randomized pilot study of migraine prophylaxis comparing paradigms using pre‐emptive frovatriptan or daily topiramate: research and clinical implications. Headache: The Journal of Head and Face Pain. 2012 May;52(5):749-64.</w:t>
            </w:r>
          </w:p>
        </w:tc>
        <w:tc>
          <w:tcPr>
            <w:tcW w:w="2784" w:type="dxa"/>
          </w:tcPr>
          <w:p w14:paraId="38EFEB53" w14:textId="24ECD4F5" w:rsidR="004C628C" w:rsidRPr="004402EC" w:rsidRDefault="004C628C" w:rsidP="004C628C">
            <w:pPr>
              <w:rPr>
                <w:rFonts w:cstheme="minorHAnsi"/>
                <w:sz w:val="20"/>
                <w:szCs w:val="20"/>
                <w:lang w:val="en-US"/>
              </w:rPr>
            </w:pPr>
            <w:r w:rsidRPr="004402EC">
              <w:rPr>
                <w:rFonts w:cstheme="minorHAnsi"/>
                <w:sz w:val="20"/>
                <w:szCs w:val="20"/>
                <w:lang w:val="en-US"/>
              </w:rPr>
              <w:t>Small sample size of episodic migraine</w:t>
            </w:r>
          </w:p>
        </w:tc>
      </w:tr>
      <w:tr w:rsidR="004C628C" w:rsidRPr="004402EC" w14:paraId="02E2D5D3" w14:textId="77777777" w:rsidTr="00E458C5">
        <w:tc>
          <w:tcPr>
            <w:tcW w:w="6232" w:type="dxa"/>
          </w:tcPr>
          <w:p w14:paraId="233DD41F" w14:textId="2CB27633" w:rsidR="004C628C" w:rsidRPr="004402EC" w:rsidRDefault="004C628C" w:rsidP="004C628C">
            <w:pPr>
              <w:rPr>
                <w:rFonts w:cstheme="minorHAnsi"/>
                <w:sz w:val="20"/>
                <w:szCs w:val="20"/>
                <w:lang w:val="en-US"/>
              </w:rPr>
            </w:pPr>
            <w:r w:rsidRPr="004402EC">
              <w:rPr>
                <w:rFonts w:cstheme="minorHAnsi"/>
                <w:sz w:val="20"/>
                <w:szCs w:val="20"/>
                <w:lang w:val="en-US"/>
              </w:rPr>
              <w:t>27.Cao K, Han F, Lin A, Yang W, Zhao J, Zhang H, Ding Y, Xie W, Xu Y, Yu T, Wang X. Zhengtian Capsule versus flunarizine in patients with migraine: a multi-center, double-blind, double-dummy, randomized controlled, non-inferior clinical trial. BMC complementary and alternative medicine. 2016 Dec;16(1):1-0.</w:t>
            </w:r>
          </w:p>
        </w:tc>
        <w:tc>
          <w:tcPr>
            <w:tcW w:w="2784" w:type="dxa"/>
          </w:tcPr>
          <w:p w14:paraId="15FF6C1A" w14:textId="71A07686" w:rsidR="004C628C" w:rsidRPr="004402EC" w:rsidRDefault="004C628C" w:rsidP="004C628C">
            <w:pPr>
              <w:rPr>
                <w:rFonts w:cstheme="minorHAnsi"/>
                <w:sz w:val="20"/>
                <w:szCs w:val="20"/>
                <w:lang w:val="en-US"/>
              </w:rPr>
            </w:pPr>
            <w:r w:rsidRPr="004402EC">
              <w:rPr>
                <w:rFonts w:cstheme="minorHAnsi"/>
                <w:sz w:val="20"/>
                <w:szCs w:val="20"/>
                <w:lang w:val="en-US"/>
              </w:rPr>
              <w:t xml:space="preserve">Herbal remedy </w:t>
            </w:r>
          </w:p>
        </w:tc>
      </w:tr>
      <w:tr w:rsidR="004C628C" w:rsidRPr="004402EC" w14:paraId="655C82CC" w14:textId="77777777" w:rsidTr="00E458C5">
        <w:tc>
          <w:tcPr>
            <w:tcW w:w="6232" w:type="dxa"/>
          </w:tcPr>
          <w:p w14:paraId="510B9DA5" w14:textId="5C97B52F" w:rsidR="004C628C" w:rsidRPr="004402EC" w:rsidRDefault="004C628C" w:rsidP="004C628C">
            <w:pPr>
              <w:rPr>
                <w:rFonts w:cstheme="minorHAnsi"/>
                <w:sz w:val="20"/>
                <w:szCs w:val="20"/>
                <w:lang w:val="en-US"/>
              </w:rPr>
            </w:pPr>
            <w:r w:rsidRPr="004402EC">
              <w:rPr>
                <w:rFonts w:cstheme="minorHAnsi"/>
                <w:sz w:val="20"/>
                <w:szCs w:val="20"/>
                <w:lang w:val="en-US"/>
              </w:rPr>
              <w:t xml:space="preserve">28. Chankrachang S, Arayawichanont A, Poungvarin N, Nidhinandana S, Boonkongchuen P, Towanabut S, Sithinamsuwan P, Kongsaengdao S. </w:t>
            </w:r>
            <w:r w:rsidRPr="004402EC">
              <w:rPr>
                <w:rFonts w:cstheme="minorHAnsi"/>
                <w:sz w:val="20"/>
                <w:szCs w:val="20"/>
                <w:lang w:val="en-US"/>
              </w:rPr>
              <w:lastRenderedPageBreak/>
              <w:t>Prophylactic botulinum type A toxin complex (Dysport®) for migraine without aura. Headache: The Journal of Head and Face Pain. 2011 Jan;51(1):52-63.</w:t>
            </w:r>
          </w:p>
        </w:tc>
        <w:tc>
          <w:tcPr>
            <w:tcW w:w="2784" w:type="dxa"/>
          </w:tcPr>
          <w:p w14:paraId="45ABA818" w14:textId="632246B5" w:rsidR="004C628C" w:rsidRPr="004402EC" w:rsidRDefault="004C628C" w:rsidP="004C628C">
            <w:pPr>
              <w:rPr>
                <w:rFonts w:cstheme="minorHAnsi"/>
                <w:sz w:val="20"/>
                <w:szCs w:val="20"/>
                <w:lang w:val="en-US"/>
              </w:rPr>
            </w:pPr>
            <w:r w:rsidRPr="004402EC">
              <w:rPr>
                <w:rFonts w:cstheme="minorHAnsi"/>
                <w:sz w:val="20"/>
                <w:szCs w:val="20"/>
                <w:lang w:val="en-US"/>
              </w:rPr>
              <w:lastRenderedPageBreak/>
              <w:t>Small sample size</w:t>
            </w:r>
            <w:r w:rsidR="008F16B8" w:rsidRPr="004402EC">
              <w:rPr>
                <w:rFonts w:cstheme="minorHAnsi"/>
                <w:sz w:val="20"/>
                <w:szCs w:val="20"/>
                <w:lang w:val="en-US"/>
              </w:rPr>
              <w:t xml:space="preserve"> of episodic migraine</w:t>
            </w:r>
          </w:p>
        </w:tc>
      </w:tr>
      <w:tr w:rsidR="004C628C" w:rsidRPr="004402EC" w14:paraId="561D2F19" w14:textId="77777777" w:rsidTr="00E458C5">
        <w:tc>
          <w:tcPr>
            <w:tcW w:w="6232" w:type="dxa"/>
          </w:tcPr>
          <w:p w14:paraId="3362CEB3" w14:textId="280AA520" w:rsidR="004C628C" w:rsidRPr="004402EC" w:rsidRDefault="004C628C" w:rsidP="004C628C">
            <w:pPr>
              <w:rPr>
                <w:rFonts w:cstheme="minorHAnsi"/>
                <w:sz w:val="20"/>
                <w:szCs w:val="20"/>
                <w:lang w:val="en-US"/>
              </w:rPr>
            </w:pPr>
            <w:r w:rsidRPr="004402EC">
              <w:rPr>
                <w:rFonts w:cstheme="minorHAnsi"/>
                <w:sz w:val="20"/>
                <w:szCs w:val="20"/>
                <w:lang w:val="en-US"/>
              </w:rPr>
              <w:lastRenderedPageBreak/>
              <w:t>29.Charles JA, Jotkowitz S, Byrd LH. Prevention of migraine with olmesartan in patients with hypertension/prehypertension. Headache: The Journal of Head and Face Pain. 2006 Mar;46(3):503-7.</w:t>
            </w:r>
          </w:p>
        </w:tc>
        <w:tc>
          <w:tcPr>
            <w:tcW w:w="2784" w:type="dxa"/>
          </w:tcPr>
          <w:p w14:paraId="70A07108" w14:textId="3B6D7C3D" w:rsidR="004C628C" w:rsidRPr="004402EC" w:rsidRDefault="004C628C" w:rsidP="004C628C">
            <w:pPr>
              <w:rPr>
                <w:rFonts w:cstheme="minorHAnsi"/>
                <w:sz w:val="20"/>
                <w:szCs w:val="20"/>
                <w:lang w:val="en-US"/>
              </w:rPr>
            </w:pPr>
            <w:r w:rsidRPr="004402EC">
              <w:rPr>
                <w:rFonts w:cstheme="minorHAnsi"/>
                <w:sz w:val="20"/>
                <w:szCs w:val="20"/>
                <w:lang w:val="en-US"/>
              </w:rPr>
              <w:t>Small sample size of different doses of the same drug, no placebo/control</w:t>
            </w:r>
          </w:p>
        </w:tc>
      </w:tr>
      <w:tr w:rsidR="004C628C" w:rsidRPr="004402EC" w14:paraId="0DDF8B2B" w14:textId="77777777" w:rsidTr="00E458C5">
        <w:tc>
          <w:tcPr>
            <w:tcW w:w="6232" w:type="dxa"/>
          </w:tcPr>
          <w:p w14:paraId="193E3E1F" w14:textId="0759BE55" w:rsidR="004C628C" w:rsidRPr="004402EC" w:rsidRDefault="004C628C" w:rsidP="004C628C">
            <w:pPr>
              <w:rPr>
                <w:rFonts w:cstheme="minorHAnsi"/>
                <w:sz w:val="20"/>
                <w:szCs w:val="20"/>
                <w:lang w:val="en-US"/>
              </w:rPr>
            </w:pPr>
            <w:r w:rsidRPr="004402EC">
              <w:rPr>
                <w:rFonts w:cstheme="minorHAnsi"/>
                <w:sz w:val="20"/>
                <w:szCs w:val="20"/>
                <w:lang w:val="en-US"/>
              </w:rPr>
              <w:t xml:space="preserve">30. Christensen CE, Younis S, Deen M, Khan S, Ghanizada H, Ashina M. Migraine induction with calcitonin gene-related peptide in patients from </w:t>
            </w:r>
            <w:r w:rsidR="007D182A">
              <w:rPr>
                <w:rFonts w:cstheme="minorHAnsi"/>
                <w:sz w:val="20"/>
                <w:szCs w:val="20"/>
                <w:lang w:val="en-US"/>
              </w:rPr>
              <w:t>E</w:t>
            </w:r>
            <w:r w:rsidRPr="004402EC">
              <w:rPr>
                <w:rFonts w:cstheme="minorHAnsi"/>
                <w:sz w:val="20"/>
                <w:szCs w:val="20"/>
                <w:lang w:val="en-US"/>
              </w:rPr>
              <w:t>renumab trials. The Journal of Headache and Pain. 2018 Dec;19(1):1-9.</w:t>
            </w:r>
          </w:p>
        </w:tc>
        <w:tc>
          <w:tcPr>
            <w:tcW w:w="2784" w:type="dxa"/>
          </w:tcPr>
          <w:p w14:paraId="03E1F0CD" w14:textId="2A141490" w:rsidR="004C628C" w:rsidRPr="004402EC" w:rsidRDefault="002A5751" w:rsidP="004C628C">
            <w:pPr>
              <w:rPr>
                <w:rFonts w:cstheme="minorHAnsi"/>
                <w:sz w:val="20"/>
                <w:szCs w:val="20"/>
                <w:lang w:val="en-US"/>
              </w:rPr>
            </w:pPr>
            <w:r>
              <w:rPr>
                <w:rFonts w:cstheme="minorHAnsi"/>
                <w:sz w:val="20"/>
                <w:szCs w:val="20"/>
                <w:lang w:val="en-US"/>
              </w:rPr>
              <w:t>Q</w:t>
            </w:r>
            <w:r w:rsidR="004C628C" w:rsidRPr="004402EC">
              <w:rPr>
                <w:rFonts w:cstheme="minorHAnsi"/>
                <w:sz w:val="20"/>
                <w:szCs w:val="20"/>
                <w:lang w:val="en-US"/>
              </w:rPr>
              <w:t>uestion not relevant, not a trial of migraine prevention</w:t>
            </w:r>
          </w:p>
        </w:tc>
      </w:tr>
      <w:tr w:rsidR="004C628C" w:rsidRPr="004402EC" w14:paraId="44953DED" w14:textId="77777777" w:rsidTr="003824D5">
        <w:tc>
          <w:tcPr>
            <w:tcW w:w="6232" w:type="dxa"/>
            <w:shd w:val="clear" w:color="auto" w:fill="auto"/>
          </w:tcPr>
          <w:p w14:paraId="57E3F1ED" w14:textId="329D7D08" w:rsidR="004C628C" w:rsidRPr="004402EC" w:rsidRDefault="004C628C" w:rsidP="004C628C">
            <w:pPr>
              <w:rPr>
                <w:rFonts w:cstheme="minorHAnsi"/>
                <w:sz w:val="20"/>
                <w:szCs w:val="20"/>
                <w:lang w:val="en-US"/>
              </w:rPr>
            </w:pPr>
            <w:r w:rsidRPr="004402EC">
              <w:rPr>
                <w:rFonts w:cstheme="minorHAnsi"/>
                <w:sz w:val="20"/>
                <w:szCs w:val="20"/>
                <w:lang w:val="en-US"/>
              </w:rPr>
              <w:t>31. Couch JR, Amitriptyline Versus Placebo Study Group. Amitriptyline in the prophylactic treatment of migraine and chronic daily headache. Headache: The Journal of Head and Face Pain. 2011 Jan;51(1):33-51.</w:t>
            </w:r>
          </w:p>
        </w:tc>
        <w:tc>
          <w:tcPr>
            <w:tcW w:w="2784" w:type="dxa"/>
            <w:shd w:val="clear" w:color="auto" w:fill="auto"/>
          </w:tcPr>
          <w:p w14:paraId="5EC4F26E" w14:textId="2C078B58" w:rsidR="004C628C" w:rsidRPr="004402EC" w:rsidRDefault="004C628C" w:rsidP="004C628C">
            <w:pPr>
              <w:rPr>
                <w:rFonts w:cstheme="minorHAnsi"/>
                <w:sz w:val="20"/>
                <w:szCs w:val="20"/>
                <w:lang w:val="en-US"/>
              </w:rPr>
            </w:pPr>
            <w:r w:rsidRPr="004402EC">
              <w:rPr>
                <w:rFonts w:cstheme="minorHAnsi"/>
                <w:sz w:val="20"/>
                <w:szCs w:val="20"/>
                <w:lang w:val="en-US"/>
              </w:rPr>
              <w:t>Small sample size</w:t>
            </w:r>
            <w:r w:rsidR="00F0457C" w:rsidRPr="004402EC">
              <w:rPr>
                <w:rFonts w:cstheme="minorHAnsi"/>
                <w:sz w:val="20"/>
                <w:szCs w:val="20"/>
                <w:lang w:val="en-US"/>
              </w:rPr>
              <w:t xml:space="preserve"> of episodic and chronic migraine</w:t>
            </w:r>
          </w:p>
        </w:tc>
      </w:tr>
      <w:tr w:rsidR="004C628C" w:rsidRPr="004402EC" w14:paraId="4EBC0921" w14:textId="77777777" w:rsidTr="003824D5">
        <w:tc>
          <w:tcPr>
            <w:tcW w:w="6232" w:type="dxa"/>
            <w:shd w:val="clear" w:color="auto" w:fill="auto"/>
          </w:tcPr>
          <w:p w14:paraId="2672CD89" w14:textId="4AB7A287" w:rsidR="004C628C" w:rsidRPr="004402EC" w:rsidRDefault="00C036BC" w:rsidP="004C628C">
            <w:pPr>
              <w:rPr>
                <w:rFonts w:cstheme="minorHAnsi"/>
                <w:sz w:val="20"/>
                <w:szCs w:val="20"/>
                <w:lang w:val="en-US"/>
              </w:rPr>
            </w:pPr>
            <w:r w:rsidRPr="004402EC">
              <w:rPr>
                <w:rFonts w:cstheme="minorHAnsi"/>
                <w:sz w:val="20"/>
                <w:szCs w:val="20"/>
                <w:lang w:val="en-US"/>
              </w:rPr>
              <w:t xml:space="preserve">. </w:t>
            </w:r>
            <w:r w:rsidR="004C628C" w:rsidRPr="004402EC">
              <w:rPr>
                <w:rFonts w:cstheme="minorHAnsi"/>
                <w:sz w:val="20"/>
                <w:szCs w:val="20"/>
                <w:lang w:val="en-US"/>
              </w:rPr>
              <w:t>32. Yang CP, Chang MH, Liu PE, Li TC, Hsieh CL, Hwang KL, Chang HH. Acupuncture versus topiramate in chronic migraine prophylaxis: a randomized clinical trial. Cephalalgia. 2011 Nov;31(15):1510-21.</w:t>
            </w:r>
          </w:p>
        </w:tc>
        <w:tc>
          <w:tcPr>
            <w:tcW w:w="2784" w:type="dxa"/>
            <w:shd w:val="clear" w:color="auto" w:fill="auto"/>
          </w:tcPr>
          <w:p w14:paraId="1D43D7D7" w14:textId="3A390385" w:rsidR="004C628C" w:rsidRPr="004402EC" w:rsidRDefault="004C628C" w:rsidP="004C628C">
            <w:pPr>
              <w:rPr>
                <w:rFonts w:cstheme="minorHAnsi"/>
                <w:sz w:val="20"/>
                <w:szCs w:val="20"/>
                <w:lang w:val="en-US"/>
              </w:rPr>
            </w:pPr>
            <w:r w:rsidRPr="004402EC">
              <w:rPr>
                <w:rFonts w:cstheme="minorHAnsi"/>
                <w:sz w:val="20"/>
                <w:szCs w:val="20"/>
                <w:lang w:val="en-US"/>
              </w:rPr>
              <w:t>Small sample size</w:t>
            </w:r>
            <w:r w:rsidR="00927983" w:rsidRPr="004402EC">
              <w:rPr>
                <w:rFonts w:cstheme="minorHAnsi"/>
                <w:sz w:val="20"/>
                <w:szCs w:val="20"/>
                <w:lang w:val="en-US"/>
              </w:rPr>
              <w:t xml:space="preserve"> of chronic migraine</w:t>
            </w:r>
            <w:r w:rsidR="00041766" w:rsidRPr="004402EC">
              <w:rPr>
                <w:rFonts w:cstheme="minorHAnsi"/>
                <w:sz w:val="20"/>
                <w:szCs w:val="20"/>
                <w:lang w:val="en-US"/>
              </w:rPr>
              <w:t>, and compared with Chinese traditional medicines</w:t>
            </w:r>
          </w:p>
        </w:tc>
      </w:tr>
      <w:tr w:rsidR="004C628C" w:rsidRPr="004402EC" w14:paraId="07E7A68C" w14:textId="77777777" w:rsidTr="00E458C5">
        <w:tc>
          <w:tcPr>
            <w:tcW w:w="6232" w:type="dxa"/>
          </w:tcPr>
          <w:p w14:paraId="3D0EAA73" w14:textId="064C8461" w:rsidR="004C628C" w:rsidRPr="004402EC" w:rsidRDefault="004C628C" w:rsidP="004C628C">
            <w:pPr>
              <w:rPr>
                <w:rFonts w:cstheme="minorHAnsi"/>
                <w:sz w:val="20"/>
                <w:szCs w:val="20"/>
                <w:lang w:val="en-US"/>
              </w:rPr>
            </w:pPr>
            <w:r w:rsidRPr="004402EC">
              <w:rPr>
                <w:rFonts w:cstheme="minorHAnsi"/>
                <w:sz w:val="20"/>
                <w:szCs w:val="20"/>
                <w:lang w:val="en-US"/>
              </w:rPr>
              <w:t>33.d'Amato CC, Pizza V, Marmolo T, Giordano E, Alfano V, Nasta A. Fluoxetine for migraine prophylaxis: a double‐blind trial. Headache: The Journal of Head and Face Pain. 1999 Nov;39(10):716-9.</w:t>
            </w:r>
          </w:p>
        </w:tc>
        <w:tc>
          <w:tcPr>
            <w:tcW w:w="2784" w:type="dxa"/>
          </w:tcPr>
          <w:p w14:paraId="76ADE2ED" w14:textId="34B298A0" w:rsidR="004C628C" w:rsidRPr="004402EC" w:rsidRDefault="004C628C" w:rsidP="004C628C">
            <w:pPr>
              <w:rPr>
                <w:rFonts w:cstheme="minorHAnsi"/>
                <w:sz w:val="20"/>
                <w:szCs w:val="20"/>
                <w:lang w:val="en-US"/>
              </w:rPr>
            </w:pPr>
            <w:r w:rsidRPr="004402EC">
              <w:rPr>
                <w:rFonts w:cstheme="minorHAnsi"/>
                <w:sz w:val="20"/>
                <w:szCs w:val="20"/>
                <w:lang w:val="en-US"/>
              </w:rPr>
              <w:t>Small sample size</w:t>
            </w:r>
            <w:r w:rsidR="00927983" w:rsidRPr="004402EC">
              <w:rPr>
                <w:rFonts w:cstheme="minorHAnsi"/>
                <w:sz w:val="20"/>
                <w:szCs w:val="20"/>
                <w:lang w:val="en-US"/>
              </w:rPr>
              <w:t xml:space="preserve"> of migraine</w:t>
            </w:r>
          </w:p>
        </w:tc>
      </w:tr>
      <w:tr w:rsidR="004C628C" w:rsidRPr="004402EC" w14:paraId="0EF1A55F" w14:textId="77777777" w:rsidTr="00E458C5">
        <w:tc>
          <w:tcPr>
            <w:tcW w:w="6232" w:type="dxa"/>
          </w:tcPr>
          <w:p w14:paraId="5FE75B4C" w14:textId="00EB52CD" w:rsidR="004C628C" w:rsidRPr="004402EC" w:rsidRDefault="004C628C" w:rsidP="004C628C">
            <w:pPr>
              <w:rPr>
                <w:rFonts w:cstheme="minorHAnsi"/>
                <w:sz w:val="20"/>
                <w:szCs w:val="20"/>
                <w:lang w:val="en-US"/>
              </w:rPr>
            </w:pPr>
            <w:r w:rsidRPr="004402EC">
              <w:rPr>
                <w:rFonts w:cstheme="minorHAnsi"/>
                <w:sz w:val="20"/>
                <w:szCs w:val="20"/>
                <w:lang w:val="en-US"/>
              </w:rPr>
              <w:t xml:space="preserve">34.Buse DC, Lipton RB, Hallström Y, Reuter U, Tepper SJ, Zhang F, Sapra S, Picard H, Mikol DD, Lenz RA. Migraine-related disability, impact, and health-related quality of life among patients with episodic migraine receiving preventive treatment with </w:t>
            </w:r>
            <w:r w:rsidR="007D182A">
              <w:rPr>
                <w:rFonts w:cstheme="minorHAnsi"/>
                <w:sz w:val="20"/>
                <w:szCs w:val="20"/>
                <w:lang w:val="en-US"/>
              </w:rPr>
              <w:t>E</w:t>
            </w:r>
            <w:r w:rsidRPr="004402EC">
              <w:rPr>
                <w:rFonts w:cstheme="minorHAnsi"/>
                <w:sz w:val="20"/>
                <w:szCs w:val="20"/>
                <w:lang w:val="en-US"/>
              </w:rPr>
              <w:t>renumab. Cephalalgia. 2018 Sep;38(10):1622-31.</w:t>
            </w:r>
          </w:p>
        </w:tc>
        <w:tc>
          <w:tcPr>
            <w:tcW w:w="2784" w:type="dxa"/>
          </w:tcPr>
          <w:p w14:paraId="49A6615A" w14:textId="4C31E78F" w:rsidR="004C628C" w:rsidRPr="004402EC" w:rsidRDefault="004C628C" w:rsidP="004C628C">
            <w:pPr>
              <w:rPr>
                <w:rFonts w:cstheme="minorHAnsi"/>
                <w:sz w:val="20"/>
                <w:szCs w:val="20"/>
                <w:lang w:val="en-US"/>
              </w:rPr>
            </w:pPr>
            <w:r w:rsidRPr="004402EC">
              <w:rPr>
                <w:rFonts w:cstheme="minorHAnsi"/>
                <w:sz w:val="20"/>
                <w:szCs w:val="20"/>
                <w:lang w:val="en-US"/>
              </w:rPr>
              <w:t>No report of Adverse Events</w:t>
            </w:r>
          </w:p>
        </w:tc>
      </w:tr>
      <w:tr w:rsidR="004C628C" w:rsidRPr="004402EC" w14:paraId="7A8A5AA4" w14:textId="77777777" w:rsidTr="00E458C5">
        <w:tc>
          <w:tcPr>
            <w:tcW w:w="6232" w:type="dxa"/>
          </w:tcPr>
          <w:p w14:paraId="7305B588" w14:textId="318D272D" w:rsidR="004C628C" w:rsidRPr="004402EC" w:rsidRDefault="004C628C" w:rsidP="004C628C">
            <w:pPr>
              <w:rPr>
                <w:rFonts w:cstheme="minorHAnsi"/>
                <w:sz w:val="20"/>
                <w:szCs w:val="20"/>
                <w:lang w:val="en-US"/>
              </w:rPr>
            </w:pPr>
            <w:r w:rsidRPr="004402EC">
              <w:rPr>
                <w:rFonts w:cstheme="minorHAnsi"/>
                <w:sz w:val="20"/>
                <w:szCs w:val="20"/>
                <w:lang w:val="en-US"/>
              </w:rPr>
              <w:t>35. Diener HC, Krupp P, Schmitt T, Steitz G, Milde K, Freytag S, Study Group. Cyclandelate in the prophylaxis of migraine: a placebo-controlled study. Cephalalgia. 2001 Feb;21(1):66-70.</w:t>
            </w:r>
          </w:p>
        </w:tc>
        <w:tc>
          <w:tcPr>
            <w:tcW w:w="2784" w:type="dxa"/>
          </w:tcPr>
          <w:p w14:paraId="3D121A5E" w14:textId="0F24B51A" w:rsidR="004C628C" w:rsidRPr="004402EC" w:rsidRDefault="004C628C" w:rsidP="004C628C">
            <w:pPr>
              <w:rPr>
                <w:rFonts w:cstheme="minorHAnsi"/>
                <w:sz w:val="20"/>
                <w:szCs w:val="20"/>
                <w:lang w:val="en-US"/>
              </w:rPr>
            </w:pPr>
            <w:r w:rsidRPr="004402EC">
              <w:rPr>
                <w:rFonts w:cstheme="minorHAnsi"/>
                <w:sz w:val="20"/>
                <w:szCs w:val="20"/>
                <w:lang w:val="en-US"/>
              </w:rPr>
              <w:t>No report of Adverse Events</w:t>
            </w:r>
          </w:p>
        </w:tc>
      </w:tr>
      <w:tr w:rsidR="004C628C" w:rsidRPr="004402EC" w14:paraId="0F3EDB66" w14:textId="77777777" w:rsidTr="00E458C5">
        <w:tc>
          <w:tcPr>
            <w:tcW w:w="6232" w:type="dxa"/>
          </w:tcPr>
          <w:p w14:paraId="33BF19AC" w14:textId="0E44726D" w:rsidR="004C628C" w:rsidRPr="004402EC" w:rsidRDefault="004C628C" w:rsidP="004C628C">
            <w:pPr>
              <w:rPr>
                <w:rFonts w:cstheme="minorHAnsi"/>
                <w:sz w:val="20"/>
                <w:szCs w:val="20"/>
                <w:lang w:val="en-US"/>
              </w:rPr>
            </w:pPr>
            <w:r w:rsidRPr="004402EC">
              <w:rPr>
                <w:rFonts w:cstheme="minorHAnsi"/>
                <w:sz w:val="20"/>
                <w:szCs w:val="20"/>
                <w:lang w:val="en-US"/>
              </w:rPr>
              <w:t>36. Diener HC, F” h M, Laccarino C, Wessely P, Isler H, Stienge H, Fischer M, Wedekind W, Taneri Z. Cyclandelate in the prophylaxis of migraine: a randomized, parallel, double-blind study in comparison with placebo and propranolol. Cephalalgia. 1996 Oct;16(6):441-7.</w:t>
            </w:r>
          </w:p>
        </w:tc>
        <w:tc>
          <w:tcPr>
            <w:tcW w:w="2784" w:type="dxa"/>
          </w:tcPr>
          <w:p w14:paraId="4548A716" w14:textId="69A429FE" w:rsidR="004C628C" w:rsidRPr="004402EC" w:rsidRDefault="004C628C" w:rsidP="004C628C">
            <w:pPr>
              <w:rPr>
                <w:rFonts w:cstheme="minorHAnsi"/>
                <w:sz w:val="20"/>
                <w:szCs w:val="20"/>
                <w:lang w:val="en-US"/>
              </w:rPr>
            </w:pPr>
            <w:r w:rsidRPr="004402EC">
              <w:rPr>
                <w:rFonts w:cstheme="minorHAnsi"/>
                <w:sz w:val="20"/>
                <w:szCs w:val="20"/>
                <w:lang w:val="en-US"/>
              </w:rPr>
              <w:t>Small sample size</w:t>
            </w:r>
            <w:r w:rsidR="003174B4" w:rsidRPr="004402EC">
              <w:rPr>
                <w:rFonts w:cstheme="minorHAnsi"/>
                <w:sz w:val="20"/>
                <w:szCs w:val="20"/>
                <w:lang w:val="en-US"/>
              </w:rPr>
              <w:t xml:space="preserve"> of episodic or chronic migraine</w:t>
            </w:r>
          </w:p>
        </w:tc>
      </w:tr>
      <w:tr w:rsidR="004C628C" w:rsidRPr="004402EC" w14:paraId="5E8563C9" w14:textId="77777777" w:rsidTr="00E458C5">
        <w:tc>
          <w:tcPr>
            <w:tcW w:w="6232" w:type="dxa"/>
          </w:tcPr>
          <w:p w14:paraId="2224E481" w14:textId="0EE7A56C" w:rsidR="004C628C" w:rsidRPr="004402EC" w:rsidRDefault="004C628C" w:rsidP="004C628C">
            <w:pPr>
              <w:rPr>
                <w:rFonts w:cstheme="minorHAnsi"/>
                <w:sz w:val="20"/>
                <w:szCs w:val="20"/>
                <w:lang w:val="en-US"/>
              </w:rPr>
            </w:pPr>
            <w:r w:rsidRPr="004402EC">
              <w:rPr>
                <w:rFonts w:cstheme="minorHAnsi"/>
                <w:sz w:val="20"/>
                <w:szCs w:val="20"/>
                <w:lang w:val="en-US"/>
              </w:rPr>
              <w:t>37.Diener HC, Hartung E, Chrubasik JO, Evers S, Schoenen J, Eikermann A, Latta G, Hauke W, Study Group. A comparative study of oral acetylsalicyclic acid and metoprolol for the prophylactic treatment of migraine. A randomized, controlled, double-blind, parallel group phase III study. Cephalalgia. 2001 Mar;21(2):120-8.</w:t>
            </w:r>
          </w:p>
        </w:tc>
        <w:tc>
          <w:tcPr>
            <w:tcW w:w="2784" w:type="dxa"/>
          </w:tcPr>
          <w:p w14:paraId="7C5EDE5C" w14:textId="67C1CF83" w:rsidR="004C628C" w:rsidRPr="004402EC" w:rsidRDefault="004C628C" w:rsidP="004C628C">
            <w:pPr>
              <w:rPr>
                <w:rFonts w:cstheme="minorHAnsi"/>
                <w:sz w:val="20"/>
                <w:szCs w:val="20"/>
                <w:lang w:val="en-US"/>
              </w:rPr>
            </w:pPr>
            <w:r w:rsidRPr="004402EC">
              <w:rPr>
                <w:rFonts w:cstheme="minorHAnsi"/>
                <w:sz w:val="20"/>
                <w:szCs w:val="20"/>
                <w:lang w:val="en-US"/>
              </w:rPr>
              <w:t>No report of Adverse Events</w:t>
            </w:r>
          </w:p>
        </w:tc>
      </w:tr>
      <w:tr w:rsidR="004C628C" w:rsidRPr="004402EC" w14:paraId="33215848" w14:textId="77777777" w:rsidTr="00E458C5">
        <w:tc>
          <w:tcPr>
            <w:tcW w:w="6232" w:type="dxa"/>
          </w:tcPr>
          <w:p w14:paraId="540A5394" w14:textId="1142C609" w:rsidR="004C628C" w:rsidRPr="004402EC" w:rsidRDefault="004C628C" w:rsidP="004C628C">
            <w:pPr>
              <w:rPr>
                <w:rFonts w:cstheme="minorHAnsi"/>
                <w:sz w:val="20"/>
                <w:szCs w:val="20"/>
                <w:lang w:val="en-US"/>
              </w:rPr>
            </w:pPr>
            <w:r w:rsidRPr="004402EC">
              <w:rPr>
                <w:rFonts w:cstheme="minorHAnsi"/>
                <w:sz w:val="20"/>
                <w:szCs w:val="20"/>
                <w:lang w:val="en-US"/>
              </w:rPr>
              <w:t>38. Diener HC, Bussone G, Oene JV, Lahaye M, Schwalen S, Goadsby PJ. Topiramate reduces headache days in chronic migraine: a randomized, double-blind, placebo-controlled study. Cephalalgia. 2007 Jul;27(7):814-23.</w:t>
            </w:r>
          </w:p>
        </w:tc>
        <w:tc>
          <w:tcPr>
            <w:tcW w:w="2784" w:type="dxa"/>
          </w:tcPr>
          <w:p w14:paraId="2B35343A" w14:textId="46A7BDCF" w:rsidR="004C628C" w:rsidRPr="004402EC" w:rsidRDefault="004C628C" w:rsidP="004C628C">
            <w:pPr>
              <w:rPr>
                <w:rFonts w:cstheme="minorHAnsi"/>
                <w:sz w:val="20"/>
                <w:szCs w:val="20"/>
                <w:lang w:val="en-US"/>
              </w:rPr>
            </w:pPr>
            <w:r w:rsidRPr="004402EC">
              <w:rPr>
                <w:rFonts w:cstheme="minorHAnsi"/>
                <w:sz w:val="20"/>
                <w:szCs w:val="20"/>
                <w:lang w:val="en-US"/>
              </w:rPr>
              <w:t>Small sample size</w:t>
            </w:r>
            <w:r w:rsidR="00927983" w:rsidRPr="004402EC">
              <w:rPr>
                <w:rFonts w:cstheme="minorHAnsi"/>
                <w:sz w:val="20"/>
                <w:szCs w:val="20"/>
                <w:lang w:val="en-US"/>
              </w:rPr>
              <w:t xml:space="preserve"> of chronic migraine</w:t>
            </w:r>
          </w:p>
        </w:tc>
      </w:tr>
      <w:tr w:rsidR="004C628C" w:rsidRPr="004402EC" w14:paraId="637DD0F7" w14:textId="77777777" w:rsidTr="00E458C5">
        <w:tc>
          <w:tcPr>
            <w:tcW w:w="6232" w:type="dxa"/>
          </w:tcPr>
          <w:p w14:paraId="667ED0EA" w14:textId="18AD02CD" w:rsidR="004C628C" w:rsidRPr="004402EC" w:rsidRDefault="004C628C" w:rsidP="004C628C">
            <w:pPr>
              <w:rPr>
                <w:rFonts w:cstheme="minorHAnsi"/>
                <w:sz w:val="20"/>
                <w:szCs w:val="20"/>
                <w:lang w:val="en-US"/>
              </w:rPr>
            </w:pPr>
            <w:r w:rsidRPr="004402EC">
              <w:rPr>
                <w:rFonts w:cstheme="minorHAnsi"/>
                <w:sz w:val="20"/>
                <w:szCs w:val="20"/>
                <w:lang w:val="en-US"/>
              </w:rPr>
              <w:t>39. Dodick DW, Mauskop A, Elkind AH, DeGryse R, Brin MF, Silberstein SD, Botox CDH Study Group. Botulinum toxin type A for the prophylaxis of chronic daily headache: Subgroup analysis of patients not receiving other prophylactic medications: A randomized double‐blind, placebo‐controlled study. Headache: The Journal of Head and Face Pain. 2005 Apr;45(4):315-24.</w:t>
            </w:r>
          </w:p>
        </w:tc>
        <w:tc>
          <w:tcPr>
            <w:tcW w:w="2784" w:type="dxa"/>
          </w:tcPr>
          <w:p w14:paraId="2A21887C" w14:textId="33EFF50E" w:rsidR="004C628C" w:rsidRPr="004402EC" w:rsidRDefault="00927983" w:rsidP="004C628C">
            <w:pPr>
              <w:rPr>
                <w:rFonts w:cstheme="minorHAnsi"/>
                <w:sz w:val="20"/>
                <w:szCs w:val="20"/>
                <w:lang w:val="en-US"/>
              </w:rPr>
            </w:pPr>
            <w:r w:rsidRPr="004402EC">
              <w:rPr>
                <w:rFonts w:cstheme="minorHAnsi"/>
                <w:sz w:val="20"/>
                <w:szCs w:val="20"/>
                <w:lang w:val="en-US"/>
              </w:rPr>
              <w:t>Chronic daily headache</w:t>
            </w:r>
          </w:p>
        </w:tc>
      </w:tr>
      <w:tr w:rsidR="004C628C" w:rsidRPr="004402EC" w14:paraId="18F2C755" w14:textId="77777777" w:rsidTr="00E458C5">
        <w:tc>
          <w:tcPr>
            <w:tcW w:w="6232" w:type="dxa"/>
          </w:tcPr>
          <w:p w14:paraId="5410062A" w14:textId="089BF9BD" w:rsidR="004C628C" w:rsidRPr="004402EC" w:rsidRDefault="004C628C" w:rsidP="004C628C">
            <w:pPr>
              <w:rPr>
                <w:rFonts w:cstheme="minorHAnsi"/>
                <w:sz w:val="20"/>
                <w:szCs w:val="20"/>
                <w:lang w:val="en-US"/>
              </w:rPr>
            </w:pPr>
            <w:r w:rsidRPr="004402EC">
              <w:rPr>
                <w:rFonts w:cstheme="minorHAnsi"/>
                <w:sz w:val="20"/>
                <w:szCs w:val="20"/>
                <w:lang w:val="en-US"/>
              </w:rPr>
              <w:t>40. Domingues RB, Silva AL, Domingues SA, Aquino CC, Kuster GW. A double-blind randomized controlled trial of low doses of propranolol, nortriptyline, and the combination of propranolol and nortriptyline for the preventive treatment of migraine. Arquivos de neuro-psiquiatria. 2009;67:973-7.</w:t>
            </w:r>
          </w:p>
        </w:tc>
        <w:tc>
          <w:tcPr>
            <w:tcW w:w="2784" w:type="dxa"/>
          </w:tcPr>
          <w:p w14:paraId="05C95C9E" w14:textId="61748195" w:rsidR="004C628C" w:rsidRPr="004402EC" w:rsidRDefault="004C628C" w:rsidP="004C628C">
            <w:pPr>
              <w:rPr>
                <w:rFonts w:cstheme="minorHAnsi"/>
                <w:sz w:val="20"/>
                <w:szCs w:val="20"/>
                <w:lang w:val="en-US"/>
              </w:rPr>
            </w:pPr>
            <w:r w:rsidRPr="004402EC">
              <w:rPr>
                <w:rFonts w:cstheme="minorHAnsi"/>
                <w:sz w:val="20"/>
                <w:szCs w:val="20"/>
                <w:lang w:val="en-US"/>
              </w:rPr>
              <w:t>Small sample size</w:t>
            </w:r>
            <w:r w:rsidR="003174B4" w:rsidRPr="004402EC">
              <w:rPr>
                <w:rFonts w:cstheme="minorHAnsi"/>
                <w:sz w:val="20"/>
                <w:szCs w:val="20"/>
                <w:lang w:val="en-US"/>
              </w:rPr>
              <w:t xml:space="preserve"> of episodic or chronic migraine</w:t>
            </w:r>
          </w:p>
        </w:tc>
      </w:tr>
      <w:tr w:rsidR="004C628C" w:rsidRPr="004402EC" w14:paraId="7748C960" w14:textId="77777777" w:rsidTr="00E458C5">
        <w:tc>
          <w:tcPr>
            <w:tcW w:w="6232" w:type="dxa"/>
          </w:tcPr>
          <w:p w14:paraId="6B8B0CF8" w14:textId="42BDE1A4" w:rsidR="004C628C" w:rsidRPr="004402EC" w:rsidRDefault="004C628C" w:rsidP="004C628C">
            <w:pPr>
              <w:rPr>
                <w:rFonts w:cstheme="minorHAnsi"/>
                <w:sz w:val="20"/>
                <w:szCs w:val="20"/>
                <w:lang w:val="en-US"/>
              </w:rPr>
            </w:pPr>
            <w:r w:rsidRPr="004402EC">
              <w:rPr>
                <w:rFonts w:cstheme="minorHAnsi"/>
                <w:sz w:val="20"/>
                <w:szCs w:val="20"/>
                <w:lang w:val="en-US"/>
              </w:rPr>
              <w:t xml:space="preserve">41. </w:t>
            </w:r>
            <w:bookmarkStart w:id="3" w:name="_Hlk132200345"/>
            <w:r w:rsidRPr="004402EC">
              <w:rPr>
                <w:rFonts w:cstheme="minorHAnsi"/>
                <w:sz w:val="20"/>
                <w:szCs w:val="20"/>
                <w:lang w:val="en-US"/>
              </w:rPr>
              <w:t>Magalhães E, Menezes C, Cardeal M, Melo A. Botulinum toxin type A versus amitriptyline for the treatment of chronic daily migraine. Clinical neurology and neurosurgery. 2010 Jul 1;112(6):463-6.</w:t>
            </w:r>
            <w:bookmarkEnd w:id="3"/>
          </w:p>
        </w:tc>
        <w:tc>
          <w:tcPr>
            <w:tcW w:w="2784" w:type="dxa"/>
          </w:tcPr>
          <w:p w14:paraId="507D7044" w14:textId="1E78B51D" w:rsidR="004C628C" w:rsidRPr="004402EC" w:rsidRDefault="004C628C" w:rsidP="004C628C">
            <w:pPr>
              <w:rPr>
                <w:rFonts w:cstheme="minorHAnsi"/>
                <w:sz w:val="20"/>
                <w:szCs w:val="20"/>
                <w:lang w:val="en-US"/>
              </w:rPr>
            </w:pPr>
            <w:r w:rsidRPr="004402EC">
              <w:rPr>
                <w:rFonts w:cstheme="minorHAnsi"/>
                <w:sz w:val="20"/>
                <w:szCs w:val="20"/>
                <w:lang w:val="en-US"/>
              </w:rPr>
              <w:t>Small sample size</w:t>
            </w:r>
            <w:r w:rsidR="00F0457C" w:rsidRPr="004402EC">
              <w:rPr>
                <w:rFonts w:cstheme="minorHAnsi"/>
                <w:sz w:val="20"/>
                <w:szCs w:val="20"/>
                <w:lang w:val="en-US"/>
              </w:rPr>
              <w:t xml:space="preserve"> of chronic migraine</w:t>
            </w:r>
            <w:r w:rsidR="00706E9B" w:rsidRPr="004402EC">
              <w:rPr>
                <w:rFonts w:cstheme="minorHAnsi"/>
                <w:sz w:val="20"/>
                <w:szCs w:val="20"/>
                <w:lang w:val="en-US"/>
              </w:rPr>
              <w:t>, and no outcomes of interest</w:t>
            </w:r>
          </w:p>
        </w:tc>
      </w:tr>
      <w:tr w:rsidR="00F0457C" w:rsidRPr="004402EC" w14:paraId="49407B2A" w14:textId="77777777" w:rsidTr="00E458C5">
        <w:tc>
          <w:tcPr>
            <w:tcW w:w="6232" w:type="dxa"/>
          </w:tcPr>
          <w:p w14:paraId="4DEC8076" w14:textId="0AFD515C" w:rsidR="00F0457C" w:rsidRPr="004402EC" w:rsidRDefault="008F16B8" w:rsidP="00F0457C">
            <w:pPr>
              <w:rPr>
                <w:rFonts w:cstheme="minorHAnsi"/>
                <w:sz w:val="20"/>
                <w:szCs w:val="20"/>
                <w:lang w:val="en-US"/>
              </w:rPr>
            </w:pPr>
            <w:r w:rsidRPr="004402EC">
              <w:rPr>
                <w:rFonts w:cstheme="minorHAnsi"/>
                <w:sz w:val="20"/>
                <w:szCs w:val="20"/>
                <w:lang w:val="en-US"/>
              </w:rPr>
              <w:t>42</w:t>
            </w:r>
            <w:r w:rsidR="00F0457C" w:rsidRPr="004402EC">
              <w:rPr>
                <w:rFonts w:cstheme="minorHAnsi"/>
                <w:sz w:val="20"/>
                <w:szCs w:val="20"/>
                <w:lang w:val="en-US"/>
              </w:rPr>
              <w:t xml:space="preserve">. Lipton RB, Pozo-Rosich P, Blumenfeld AM, Dodick DW, McAllister P, Li Y, Lu K, Dabruzzo B, Miceli R, Severt L, Finnegan M. Rates of response to </w:t>
            </w:r>
            <w:r w:rsidR="007D182A">
              <w:rPr>
                <w:rFonts w:cstheme="minorHAnsi"/>
                <w:sz w:val="20"/>
                <w:szCs w:val="20"/>
                <w:lang w:val="en-US"/>
              </w:rPr>
              <w:t>A</w:t>
            </w:r>
            <w:r w:rsidR="00F0457C" w:rsidRPr="004402EC">
              <w:rPr>
                <w:rFonts w:cstheme="minorHAnsi"/>
                <w:sz w:val="20"/>
                <w:szCs w:val="20"/>
                <w:lang w:val="en-US"/>
              </w:rPr>
              <w:t xml:space="preserve">togepant for migraine prophylaxis among adults: a secondary analysis of </w:t>
            </w:r>
            <w:r w:rsidR="00F0457C" w:rsidRPr="004402EC">
              <w:rPr>
                <w:rFonts w:cstheme="minorHAnsi"/>
                <w:sz w:val="20"/>
                <w:szCs w:val="20"/>
                <w:lang w:val="en-US"/>
              </w:rPr>
              <w:lastRenderedPageBreak/>
              <w:t>a randomized clinical trial. JAMA Network Open. 2022 Jun 1;5(6):e2215499-.</w:t>
            </w:r>
          </w:p>
        </w:tc>
        <w:tc>
          <w:tcPr>
            <w:tcW w:w="2784" w:type="dxa"/>
          </w:tcPr>
          <w:p w14:paraId="05091A3E" w14:textId="1DF93CC5" w:rsidR="00F0457C" w:rsidRPr="004402EC" w:rsidRDefault="00F0457C" w:rsidP="00F0457C">
            <w:pPr>
              <w:rPr>
                <w:rFonts w:cstheme="minorHAnsi"/>
                <w:sz w:val="20"/>
                <w:szCs w:val="20"/>
                <w:lang w:val="en-US"/>
              </w:rPr>
            </w:pPr>
            <w:r w:rsidRPr="004402EC">
              <w:rPr>
                <w:rFonts w:cstheme="minorHAnsi"/>
                <w:sz w:val="20"/>
                <w:szCs w:val="20"/>
                <w:lang w:val="en-US"/>
              </w:rPr>
              <w:lastRenderedPageBreak/>
              <w:t>Episodic migraine</w:t>
            </w:r>
          </w:p>
        </w:tc>
      </w:tr>
      <w:tr w:rsidR="004C628C" w:rsidRPr="004402EC" w14:paraId="43C89610" w14:textId="77777777" w:rsidTr="00E458C5">
        <w:tc>
          <w:tcPr>
            <w:tcW w:w="6232" w:type="dxa"/>
          </w:tcPr>
          <w:p w14:paraId="575A19D0" w14:textId="2C0DC4F7" w:rsidR="004C628C" w:rsidRPr="004402EC" w:rsidRDefault="004C628C" w:rsidP="004C628C">
            <w:pPr>
              <w:rPr>
                <w:rFonts w:cstheme="minorHAnsi"/>
                <w:sz w:val="20"/>
                <w:szCs w:val="20"/>
                <w:lang w:val="en-US"/>
              </w:rPr>
            </w:pPr>
            <w:r w:rsidRPr="004402EC">
              <w:rPr>
                <w:rFonts w:cstheme="minorHAnsi"/>
                <w:sz w:val="20"/>
                <w:szCs w:val="20"/>
                <w:lang w:val="en-US"/>
              </w:rPr>
              <w:lastRenderedPageBreak/>
              <w:t>43. Faraji F, Zarinfar N, Zanjani AT, Morteza A. The effect of Helicobacter pylori eradication on migraine: a randomized, double blind, controlled trial. Pain physician. 2012;15(6):495.</w:t>
            </w:r>
          </w:p>
        </w:tc>
        <w:tc>
          <w:tcPr>
            <w:tcW w:w="2784" w:type="dxa"/>
          </w:tcPr>
          <w:p w14:paraId="369D18AE" w14:textId="40D937D5" w:rsidR="004C628C" w:rsidRPr="004402EC" w:rsidRDefault="004C628C" w:rsidP="004C628C">
            <w:pPr>
              <w:rPr>
                <w:rFonts w:cstheme="minorHAnsi"/>
                <w:sz w:val="20"/>
                <w:szCs w:val="20"/>
                <w:lang w:val="en-US"/>
              </w:rPr>
            </w:pPr>
            <w:r w:rsidRPr="004402EC">
              <w:rPr>
                <w:rFonts w:cstheme="minorHAnsi"/>
                <w:sz w:val="20"/>
                <w:szCs w:val="20"/>
                <w:lang w:val="en-US"/>
              </w:rPr>
              <w:t xml:space="preserve">This is </w:t>
            </w:r>
            <w:r w:rsidR="00927983" w:rsidRPr="004402EC">
              <w:rPr>
                <w:rFonts w:cstheme="minorHAnsi"/>
                <w:sz w:val="20"/>
                <w:szCs w:val="20"/>
                <w:lang w:val="en-US"/>
              </w:rPr>
              <w:t xml:space="preserve">the </w:t>
            </w:r>
            <w:r w:rsidRPr="004402EC">
              <w:rPr>
                <w:rFonts w:cstheme="minorHAnsi"/>
                <w:sz w:val="20"/>
                <w:szCs w:val="20"/>
                <w:lang w:val="en-US"/>
              </w:rPr>
              <w:t>eradication of HP not use of a prophylactic treatment</w:t>
            </w:r>
          </w:p>
        </w:tc>
      </w:tr>
      <w:tr w:rsidR="004C628C" w:rsidRPr="004402EC" w14:paraId="64FEB4E9" w14:textId="77777777" w:rsidTr="00E458C5">
        <w:tc>
          <w:tcPr>
            <w:tcW w:w="6232" w:type="dxa"/>
          </w:tcPr>
          <w:p w14:paraId="7C22F44C" w14:textId="355BA5E0" w:rsidR="004C628C" w:rsidRPr="004402EC" w:rsidRDefault="004C628C" w:rsidP="004C628C">
            <w:pPr>
              <w:rPr>
                <w:rFonts w:cstheme="minorHAnsi"/>
                <w:sz w:val="20"/>
                <w:szCs w:val="20"/>
                <w:lang w:val="en-US"/>
              </w:rPr>
            </w:pPr>
            <w:r w:rsidRPr="004402EC">
              <w:rPr>
                <w:rFonts w:cstheme="minorHAnsi"/>
                <w:sz w:val="20"/>
                <w:szCs w:val="20"/>
                <w:lang w:val="en-US"/>
              </w:rPr>
              <w:t xml:space="preserve">44. Ford JH, Ayer DW, Zhang Q, Carter JN, Leroux E, Skljarevski V, Aurora SK, Tockhorn-Heidenreich A, Lipton RB. Two randomized migraine studies of </w:t>
            </w:r>
            <w:r w:rsidR="00780A4A">
              <w:rPr>
                <w:rFonts w:cstheme="minorHAnsi"/>
                <w:sz w:val="20"/>
                <w:szCs w:val="20"/>
                <w:lang w:val="en-US"/>
              </w:rPr>
              <w:t>G</w:t>
            </w:r>
            <w:r w:rsidRPr="004402EC">
              <w:rPr>
                <w:rFonts w:cstheme="minorHAnsi"/>
                <w:sz w:val="20"/>
                <w:szCs w:val="20"/>
                <w:lang w:val="en-US"/>
              </w:rPr>
              <w:t>alcanezumab: effects on patient functioning and disability. Neurology. 2019 Jul 30;93(5):e508-17.</w:t>
            </w:r>
          </w:p>
        </w:tc>
        <w:tc>
          <w:tcPr>
            <w:tcW w:w="2784" w:type="dxa"/>
          </w:tcPr>
          <w:p w14:paraId="6403130D" w14:textId="28F38324" w:rsidR="004C628C" w:rsidRPr="004402EC" w:rsidRDefault="004C628C" w:rsidP="004C628C">
            <w:pPr>
              <w:rPr>
                <w:rFonts w:cstheme="minorHAnsi"/>
                <w:sz w:val="20"/>
                <w:szCs w:val="20"/>
                <w:lang w:val="en-US"/>
              </w:rPr>
            </w:pPr>
            <w:r w:rsidRPr="004402EC">
              <w:rPr>
                <w:rFonts w:cstheme="minorHAnsi"/>
                <w:sz w:val="20"/>
                <w:szCs w:val="20"/>
                <w:lang w:val="en-US"/>
              </w:rPr>
              <w:t>No report of Adverse Events</w:t>
            </w:r>
          </w:p>
        </w:tc>
      </w:tr>
      <w:tr w:rsidR="004C628C" w:rsidRPr="004402EC" w14:paraId="1C16A5A3" w14:textId="77777777" w:rsidTr="00E458C5">
        <w:tc>
          <w:tcPr>
            <w:tcW w:w="6232" w:type="dxa"/>
          </w:tcPr>
          <w:p w14:paraId="467CE110" w14:textId="20FAC97B" w:rsidR="004C628C" w:rsidRPr="004402EC" w:rsidRDefault="004C628C" w:rsidP="004C628C">
            <w:pPr>
              <w:rPr>
                <w:rFonts w:cstheme="minorHAnsi"/>
                <w:sz w:val="20"/>
                <w:szCs w:val="20"/>
                <w:lang w:val="en-US"/>
              </w:rPr>
            </w:pPr>
            <w:r w:rsidRPr="004402EC">
              <w:rPr>
                <w:rFonts w:cstheme="minorHAnsi"/>
                <w:sz w:val="20"/>
                <w:szCs w:val="20"/>
                <w:lang w:val="en-US"/>
              </w:rPr>
              <w:t>45. Freitag FG, Diamond S, Diamond M, Urban G. Botulinum toxin type A in the treatment of chronic migraine without medication overuse. Headache: The Journal of Head and Face Pain. 2008 Feb;48(2):201-9.</w:t>
            </w:r>
          </w:p>
        </w:tc>
        <w:tc>
          <w:tcPr>
            <w:tcW w:w="2784" w:type="dxa"/>
          </w:tcPr>
          <w:p w14:paraId="3FD2FBE7" w14:textId="4B75EA84" w:rsidR="004C628C" w:rsidRPr="004402EC" w:rsidRDefault="004C628C" w:rsidP="004C628C">
            <w:pPr>
              <w:rPr>
                <w:rFonts w:cstheme="minorHAnsi"/>
                <w:sz w:val="20"/>
                <w:szCs w:val="20"/>
                <w:lang w:val="en-US"/>
              </w:rPr>
            </w:pPr>
            <w:r w:rsidRPr="004402EC">
              <w:rPr>
                <w:rFonts w:cstheme="minorHAnsi"/>
                <w:sz w:val="20"/>
                <w:szCs w:val="20"/>
                <w:lang w:val="en-US"/>
              </w:rPr>
              <w:t>Small sample size</w:t>
            </w:r>
            <w:r w:rsidR="00927983" w:rsidRPr="004402EC">
              <w:rPr>
                <w:rFonts w:cstheme="minorHAnsi"/>
                <w:sz w:val="20"/>
                <w:szCs w:val="20"/>
                <w:lang w:val="en-US"/>
              </w:rPr>
              <w:t xml:space="preserve"> of chronic migraine</w:t>
            </w:r>
          </w:p>
        </w:tc>
      </w:tr>
      <w:tr w:rsidR="004C628C" w:rsidRPr="004402EC" w14:paraId="5CA8E302" w14:textId="77777777" w:rsidTr="00E458C5">
        <w:tc>
          <w:tcPr>
            <w:tcW w:w="6232" w:type="dxa"/>
          </w:tcPr>
          <w:p w14:paraId="6D535A58" w14:textId="1A61578A" w:rsidR="004C628C" w:rsidRPr="004402EC" w:rsidRDefault="004C628C" w:rsidP="004C628C">
            <w:pPr>
              <w:rPr>
                <w:rFonts w:cstheme="minorHAnsi"/>
                <w:sz w:val="20"/>
                <w:szCs w:val="20"/>
                <w:lang w:val="en-US"/>
              </w:rPr>
            </w:pPr>
            <w:r w:rsidRPr="004402EC">
              <w:rPr>
                <w:rFonts w:cstheme="minorHAnsi"/>
                <w:sz w:val="20"/>
                <w:szCs w:val="20"/>
                <w:lang w:val="en-US"/>
              </w:rPr>
              <w:t>46. Lauretti GR, Rosa CP, Kitayama A, Lopes BC. Comparison of botox® or prosigne® and facial nerve blockade as adjuvant in chronic migraine. Journal of Biomedical Science and Engineering. 2014 Jun 26;2014.</w:t>
            </w:r>
          </w:p>
        </w:tc>
        <w:tc>
          <w:tcPr>
            <w:tcW w:w="2784" w:type="dxa"/>
          </w:tcPr>
          <w:p w14:paraId="31BDE28C" w14:textId="5AFA7924" w:rsidR="004C628C" w:rsidRPr="004402EC" w:rsidRDefault="004C628C" w:rsidP="004C628C">
            <w:pPr>
              <w:rPr>
                <w:rFonts w:cstheme="minorHAnsi"/>
                <w:sz w:val="20"/>
                <w:szCs w:val="20"/>
                <w:lang w:val="en-US"/>
              </w:rPr>
            </w:pPr>
            <w:r w:rsidRPr="004402EC">
              <w:rPr>
                <w:rFonts w:cstheme="minorHAnsi"/>
                <w:sz w:val="20"/>
                <w:szCs w:val="20"/>
                <w:lang w:val="en-US"/>
              </w:rPr>
              <w:t>Small sample size</w:t>
            </w:r>
            <w:r w:rsidR="00927983" w:rsidRPr="004402EC">
              <w:rPr>
                <w:rFonts w:cstheme="minorHAnsi"/>
                <w:sz w:val="20"/>
                <w:szCs w:val="20"/>
                <w:lang w:val="en-US"/>
              </w:rPr>
              <w:t xml:space="preserve"> of chronic migraine</w:t>
            </w:r>
            <w:r w:rsidR="002A5751">
              <w:rPr>
                <w:rFonts w:cstheme="minorHAnsi"/>
                <w:sz w:val="20"/>
                <w:szCs w:val="20"/>
                <w:lang w:val="en-US"/>
              </w:rPr>
              <w:t>.</w:t>
            </w:r>
            <w:r w:rsidR="00DD107A" w:rsidRPr="004402EC">
              <w:rPr>
                <w:rFonts w:cstheme="minorHAnsi"/>
                <w:sz w:val="20"/>
                <w:szCs w:val="20"/>
                <w:lang w:val="en-US"/>
              </w:rPr>
              <w:t xml:space="preserve"> Prosigne is not recommended by NICE or SIGN</w:t>
            </w:r>
          </w:p>
        </w:tc>
      </w:tr>
      <w:tr w:rsidR="004C628C" w:rsidRPr="004402EC" w14:paraId="47659F51" w14:textId="77777777" w:rsidTr="00E458C5">
        <w:tc>
          <w:tcPr>
            <w:tcW w:w="6232" w:type="dxa"/>
          </w:tcPr>
          <w:p w14:paraId="3EFDDD77" w14:textId="67C2D94C" w:rsidR="004C628C" w:rsidRPr="004402EC" w:rsidRDefault="004C628C" w:rsidP="004C628C">
            <w:pPr>
              <w:rPr>
                <w:rFonts w:cstheme="minorHAnsi"/>
                <w:sz w:val="20"/>
                <w:szCs w:val="20"/>
                <w:lang w:val="en-US"/>
              </w:rPr>
            </w:pPr>
            <w:r w:rsidRPr="004402EC">
              <w:rPr>
                <w:rFonts w:cstheme="minorHAnsi"/>
                <w:sz w:val="20"/>
                <w:szCs w:val="20"/>
                <w:lang w:val="en-US"/>
              </w:rPr>
              <w:t>47. Ganji R, Majdinasab N, Hesam S, Rostami N, Sayyah M, Sahebnasagh A. Does atorvastatin have augmentative effects with sodium valproate in prevention of migraine with aura attacks? A triple-blind controlled clinical trial. Journal of pharmaceutical health care and sciences. 2021 Dec;7(1):1-0.</w:t>
            </w:r>
          </w:p>
        </w:tc>
        <w:tc>
          <w:tcPr>
            <w:tcW w:w="2784" w:type="dxa"/>
          </w:tcPr>
          <w:p w14:paraId="2C25F646" w14:textId="39173118" w:rsidR="004C628C" w:rsidRPr="004402EC" w:rsidRDefault="004C628C" w:rsidP="004C628C">
            <w:pPr>
              <w:rPr>
                <w:rFonts w:cstheme="minorHAnsi"/>
                <w:sz w:val="20"/>
                <w:szCs w:val="20"/>
                <w:lang w:val="en-US"/>
              </w:rPr>
            </w:pPr>
            <w:r w:rsidRPr="004402EC">
              <w:rPr>
                <w:rFonts w:cstheme="minorHAnsi"/>
                <w:sz w:val="20"/>
                <w:szCs w:val="20"/>
                <w:lang w:val="en-US"/>
              </w:rPr>
              <w:t>Small sample size of episodic migraine</w:t>
            </w:r>
          </w:p>
        </w:tc>
      </w:tr>
      <w:tr w:rsidR="004C628C" w:rsidRPr="004402EC" w14:paraId="047EDE4D" w14:textId="77777777" w:rsidTr="00E458C5">
        <w:tc>
          <w:tcPr>
            <w:tcW w:w="6232" w:type="dxa"/>
          </w:tcPr>
          <w:p w14:paraId="0E4EE28A" w14:textId="49C3428E" w:rsidR="004C628C" w:rsidRPr="004402EC" w:rsidRDefault="004C628C" w:rsidP="004C628C">
            <w:pPr>
              <w:rPr>
                <w:rFonts w:cstheme="minorHAnsi"/>
                <w:sz w:val="20"/>
                <w:szCs w:val="20"/>
                <w:lang w:val="en-US"/>
              </w:rPr>
            </w:pPr>
            <w:r w:rsidRPr="004402EC">
              <w:rPr>
                <w:rFonts w:cstheme="minorHAnsi"/>
                <w:sz w:val="20"/>
                <w:szCs w:val="20"/>
                <w:lang w:val="en-US"/>
              </w:rPr>
              <w:t>48. Gawel MJ, Kreeft J, Nelson RF, Simard D, Arnott WS. Comparison of the efficacy and safety of flunarizine to propranolol in the prophylaxis of migraine. Canadian journal of neurological sciences. 1992 Aug;19(3):340-5.</w:t>
            </w:r>
          </w:p>
        </w:tc>
        <w:tc>
          <w:tcPr>
            <w:tcW w:w="2784" w:type="dxa"/>
          </w:tcPr>
          <w:p w14:paraId="03558FEB" w14:textId="62DD1D72" w:rsidR="004C628C" w:rsidRPr="004402EC" w:rsidRDefault="004C628C" w:rsidP="004C628C">
            <w:pPr>
              <w:rPr>
                <w:rFonts w:cstheme="minorHAnsi"/>
                <w:sz w:val="20"/>
                <w:szCs w:val="20"/>
                <w:lang w:val="en-US"/>
              </w:rPr>
            </w:pPr>
            <w:r w:rsidRPr="004402EC">
              <w:rPr>
                <w:rFonts w:cstheme="minorHAnsi"/>
                <w:sz w:val="20"/>
                <w:szCs w:val="20"/>
                <w:lang w:val="en-US"/>
              </w:rPr>
              <w:t>Small sample size of episodic migraine</w:t>
            </w:r>
          </w:p>
        </w:tc>
      </w:tr>
      <w:tr w:rsidR="004C628C" w:rsidRPr="004402EC" w14:paraId="469E4456" w14:textId="77777777" w:rsidTr="00E458C5">
        <w:tc>
          <w:tcPr>
            <w:tcW w:w="6232" w:type="dxa"/>
          </w:tcPr>
          <w:p w14:paraId="239DFA0F" w14:textId="70FD92CB" w:rsidR="004C628C" w:rsidRPr="004402EC" w:rsidRDefault="004C628C" w:rsidP="004C628C">
            <w:pPr>
              <w:rPr>
                <w:rFonts w:cstheme="minorHAnsi"/>
                <w:sz w:val="20"/>
                <w:szCs w:val="20"/>
                <w:lang w:val="en-US"/>
              </w:rPr>
            </w:pPr>
            <w:r w:rsidRPr="004402EC">
              <w:rPr>
                <w:rFonts w:cstheme="minorHAnsi"/>
                <w:sz w:val="20"/>
                <w:szCs w:val="20"/>
                <w:lang w:val="en-US"/>
              </w:rPr>
              <w:t>49. Keyvan G, Abolfazl MB. Comparison of treatment effect of sodium valproate, propranolol and tricyclic antidepressants in migraine. Pakistan journal of biological sciences: PJBS. 2009 Aug 1;12(15):1098-101.</w:t>
            </w:r>
          </w:p>
        </w:tc>
        <w:tc>
          <w:tcPr>
            <w:tcW w:w="2784" w:type="dxa"/>
          </w:tcPr>
          <w:p w14:paraId="7E8EC812" w14:textId="15D45E34" w:rsidR="004C628C" w:rsidRPr="004402EC" w:rsidRDefault="004C628C" w:rsidP="004C628C">
            <w:pPr>
              <w:rPr>
                <w:rFonts w:cstheme="minorHAnsi"/>
                <w:sz w:val="20"/>
                <w:szCs w:val="20"/>
                <w:lang w:val="en-US"/>
              </w:rPr>
            </w:pPr>
            <w:r w:rsidRPr="004402EC">
              <w:rPr>
                <w:rFonts w:cstheme="minorHAnsi"/>
                <w:sz w:val="20"/>
                <w:szCs w:val="20"/>
                <w:lang w:val="en-US"/>
              </w:rPr>
              <w:t>Small sample size</w:t>
            </w:r>
            <w:r w:rsidR="003174B4" w:rsidRPr="004402EC">
              <w:rPr>
                <w:rFonts w:cstheme="minorHAnsi"/>
                <w:sz w:val="20"/>
                <w:szCs w:val="20"/>
                <w:lang w:val="en-US"/>
              </w:rPr>
              <w:t xml:space="preserve"> of episodic </w:t>
            </w:r>
            <w:r w:rsidR="00927983" w:rsidRPr="004402EC">
              <w:rPr>
                <w:rFonts w:cstheme="minorHAnsi"/>
                <w:sz w:val="20"/>
                <w:szCs w:val="20"/>
                <w:lang w:val="en-US"/>
              </w:rPr>
              <w:t>or</w:t>
            </w:r>
            <w:r w:rsidR="003174B4" w:rsidRPr="004402EC">
              <w:rPr>
                <w:rFonts w:cstheme="minorHAnsi"/>
                <w:sz w:val="20"/>
                <w:szCs w:val="20"/>
                <w:lang w:val="en-US"/>
              </w:rPr>
              <w:t xml:space="preserve"> chronic migraine</w:t>
            </w:r>
          </w:p>
        </w:tc>
      </w:tr>
      <w:tr w:rsidR="004C628C" w:rsidRPr="004402EC" w14:paraId="644D59E0" w14:textId="77777777" w:rsidTr="00E458C5">
        <w:tc>
          <w:tcPr>
            <w:tcW w:w="6232" w:type="dxa"/>
          </w:tcPr>
          <w:p w14:paraId="46A1C4AF" w14:textId="4336D9FE" w:rsidR="004C628C" w:rsidRPr="004402EC" w:rsidRDefault="004C628C" w:rsidP="004C628C">
            <w:pPr>
              <w:rPr>
                <w:rFonts w:cstheme="minorHAnsi"/>
                <w:sz w:val="20"/>
                <w:szCs w:val="20"/>
                <w:lang w:val="en-US"/>
              </w:rPr>
            </w:pPr>
            <w:r w:rsidRPr="004402EC">
              <w:rPr>
                <w:rFonts w:cstheme="minorHAnsi"/>
                <w:sz w:val="20"/>
                <w:szCs w:val="20"/>
                <w:lang w:val="en-US"/>
              </w:rPr>
              <w:t>50.  Hussein HS, Alsalihi NJ, Al Gawwam G. Flunarizine Vs Propranolol in the Prevention of Migrainous Headache Attacks. Age (years). 2021;30(9):30-4.</w:t>
            </w:r>
          </w:p>
        </w:tc>
        <w:tc>
          <w:tcPr>
            <w:tcW w:w="2784" w:type="dxa"/>
          </w:tcPr>
          <w:p w14:paraId="47034A7C" w14:textId="4B856FE5" w:rsidR="004C628C" w:rsidRPr="004402EC" w:rsidRDefault="004C628C" w:rsidP="004C628C">
            <w:pPr>
              <w:rPr>
                <w:rFonts w:cstheme="minorHAnsi"/>
                <w:sz w:val="20"/>
                <w:szCs w:val="20"/>
                <w:lang w:val="en-US"/>
              </w:rPr>
            </w:pPr>
            <w:r w:rsidRPr="004402EC">
              <w:rPr>
                <w:rFonts w:cstheme="minorHAnsi"/>
                <w:sz w:val="20"/>
                <w:szCs w:val="20"/>
                <w:lang w:val="en-US"/>
              </w:rPr>
              <w:t>Small sample size</w:t>
            </w:r>
            <w:r w:rsidR="00C22EFC" w:rsidRPr="004402EC">
              <w:rPr>
                <w:rFonts w:cstheme="minorHAnsi"/>
                <w:sz w:val="20"/>
                <w:szCs w:val="20"/>
                <w:lang w:val="en-US"/>
              </w:rPr>
              <w:t xml:space="preserve"> of migraine</w:t>
            </w:r>
          </w:p>
        </w:tc>
      </w:tr>
      <w:tr w:rsidR="004C628C" w:rsidRPr="004402EC" w14:paraId="0D8FE7EF" w14:textId="77777777" w:rsidTr="00E458C5">
        <w:tc>
          <w:tcPr>
            <w:tcW w:w="6232" w:type="dxa"/>
          </w:tcPr>
          <w:p w14:paraId="0DBFC05E" w14:textId="37E79DD1" w:rsidR="004C628C" w:rsidRPr="004402EC" w:rsidRDefault="004C628C" w:rsidP="004C628C">
            <w:pPr>
              <w:rPr>
                <w:rFonts w:cstheme="minorHAnsi"/>
                <w:sz w:val="20"/>
                <w:szCs w:val="20"/>
                <w:lang w:val="en-US"/>
              </w:rPr>
            </w:pPr>
            <w:r w:rsidRPr="004402EC">
              <w:rPr>
                <w:rFonts w:cstheme="minorHAnsi"/>
                <w:sz w:val="20"/>
                <w:szCs w:val="20"/>
                <w:lang w:val="en-US"/>
              </w:rPr>
              <w:t>51. Ghose K, Niven BE, Berry D. A double-blind crossover comparison of the effects of vigabatrin with placebo in the prevention of migraine headache. The Journal of Headache and Pain. 2002 Sep;3(2):79-85.</w:t>
            </w:r>
          </w:p>
        </w:tc>
        <w:tc>
          <w:tcPr>
            <w:tcW w:w="2784" w:type="dxa"/>
          </w:tcPr>
          <w:p w14:paraId="1043A14E" w14:textId="1B7D03EB" w:rsidR="004C628C" w:rsidRPr="004402EC" w:rsidRDefault="004C628C" w:rsidP="004C628C">
            <w:pPr>
              <w:rPr>
                <w:rFonts w:cstheme="minorHAnsi"/>
                <w:sz w:val="20"/>
                <w:szCs w:val="20"/>
                <w:lang w:val="en-US"/>
              </w:rPr>
            </w:pPr>
            <w:r w:rsidRPr="004402EC">
              <w:rPr>
                <w:rFonts w:cstheme="minorHAnsi"/>
                <w:sz w:val="20"/>
                <w:szCs w:val="20"/>
                <w:lang w:val="en-US"/>
              </w:rPr>
              <w:t>Small sample size</w:t>
            </w:r>
            <w:r w:rsidR="00927983" w:rsidRPr="004402EC">
              <w:rPr>
                <w:rFonts w:cstheme="minorHAnsi"/>
                <w:sz w:val="20"/>
                <w:szCs w:val="20"/>
                <w:lang w:val="en-US"/>
              </w:rPr>
              <w:t xml:space="preserve"> of migraine</w:t>
            </w:r>
          </w:p>
        </w:tc>
      </w:tr>
      <w:tr w:rsidR="004C628C" w:rsidRPr="004402EC" w14:paraId="0FFD898E" w14:textId="77777777" w:rsidTr="00E458C5">
        <w:tc>
          <w:tcPr>
            <w:tcW w:w="6232" w:type="dxa"/>
          </w:tcPr>
          <w:p w14:paraId="4660E2ED" w14:textId="04AE1D48" w:rsidR="004C628C" w:rsidRPr="004402EC" w:rsidRDefault="004C628C" w:rsidP="004C628C">
            <w:pPr>
              <w:rPr>
                <w:rFonts w:cstheme="minorHAnsi"/>
                <w:sz w:val="20"/>
                <w:szCs w:val="20"/>
                <w:lang w:val="en-US"/>
              </w:rPr>
            </w:pPr>
            <w:r w:rsidRPr="004402EC">
              <w:rPr>
                <w:rFonts w:cstheme="minorHAnsi"/>
                <w:sz w:val="20"/>
                <w:szCs w:val="20"/>
                <w:lang w:val="en-US"/>
              </w:rPr>
              <w:t xml:space="preserve">52. Goadsby PJ, Silberstein SD, Yeung PP, Cohen JM, Ning X, Yang R, Dodick DW. Long-term safety, tolerability, and efficacy of </w:t>
            </w:r>
            <w:r w:rsidR="00780A4A">
              <w:rPr>
                <w:rFonts w:cstheme="minorHAnsi"/>
                <w:sz w:val="20"/>
                <w:szCs w:val="20"/>
                <w:lang w:val="en-US"/>
              </w:rPr>
              <w:t>F</w:t>
            </w:r>
            <w:r w:rsidRPr="004402EC">
              <w:rPr>
                <w:rFonts w:cstheme="minorHAnsi"/>
                <w:sz w:val="20"/>
                <w:szCs w:val="20"/>
                <w:lang w:val="en-US"/>
              </w:rPr>
              <w:t>remanezumab in migraine: a randomized study. Neurology. 2020 Nov 3;95(18):e2487-99.</w:t>
            </w:r>
          </w:p>
        </w:tc>
        <w:tc>
          <w:tcPr>
            <w:tcW w:w="2784" w:type="dxa"/>
          </w:tcPr>
          <w:p w14:paraId="0DEE74A5" w14:textId="48B73567" w:rsidR="004C628C" w:rsidRPr="004402EC" w:rsidRDefault="004C628C" w:rsidP="004C628C">
            <w:pPr>
              <w:rPr>
                <w:rFonts w:cstheme="minorHAnsi"/>
                <w:sz w:val="20"/>
                <w:szCs w:val="20"/>
                <w:lang w:val="en-US"/>
              </w:rPr>
            </w:pPr>
            <w:r w:rsidRPr="004402EC">
              <w:rPr>
                <w:rFonts w:cstheme="minorHAnsi"/>
                <w:sz w:val="20"/>
                <w:szCs w:val="20"/>
                <w:lang w:val="en-US"/>
              </w:rPr>
              <w:t xml:space="preserve">Comparing </w:t>
            </w:r>
            <w:r w:rsidR="00927983" w:rsidRPr="004402EC">
              <w:rPr>
                <w:rFonts w:cstheme="minorHAnsi"/>
                <w:sz w:val="20"/>
                <w:szCs w:val="20"/>
                <w:lang w:val="en-US"/>
              </w:rPr>
              <w:t xml:space="preserve">the </w:t>
            </w:r>
            <w:r w:rsidRPr="004402EC">
              <w:rPr>
                <w:rFonts w:cstheme="minorHAnsi"/>
                <w:sz w:val="20"/>
                <w:szCs w:val="20"/>
                <w:lang w:val="en-US"/>
              </w:rPr>
              <w:t>dosing regime of same drug</w:t>
            </w:r>
          </w:p>
        </w:tc>
      </w:tr>
      <w:tr w:rsidR="004C628C" w:rsidRPr="004402EC" w14:paraId="31B197C2" w14:textId="77777777" w:rsidTr="00E458C5">
        <w:tc>
          <w:tcPr>
            <w:tcW w:w="6232" w:type="dxa"/>
          </w:tcPr>
          <w:p w14:paraId="44A0C566" w14:textId="49E08BF4" w:rsidR="004C628C" w:rsidRPr="004402EC" w:rsidRDefault="004C628C" w:rsidP="004C628C">
            <w:pPr>
              <w:rPr>
                <w:rFonts w:cstheme="minorHAnsi"/>
                <w:sz w:val="20"/>
                <w:szCs w:val="20"/>
                <w:lang w:val="en-US"/>
              </w:rPr>
            </w:pPr>
            <w:r w:rsidRPr="004402EC">
              <w:rPr>
                <w:rFonts w:cstheme="minorHAnsi"/>
                <w:sz w:val="20"/>
                <w:szCs w:val="20"/>
                <w:lang w:val="en-US"/>
              </w:rPr>
              <w:t xml:space="preserve">53. Goadsby PJ, Reuter U, Hallström Y, Broessner G, Bonner JH, Zhang F, Wright IK, Chou DE, Klatt J, Picard H, Lenz RA. One-year sustained efficacy of </w:t>
            </w:r>
            <w:r w:rsidR="00780A4A">
              <w:rPr>
                <w:rFonts w:cstheme="minorHAnsi"/>
                <w:sz w:val="20"/>
                <w:szCs w:val="20"/>
                <w:lang w:val="en-US"/>
              </w:rPr>
              <w:t>E</w:t>
            </w:r>
            <w:r w:rsidRPr="004402EC">
              <w:rPr>
                <w:rFonts w:cstheme="minorHAnsi"/>
                <w:sz w:val="20"/>
                <w:szCs w:val="20"/>
                <w:lang w:val="en-US"/>
              </w:rPr>
              <w:t>renumab in episodic migraine: results of the STRIVE study. Neurology. 2020 Aug 4;95(5):e469-79.</w:t>
            </w:r>
          </w:p>
        </w:tc>
        <w:tc>
          <w:tcPr>
            <w:tcW w:w="2784" w:type="dxa"/>
          </w:tcPr>
          <w:p w14:paraId="66C1BE62" w14:textId="16309489" w:rsidR="004C628C" w:rsidRPr="004402EC" w:rsidRDefault="004C628C" w:rsidP="004C628C">
            <w:pPr>
              <w:rPr>
                <w:rFonts w:cstheme="minorHAnsi"/>
                <w:sz w:val="20"/>
                <w:szCs w:val="20"/>
                <w:lang w:val="en-US"/>
              </w:rPr>
            </w:pPr>
            <w:r w:rsidRPr="004402EC">
              <w:rPr>
                <w:rFonts w:cstheme="minorHAnsi"/>
                <w:sz w:val="20"/>
                <w:szCs w:val="20"/>
                <w:lang w:val="en-US"/>
              </w:rPr>
              <w:t>Reporting the active treatment phase with dose blinding not the RCT part</w:t>
            </w:r>
          </w:p>
        </w:tc>
      </w:tr>
      <w:tr w:rsidR="00E458C5" w:rsidRPr="004402EC" w14:paraId="583C9F2D" w14:textId="77777777" w:rsidTr="00E458C5">
        <w:tc>
          <w:tcPr>
            <w:tcW w:w="6232" w:type="dxa"/>
          </w:tcPr>
          <w:p w14:paraId="7AEF1750" w14:textId="47742A57" w:rsidR="00E458C5" w:rsidRPr="004402EC" w:rsidRDefault="00E458C5" w:rsidP="00E458C5">
            <w:pPr>
              <w:rPr>
                <w:rFonts w:cstheme="minorHAnsi"/>
                <w:sz w:val="20"/>
                <w:szCs w:val="20"/>
                <w:lang w:val="en-US"/>
              </w:rPr>
            </w:pPr>
            <w:r w:rsidRPr="004402EC">
              <w:rPr>
                <w:rFonts w:cstheme="minorHAnsi"/>
                <w:sz w:val="20"/>
                <w:szCs w:val="20"/>
                <w:lang w:val="en-US"/>
              </w:rPr>
              <w:t>54.  Goadsby PJ, Reuter U, Lanteri-Minet M, da Silva Lima GP, Hours-Zesiger P, Fernandes C, Wen S, Tenenbaum N, Kataria A, Ferrari MD, Klatt J. Long-Term efficacy and safety of Erenumab: results from 64 weeks of the liberty study. Neurology. 2021 Jun 1;96(22):e2724-35.</w:t>
            </w:r>
          </w:p>
        </w:tc>
        <w:tc>
          <w:tcPr>
            <w:tcW w:w="2784" w:type="dxa"/>
          </w:tcPr>
          <w:p w14:paraId="415E42FC" w14:textId="1ECB2F07" w:rsidR="00E458C5" w:rsidRPr="004402EC" w:rsidRDefault="00533BE0" w:rsidP="00E458C5">
            <w:pPr>
              <w:rPr>
                <w:rFonts w:cstheme="minorHAnsi"/>
                <w:sz w:val="20"/>
                <w:szCs w:val="20"/>
                <w:lang w:val="en-US"/>
              </w:rPr>
            </w:pPr>
            <w:r w:rsidRPr="004402EC">
              <w:rPr>
                <w:rFonts w:cstheme="minorHAnsi"/>
                <w:sz w:val="20"/>
                <w:szCs w:val="20"/>
                <w:lang w:val="en-US"/>
              </w:rPr>
              <w:t xml:space="preserve">Not </w:t>
            </w:r>
            <w:r w:rsidR="00780A4A">
              <w:rPr>
                <w:rFonts w:cstheme="minorHAnsi"/>
                <w:sz w:val="20"/>
                <w:szCs w:val="20"/>
                <w:lang w:val="en-US"/>
              </w:rPr>
              <w:t xml:space="preserve">an </w:t>
            </w:r>
            <w:r w:rsidRPr="004402EC">
              <w:rPr>
                <w:rFonts w:cstheme="minorHAnsi"/>
                <w:sz w:val="20"/>
                <w:szCs w:val="20"/>
                <w:lang w:val="en-US"/>
              </w:rPr>
              <w:t>RCT</w:t>
            </w:r>
          </w:p>
        </w:tc>
      </w:tr>
      <w:tr w:rsidR="00E458C5" w:rsidRPr="004402EC" w14:paraId="7E75FDEC" w14:textId="77777777" w:rsidTr="00E458C5">
        <w:tc>
          <w:tcPr>
            <w:tcW w:w="6232" w:type="dxa"/>
          </w:tcPr>
          <w:p w14:paraId="273B1DA0" w14:textId="7C746ED8" w:rsidR="00E458C5" w:rsidRPr="004402EC" w:rsidRDefault="00E458C5" w:rsidP="00E458C5">
            <w:pPr>
              <w:rPr>
                <w:rFonts w:cstheme="minorHAnsi"/>
                <w:sz w:val="20"/>
                <w:szCs w:val="20"/>
                <w:lang w:val="en-US"/>
              </w:rPr>
            </w:pPr>
            <w:r w:rsidRPr="004402EC">
              <w:rPr>
                <w:rFonts w:cstheme="minorHAnsi"/>
                <w:sz w:val="20"/>
                <w:szCs w:val="20"/>
                <w:lang w:val="en-US"/>
              </w:rPr>
              <w:t>55.  Grahame R. Drug prophylaxis in migraine. British Medical Journal. 1960 Oct 10;2(5207):1203.</w:t>
            </w:r>
          </w:p>
        </w:tc>
        <w:tc>
          <w:tcPr>
            <w:tcW w:w="2784" w:type="dxa"/>
          </w:tcPr>
          <w:p w14:paraId="21EC39E6" w14:textId="19CD50A1" w:rsidR="00E458C5" w:rsidRPr="004402EC" w:rsidRDefault="00E458C5" w:rsidP="00E458C5">
            <w:pPr>
              <w:rPr>
                <w:rFonts w:cstheme="minorHAnsi"/>
                <w:sz w:val="20"/>
                <w:szCs w:val="20"/>
                <w:lang w:val="en-US"/>
              </w:rPr>
            </w:pPr>
            <w:r w:rsidRPr="004402EC">
              <w:rPr>
                <w:rFonts w:cstheme="minorHAnsi"/>
                <w:sz w:val="20"/>
                <w:szCs w:val="20"/>
                <w:lang w:val="en-US"/>
              </w:rPr>
              <w:t>Small sample size of episodic migraine</w:t>
            </w:r>
          </w:p>
        </w:tc>
      </w:tr>
      <w:tr w:rsidR="00E458C5" w:rsidRPr="004402EC" w14:paraId="2920D449" w14:textId="77777777" w:rsidTr="00E458C5">
        <w:tc>
          <w:tcPr>
            <w:tcW w:w="6232" w:type="dxa"/>
          </w:tcPr>
          <w:p w14:paraId="100CBC89" w14:textId="749AE336" w:rsidR="00E458C5" w:rsidRPr="004402EC" w:rsidRDefault="00E458C5" w:rsidP="00E458C5">
            <w:pPr>
              <w:rPr>
                <w:rFonts w:cstheme="minorHAnsi"/>
                <w:sz w:val="20"/>
                <w:szCs w:val="20"/>
                <w:lang w:val="en-US"/>
              </w:rPr>
            </w:pPr>
            <w:r w:rsidRPr="004402EC">
              <w:rPr>
                <w:rFonts w:cstheme="minorHAnsi"/>
                <w:sz w:val="20"/>
                <w:szCs w:val="20"/>
                <w:lang w:val="en-US"/>
              </w:rPr>
              <w:t>56.  Rompel, H. &amp; Bauermeister PW. Aetiology of migraine and prevention with carbamazepine (Tegretol): results of a double-blind, cross-over study. South African Medical Journal. 1970 Jan 1;44(4):75-80.</w:t>
            </w:r>
          </w:p>
        </w:tc>
        <w:tc>
          <w:tcPr>
            <w:tcW w:w="2784" w:type="dxa"/>
          </w:tcPr>
          <w:p w14:paraId="53A98359" w14:textId="750B8DB1" w:rsidR="00E458C5" w:rsidRPr="004402EC" w:rsidRDefault="00E458C5" w:rsidP="00E458C5">
            <w:pPr>
              <w:rPr>
                <w:rFonts w:cstheme="minorHAnsi"/>
                <w:sz w:val="20"/>
                <w:szCs w:val="20"/>
                <w:lang w:val="en-US"/>
              </w:rPr>
            </w:pPr>
            <w:r w:rsidRPr="004402EC">
              <w:rPr>
                <w:rFonts w:cstheme="minorHAnsi"/>
                <w:sz w:val="20"/>
                <w:szCs w:val="20"/>
                <w:lang w:val="en-US"/>
              </w:rPr>
              <w:t>Small sample size of episodic migraine</w:t>
            </w:r>
          </w:p>
        </w:tc>
      </w:tr>
      <w:tr w:rsidR="00E458C5" w:rsidRPr="004402EC" w14:paraId="0CC8655F" w14:textId="77777777" w:rsidTr="00E458C5">
        <w:tc>
          <w:tcPr>
            <w:tcW w:w="6232" w:type="dxa"/>
          </w:tcPr>
          <w:p w14:paraId="39DA52F2" w14:textId="5747C1E6" w:rsidR="00E458C5" w:rsidRPr="004402EC" w:rsidRDefault="00E458C5" w:rsidP="00E458C5">
            <w:pPr>
              <w:rPr>
                <w:rFonts w:cstheme="minorHAnsi"/>
                <w:sz w:val="20"/>
                <w:szCs w:val="20"/>
                <w:lang w:val="en-US"/>
              </w:rPr>
            </w:pPr>
            <w:r w:rsidRPr="004402EC">
              <w:rPr>
                <w:rFonts w:cstheme="minorHAnsi"/>
                <w:sz w:val="20"/>
                <w:szCs w:val="20"/>
                <w:lang w:val="en-US"/>
              </w:rPr>
              <w:t>57.  Havanka‐Kanniainen H, Hokkanen E, Myllylä VV. Efficacy of nimodipine in comparison with pizotifen in the prophylaxis of migraine. Cephalalgia. 1987 Mar;7(1):7-13.</w:t>
            </w:r>
          </w:p>
        </w:tc>
        <w:tc>
          <w:tcPr>
            <w:tcW w:w="2784" w:type="dxa"/>
          </w:tcPr>
          <w:p w14:paraId="07ACD733" w14:textId="76E68578" w:rsidR="00E458C5" w:rsidRPr="004402EC" w:rsidRDefault="00E458C5" w:rsidP="00E458C5">
            <w:pPr>
              <w:rPr>
                <w:rFonts w:cstheme="minorHAnsi"/>
                <w:sz w:val="20"/>
                <w:szCs w:val="20"/>
                <w:lang w:val="en-US"/>
              </w:rPr>
            </w:pPr>
            <w:r w:rsidRPr="004402EC">
              <w:rPr>
                <w:rFonts w:cstheme="minorHAnsi"/>
                <w:sz w:val="20"/>
                <w:szCs w:val="20"/>
                <w:lang w:val="en-US"/>
              </w:rPr>
              <w:t>Small sample size of episodic migraine</w:t>
            </w:r>
          </w:p>
        </w:tc>
      </w:tr>
      <w:tr w:rsidR="00E458C5" w:rsidRPr="004402EC" w14:paraId="48A401D9" w14:textId="77777777" w:rsidTr="00E458C5">
        <w:tc>
          <w:tcPr>
            <w:tcW w:w="6232" w:type="dxa"/>
          </w:tcPr>
          <w:p w14:paraId="2D823DCB" w14:textId="41959CA5" w:rsidR="00E458C5" w:rsidRPr="004402EC" w:rsidRDefault="00E458C5" w:rsidP="00E458C5">
            <w:pPr>
              <w:rPr>
                <w:rFonts w:cstheme="minorHAnsi"/>
                <w:sz w:val="20"/>
                <w:szCs w:val="20"/>
                <w:lang w:val="en-US"/>
              </w:rPr>
            </w:pPr>
            <w:r w:rsidRPr="004402EC">
              <w:rPr>
                <w:rFonts w:cstheme="minorHAnsi"/>
                <w:sz w:val="20"/>
                <w:szCs w:val="20"/>
                <w:lang w:val="en-US"/>
              </w:rPr>
              <w:t xml:space="preserve">58. Silberstein SD, Rapoport AM, Loupe PS, Aycardi E, McDonald M, Yang R, Bigal ME. The effect of beginning treatment with </w:t>
            </w:r>
            <w:r w:rsidR="00972021">
              <w:rPr>
                <w:rFonts w:cstheme="minorHAnsi"/>
                <w:sz w:val="20"/>
                <w:szCs w:val="20"/>
                <w:lang w:val="en-US"/>
              </w:rPr>
              <w:t>F</w:t>
            </w:r>
            <w:r w:rsidRPr="004402EC">
              <w:rPr>
                <w:rFonts w:cstheme="minorHAnsi"/>
                <w:sz w:val="20"/>
                <w:szCs w:val="20"/>
                <w:lang w:val="en-US"/>
              </w:rPr>
              <w:t xml:space="preserve">remanezumab on headache and associated symptoms in the randomized phase 2 study of </w:t>
            </w:r>
            <w:r w:rsidRPr="004402EC">
              <w:rPr>
                <w:rFonts w:cstheme="minorHAnsi"/>
                <w:sz w:val="20"/>
                <w:szCs w:val="20"/>
                <w:lang w:val="en-US"/>
              </w:rPr>
              <w:lastRenderedPageBreak/>
              <w:t>high frequency episodic migraine: Post‐hoc analyses on the first 3 weeks of treatment. Headache: The Journal of Head and Face Pain. 2019 Mar;59(3):383-93.</w:t>
            </w:r>
          </w:p>
        </w:tc>
        <w:tc>
          <w:tcPr>
            <w:tcW w:w="2784" w:type="dxa"/>
          </w:tcPr>
          <w:p w14:paraId="78895C39" w14:textId="10E1EE9B" w:rsidR="00E458C5" w:rsidRPr="004402EC" w:rsidRDefault="00927983" w:rsidP="00E458C5">
            <w:pPr>
              <w:rPr>
                <w:rFonts w:cstheme="minorHAnsi"/>
                <w:sz w:val="20"/>
                <w:szCs w:val="20"/>
                <w:lang w:val="en-US"/>
              </w:rPr>
            </w:pPr>
            <w:r w:rsidRPr="004402EC">
              <w:rPr>
                <w:rFonts w:cstheme="minorHAnsi"/>
                <w:sz w:val="20"/>
                <w:szCs w:val="20"/>
                <w:lang w:val="en-US"/>
              </w:rPr>
              <w:lastRenderedPageBreak/>
              <w:t>Small sample size of episodic migraine</w:t>
            </w:r>
          </w:p>
        </w:tc>
      </w:tr>
      <w:tr w:rsidR="00E458C5" w:rsidRPr="004402EC" w14:paraId="52CBA66C" w14:textId="77777777" w:rsidTr="00E458C5">
        <w:tc>
          <w:tcPr>
            <w:tcW w:w="6232" w:type="dxa"/>
          </w:tcPr>
          <w:p w14:paraId="181E3DA6" w14:textId="600189C4" w:rsidR="00E458C5" w:rsidRPr="004402EC" w:rsidRDefault="00E458C5" w:rsidP="00E458C5">
            <w:pPr>
              <w:rPr>
                <w:rFonts w:cstheme="minorHAnsi"/>
                <w:sz w:val="20"/>
                <w:szCs w:val="20"/>
                <w:lang w:val="en-US"/>
              </w:rPr>
            </w:pPr>
            <w:r w:rsidRPr="004402EC">
              <w:rPr>
                <w:rFonts w:cstheme="minorHAnsi"/>
                <w:sz w:val="20"/>
                <w:szCs w:val="20"/>
                <w:lang w:val="en-US"/>
              </w:rPr>
              <w:lastRenderedPageBreak/>
              <w:t>59.  Hering R, Kuritzky A. Sodium valproate in the prophylactic treatment of migraine: a double-blind study versus placebo. Cephalalgia. 1992 Apr;12(2):81-4.</w:t>
            </w:r>
          </w:p>
        </w:tc>
        <w:tc>
          <w:tcPr>
            <w:tcW w:w="2784" w:type="dxa"/>
          </w:tcPr>
          <w:p w14:paraId="5B2FC5FF" w14:textId="360F0396" w:rsidR="00E458C5" w:rsidRPr="004402EC" w:rsidRDefault="00E458C5" w:rsidP="00E458C5">
            <w:pPr>
              <w:rPr>
                <w:rFonts w:cstheme="minorHAnsi"/>
                <w:sz w:val="20"/>
                <w:szCs w:val="20"/>
                <w:lang w:val="en-US"/>
              </w:rPr>
            </w:pPr>
            <w:r w:rsidRPr="004402EC">
              <w:rPr>
                <w:rFonts w:cstheme="minorHAnsi"/>
                <w:sz w:val="20"/>
                <w:szCs w:val="20"/>
                <w:lang w:val="en-US"/>
              </w:rPr>
              <w:t>Small sample size of episodic migraine</w:t>
            </w:r>
          </w:p>
        </w:tc>
      </w:tr>
      <w:tr w:rsidR="00E458C5" w:rsidRPr="004402EC" w14:paraId="410C290B" w14:textId="77777777" w:rsidTr="00E458C5">
        <w:tc>
          <w:tcPr>
            <w:tcW w:w="6232" w:type="dxa"/>
          </w:tcPr>
          <w:p w14:paraId="2F819B23" w14:textId="59E6A571" w:rsidR="00E458C5" w:rsidRPr="004402EC" w:rsidRDefault="00E458C5" w:rsidP="00E458C5">
            <w:pPr>
              <w:rPr>
                <w:rFonts w:cstheme="minorHAnsi"/>
                <w:sz w:val="20"/>
                <w:szCs w:val="20"/>
                <w:lang w:val="en-US"/>
              </w:rPr>
            </w:pPr>
            <w:r w:rsidRPr="004402EC">
              <w:rPr>
                <w:rFonts w:cstheme="minorHAnsi"/>
                <w:sz w:val="20"/>
                <w:szCs w:val="20"/>
                <w:lang w:val="en-US"/>
              </w:rPr>
              <w:t xml:space="preserve">60. Hirata K, Takeshima T, Sakai F, Tatsuoka Y, Suzuki N, Igarashi H, Nakamura T, Ozeki A, Yamazaki H, Skljarevski V. A long-term open-label safety study of </w:t>
            </w:r>
            <w:r w:rsidR="00780A4A">
              <w:rPr>
                <w:rFonts w:cstheme="minorHAnsi"/>
                <w:sz w:val="20"/>
                <w:szCs w:val="20"/>
                <w:lang w:val="en-US"/>
              </w:rPr>
              <w:t>G</w:t>
            </w:r>
            <w:r w:rsidRPr="004402EC">
              <w:rPr>
                <w:rFonts w:cstheme="minorHAnsi"/>
                <w:sz w:val="20"/>
                <w:szCs w:val="20"/>
                <w:lang w:val="en-US"/>
              </w:rPr>
              <w:t>alcanezumab in Japanese patients with migraine. Expert Opinion on Drug Safety. 2021 Jun 3;20(6):721-33.</w:t>
            </w:r>
          </w:p>
        </w:tc>
        <w:tc>
          <w:tcPr>
            <w:tcW w:w="2784" w:type="dxa"/>
          </w:tcPr>
          <w:p w14:paraId="1A2964C9" w14:textId="1509546D" w:rsidR="00E458C5" w:rsidRPr="004402EC" w:rsidRDefault="00927983" w:rsidP="00E458C5">
            <w:pPr>
              <w:rPr>
                <w:rFonts w:cstheme="minorHAnsi"/>
                <w:sz w:val="20"/>
                <w:szCs w:val="20"/>
                <w:lang w:val="en-US"/>
              </w:rPr>
            </w:pPr>
            <w:r w:rsidRPr="004402EC">
              <w:rPr>
                <w:rFonts w:cstheme="minorHAnsi"/>
                <w:sz w:val="20"/>
                <w:szCs w:val="20"/>
                <w:lang w:val="en-US"/>
              </w:rPr>
              <w:t xml:space="preserve">Not </w:t>
            </w:r>
            <w:r w:rsidR="00780A4A">
              <w:rPr>
                <w:rFonts w:cstheme="minorHAnsi"/>
                <w:sz w:val="20"/>
                <w:szCs w:val="20"/>
                <w:lang w:val="en-US"/>
              </w:rPr>
              <w:t xml:space="preserve">an </w:t>
            </w:r>
            <w:r w:rsidR="00E458C5" w:rsidRPr="004402EC">
              <w:rPr>
                <w:rFonts w:cstheme="minorHAnsi"/>
                <w:sz w:val="20"/>
                <w:szCs w:val="20"/>
                <w:lang w:val="en-US"/>
              </w:rPr>
              <w:t>RCT</w:t>
            </w:r>
          </w:p>
        </w:tc>
      </w:tr>
      <w:tr w:rsidR="00E458C5" w:rsidRPr="004402EC" w14:paraId="08C7BF67" w14:textId="77777777" w:rsidTr="00E458C5">
        <w:tc>
          <w:tcPr>
            <w:tcW w:w="6232" w:type="dxa"/>
          </w:tcPr>
          <w:p w14:paraId="384CDAFA" w14:textId="1F3C260E" w:rsidR="00E458C5" w:rsidRPr="004402EC" w:rsidRDefault="00E458C5" w:rsidP="00E458C5">
            <w:pPr>
              <w:rPr>
                <w:rFonts w:cstheme="minorHAnsi"/>
                <w:sz w:val="20"/>
                <w:szCs w:val="20"/>
                <w:lang w:val="en-US"/>
              </w:rPr>
            </w:pPr>
            <w:r w:rsidRPr="004402EC">
              <w:rPr>
                <w:rFonts w:cstheme="minorHAnsi"/>
                <w:sz w:val="20"/>
                <w:szCs w:val="20"/>
                <w:lang w:val="en-US"/>
              </w:rPr>
              <w:t xml:space="preserve">61.  Hollanda L, Monteiro L, Melo A. Botulinum toxin type </w:t>
            </w:r>
            <w:r w:rsidR="002F62D0">
              <w:rPr>
                <w:rFonts w:cstheme="minorHAnsi"/>
                <w:sz w:val="20"/>
                <w:szCs w:val="20"/>
                <w:lang w:val="en-US"/>
              </w:rPr>
              <w:t>A</w:t>
            </w:r>
            <w:r w:rsidRPr="004402EC">
              <w:rPr>
                <w:rFonts w:cstheme="minorHAnsi"/>
                <w:sz w:val="20"/>
                <w:szCs w:val="20"/>
                <w:lang w:val="en-US"/>
              </w:rPr>
              <w:t xml:space="preserve"> for cephalic cutaneous allodynia in chronic migraine: a randomized, double-blinded, placebo-controlled trial. Neurology International. 2014 Dec 5;6(4):5133.</w:t>
            </w:r>
          </w:p>
        </w:tc>
        <w:tc>
          <w:tcPr>
            <w:tcW w:w="2784" w:type="dxa"/>
          </w:tcPr>
          <w:p w14:paraId="77796FED" w14:textId="042943EF" w:rsidR="00E458C5" w:rsidRPr="004402EC" w:rsidRDefault="00E458C5" w:rsidP="00E458C5">
            <w:pPr>
              <w:rPr>
                <w:rFonts w:cstheme="minorHAnsi"/>
                <w:sz w:val="20"/>
                <w:szCs w:val="20"/>
                <w:lang w:val="en-US"/>
              </w:rPr>
            </w:pPr>
            <w:r w:rsidRPr="004402EC">
              <w:rPr>
                <w:rFonts w:cstheme="minorHAnsi"/>
                <w:sz w:val="20"/>
                <w:szCs w:val="20"/>
                <w:lang w:val="en-US"/>
              </w:rPr>
              <w:t>Assesses cutaneous allodynia rather than headache improvement</w:t>
            </w:r>
          </w:p>
        </w:tc>
      </w:tr>
      <w:tr w:rsidR="00E458C5" w:rsidRPr="004402EC" w14:paraId="48F327C9" w14:textId="77777777" w:rsidTr="00E458C5">
        <w:tc>
          <w:tcPr>
            <w:tcW w:w="6232" w:type="dxa"/>
          </w:tcPr>
          <w:p w14:paraId="16A7A793" w14:textId="595CD437" w:rsidR="00E458C5" w:rsidRPr="004402EC" w:rsidRDefault="00E458C5" w:rsidP="00E458C5">
            <w:pPr>
              <w:rPr>
                <w:rFonts w:cstheme="minorHAnsi"/>
                <w:sz w:val="20"/>
                <w:szCs w:val="20"/>
                <w:lang w:val="en-US"/>
              </w:rPr>
            </w:pPr>
            <w:r w:rsidRPr="004402EC">
              <w:rPr>
                <w:rFonts w:cstheme="minorHAnsi"/>
                <w:sz w:val="20"/>
                <w:szCs w:val="20"/>
                <w:lang w:val="en-US"/>
              </w:rPr>
              <w:t xml:space="preserve">62. Hou M, Xie JF, Kong XP, Zhang Y, Shao YF, Wang C, Ren WT, Cui GF, Xin L, Hou YP. Acupoint injection of </w:t>
            </w:r>
            <w:r w:rsidR="00780A4A">
              <w:rPr>
                <w:rFonts w:cstheme="minorHAnsi"/>
                <w:sz w:val="20"/>
                <w:szCs w:val="20"/>
                <w:lang w:val="en-US"/>
              </w:rPr>
              <w:t>O</w:t>
            </w:r>
            <w:r w:rsidRPr="004402EC">
              <w:rPr>
                <w:rFonts w:cstheme="minorHAnsi"/>
                <w:sz w:val="20"/>
                <w:szCs w:val="20"/>
                <w:lang w:val="en-US"/>
              </w:rPr>
              <w:t>nabotulinumtoxin A for migraines. Toxins. 2015 Oct 30;7(11):4442-54.</w:t>
            </w:r>
          </w:p>
        </w:tc>
        <w:tc>
          <w:tcPr>
            <w:tcW w:w="2784" w:type="dxa"/>
          </w:tcPr>
          <w:p w14:paraId="38D470AB" w14:textId="66FEECB6" w:rsidR="00E458C5" w:rsidRPr="004402EC" w:rsidRDefault="00E458C5" w:rsidP="00E458C5">
            <w:pPr>
              <w:rPr>
                <w:rFonts w:cstheme="minorHAnsi"/>
                <w:sz w:val="20"/>
                <w:szCs w:val="20"/>
                <w:lang w:val="en-US"/>
              </w:rPr>
            </w:pPr>
            <w:r w:rsidRPr="004402EC">
              <w:rPr>
                <w:rFonts w:cstheme="minorHAnsi"/>
                <w:sz w:val="20"/>
                <w:szCs w:val="20"/>
                <w:lang w:val="en-US"/>
              </w:rPr>
              <w:t>Small sample size of episodic migraine</w:t>
            </w:r>
          </w:p>
        </w:tc>
      </w:tr>
      <w:tr w:rsidR="00E458C5" w:rsidRPr="004402EC" w14:paraId="40E8E19C" w14:textId="77777777" w:rsidTr="00E458C5">
        <w:tc>
          <w:tcPr>
            <w:tcW w:w="6232" w:type="dxa"/>
          </w:tcPr>
          <w:p w14:paraId="79D22785" w14:textId="5CCBF714" w:rsidR="00E458C5" w:rsidRPr="004402EC" w:rsidRDefault="00E458C5" w:rsidP="00E458C5">
            <w:pPr>
              <w:rPr>
                <w:rFonts w:cstheme="minorHAnsi"/>
                <w:sz w:val="20"/>
                <w:szCs w:val="20"/>
                <w:lang w:val="en-US"/>
              </w:rPr>
            </w:pPr>
            <w:r w:rsidRPr="004402EC">
              <w:rPr>
                <w:rFonts w:cstheme="minorHAnsi"/>
                <w:sz w:val="20"/>
                <w:szCs w:val="20"/>
                <w:lang w:val="en-US"/>
              </w:rPr>
              <w:t>63.  Mehvari J, Rafieian-Kopaei M. Prophylactic activity of cyproheptadine and Bellergal on migraine headache. Iranian Journal of Medical Sciences. 2005 Jun 1;30(2).</w:t>
            </w:r>
          </w:p>
        </w:tc>
        <w:tc>
          <w:tcPr>
            <w:tcW w:w="2784" w:type="dxa"/>
          </w:tcPr>
          <w:p w14:paraId="0E4324D6" w14:textId="17D2A8DD" w:rsidR="00E458C5" w:rsidRPr="004402EC" w:rsidRDefault="00E458C5" w:rsidP="00E458C5">
            <w:pPr>
              <w:rPr>
                <w:rFonts w:cstheme="minorHAnsi"/>
                <w:sz w:val="20"/>
                <w:szCs w:val="20"/>
                <w:lang w:val="en-US"/>
              </w:rPr>
            </w:pPr>
            <w:r w:rsidRPr="004402EC">
              <w:rPr>
                <w:rFonts w:cstheme="minorHAnsi"/>
                <w:sz w:val="20"/>
                <w:szCs w:val="20"/>
                <w:lang w:val="en-US"/>
              </w:rPr>
              <w:t>Small sample size of episodic migraine</w:t>
            </w:r>
          </w:p>
        </w:tc>
      </w:tr>
      <w:tr w:rsidR="00E458C5" w:rsidRPr="004402EC" w14:paraId="7D3F735E" w14:textId="77777777" w:rsidTr="00E458C5">
        <w:tc>
          <w:tcPr>
            <w:tcW w:w="6232" w:type="dxa"/>
          </w:tcPr>
          <w:p w14:paraId="1EF85068" w14:textId="07A4DDA9" w:rsidR="00E458C5" w:rsidRPr="004402EC" w:rsidRDefault="00E458C5" w:rsidP="00E458C5">
            <w:pPr>
              <w:rPr>
                <w:rFonts w:cstheme="minorHAnsi"/>
                <w:sz w:val="20"/>
                <w:szCs w:val="20"/>
                <w:lang w:val="en-US"/>
              </w:rPr>
            </w:pPr>
            <w:r w:rsidRPr="004402EC">
              <w:rPr>
                <w:rFonts w:cstheme="minorHAnsi"/>
                <w:sz w:val="20"/>
                <w:szCs w:val="20"/>
                <w:lang w:val="en-US"/>
              </w:rPr>
              <w:t>64.  Song JH, Zhang GB, Ding XD, Huang L, Hong Y, Chen HX. Efficacy of type a botulinum toxin injections and infrared polarized light on treating chronic migraine. Eur Rev Med Pharmacol Sci. 2015 Jan 1;19(11):1976-82.</w:t>
            </w:r>
          </w:p>
        </w:tc>
        <w:tc>
          <w:tcPr>
            <w:tcW w:w="2784" w:type="dxa"/>
          </w:tcPr>
          <w:p w14:paraId="373166BF" w14:textId="3006F9A2" w:rsidR="00E458C5" w:rsidRPr="004402EC" w:rsidRDefault="00357B33" w:rsidP="00E458C5">
            <w:pPr>
              <w:rPr>
                <w:rFonts w:cstheme="minorHAnsi"/>
                <w:sz w:val="20"/>
                <w:szCs w:val="20"/>
                <w:lang w:val="en-US"/>
              </w:rPr>
            </w:pPr>
            <w:r w:rsidRPr="004402EC">
              <w:rPr>
                <w:rFonts w:cstheme="minorHAnsi"/>
                <w:sz w:val="20"/>
                <w:szCs w:val="20"/>
                <w:lang w:val="en-US"/>
              </w:rPr>
              <w:t>Small sample size of chronic migraine</w:t>
            </w:r>
            <w:r w:rsidR="00C036BC" w:rsidRPr="004402EC">
              <w:rPr>
                <w:rFonts w:cstheme="minorHAnsi"/>
                <w:sz w:val="20"/>
                <w:szCs w:val="20"/>
                <w:lang w:val="en-US"/>
              </w:rPr>
              <w:t xml:space="preserve">. </w:t>
            </w:r>
            <w:r w:rsidR="00C036BC" w:rsidRPr="004402EC">
              <w:rPr>
                <w:rStyle w:val="cf01"/>
              </w:rPr>
              <w:t>Infrared polarised light not a UK treatment</w:t>
            </w:r>
          </w:p>
        </w:tc>
      </w:tr>
      <w:tr w:rsidR="00E458C5" w:rsidRPr="004402EC" w14:paraId="2D57CBB3" w14:textId="77777777" w:rsidTr="00E458C5">
        <w:tc>
          <w:tcPr>
            <w:tcW w:w="6232" w:type="dxa"/>
          </w:tcPr>
          <w:p w14:paraId="2CE209DF" w14:textId="38D3004B" w:rsidR="00E458C5" w:rsidRPr="004402EC" w:rsidRDefault="00E458C5" w:rsidP="00E458C5">
            <w:pPr>
              <w:rPr>
                <w:rFonts w:cstheme="minorHAnsi"/>
                <w:sz w:val="20"/>
                <w:szCs w:val="20"/>
                <w:lang w:val="en-US"/>
              </w:rPr>
            </w:pPr>
            <w:r w:rsidRPr="004402EC">
              <w:rPr>
                <w:rFonts w:cstheme="minorHAnsi"/>
                <w:sz w:val="20"/>
                <w:szCs w:val="20"/>
                <w:lang w:val="en-US"/>
              </w:rPr>
              <w:t>65.  Gomersall JD, Stuart A. Amitriptyline in migraine prophylaxis: changes in pattern of attacks during a controlled clinical trial. Journal of Neurology, Neurosurgery &amp; Psychiatry. 1973 Aug 1;36(4):684-90.</w:t>
            </w:r>
          </w:p>
        </w:tc>
        <w:tc>
          <w:tcPr>
            <w:tcW w:w="2784" w:type="dxa"/>
          </w:tcPr>
          <w:p w14:paraId="76A18427" w14:textId="11BF1EF5" w:rsidR="00E458C5" w:rsidRPr="004402EC" w:rsidRDefault="00E458C5" w:rsidP="00E458C5">
            <w:pPr>
              <w:rPr>
                <w:rFonts w:cstheme="minorHAnsi"/>
                <w:sz w:val="20"/>
                <w:szCs w:val="20"/>
                <w:lang w:val="en-US"/>
              </w:rPr>
            </w:pPr>
            <w:r w:rsidRPr="004402EC">
              <w:rPr>
                <w:rFonts w:cstheme="minorHAnsi"/>
                <w:sz w:val="20"/>
                <w:szCs w:val="20"/>
                <w:lang w:val="en-US"/>
              </w:rPr>
              <w:t>Small sample size of episodic migraine</w:t>
            </w:r>
          </w:p>
        </w:tc>
      </w:tr>
      <w:tr w:rsidR="00E458C5" w:rsidRPr="004402EC" w14:paraId="5AF54188" w14:textId="77777777" w:rsidTr="00E458C5">
        <w:tc>
          <w:tcPr>
            <w:tcW w:w="6232" w:type="dxa"/>
          </w:tcPr>
          <w:p w14:paraId="75B97369" w14:textId="730D772E" w:rsidR="00E458C5" w:rsidRPr="004402EC" w:rsidRDefault="00E458C5" w:rsidP="00E458C5">
            <w:pPr>
              <w:rPr>
                <w:rFonts w:cstheme="minorHAnsi"/>
                <w:sz w:val="20"/>
                <w:szCs w:val="20"/>
                <w:lang w:val="en-US"/>
              </w:rPr>
            </w:pPr>
            <w:r w:rsidRPr="004402EC">
              <w:rPr>
                <w:rFonts w:cstheme="minorHAnsi"/>
                <w:sz w:val="20"/>
                <w:szCs w:val="20"/>
                <w:lang w:val="en-US"/>
              </w:rPr>
              <w:t xml:space="preserve">66.  Jedynak J, Eross E, Gendolla A, Rettiganti M, Stauffer VL. Shift from high-frequency to low-frequency episodic migraine in patients treated with </w:t>
            </w:r>
            <w:r w:rsidR="00780A4A">
              <w:rPr>
                <w:rFonts w:cstheme="minorHAnsi"/>
                <w:sz w:val="20"/>
                <w:szCs w:val="20"/>
                <w:lang w:val="en-US"/>
              </w:rPr>
              <w:t>G</w:t>
            </w:r>
            <w:r w:rsidRPr="004402EC">
              <w:rPr>
                <w:rFonts w:cstheme="minorHAnsi"/>
                <w:sz w:val="20"/>
                <w:szCs w:val="20"/>
                <w:lang w:val="en-US"/>
              </w:rPr>
              <w:t>alcanezumab: results from two global randomized clinical trials. The Journal of Headache and Pain. 2021 Dec;22(1):1-0.</w:t>
            </w:r>
          </w:p>
        </w:tc>
        <w:tc>
          <w:tcPr>
            <w:tcW w:w="2784" w:type="dxa"/>
          </w:tcPr>
          <w:p w14:paraId="668D6F57" w14:textId="3B3459AB" w:rsidR="00E458C5" w:rsidRPr="004402EC" w:rsidRDefault="00E458C5" w:rsidP="00E458C5">
            <w:pPr>
              <w:rPr>
                <w:rFonts w:cstheme="minorHAnsi"/>
                <w:sz w:val="20"/>
                <w:szCs w:val="20"/>
                <w:lang w:val="en-US"/>
              </w:rPr>
            </w:pPr>
            <w:r w:rsidRPr="004402EC">
              <w:rPr>
                <w:rFonts w:cstheme="minorHAnsi"/>
                <w:sz w:val="20"/>
                <w:szCs w:val="20"/>
                <w:lang w:val="en-US"/>
              </w:rPr>
              <w:t>No report of Adverse Events</w:t>
            </w:r>
          </w:p>
        </w:tc>
      </w:tr>
      <w:tr w:rsidR="00E458C5" w:rsidRPr="004402EC" w14:paraId="74F5C2B2" w14:textId="77777777" w:rsidTr="00E458C5">
        <w:tc>
          <w:tcPr>
            <w:tcW w:w="6232" w:type="dxa"/>
          </w:tcPr>
          <w:p w14:paraId="4F94B9D6" w14:textId="618CB6A8" w:rsidR="00E458C5" w:rsidRPr="004402EC" w:rsidRDefault="00E458C5" w:rsidP="00E458C5">
            <w:pPr>
              <w:rPr>
                <w:rFonts w:cstheme="minorHAnsi"/>
                <w:sz w:val="20"/>
                <w:szCs w:val="20"/>
                <w:lang w:val="en-US"/>
              </w:rPr>
            </w:pPr>
            <w:r w:rsidRPr="004402EC">
              <w:rPr>
                <w:rFonts w:cstheme="minorHAnsi"/>
                <w:sz w:val="20"/>
                <w:szCs w:val="20"/>
                <w:lang w:val="en-US"/>
              </w:rPr>
              <w:t>67.  Grotemeyer KH, Schlake HP, Husstedt IW. Etilefrine Pivalate vs. Dihydroergotamin and Flunarizin</w:t>
            </w:r>
            <w:r w:rsidR="002F62D0">
              <w:rPr>
                <w:rFonts w:cstheme="minorHAnsi"/>
                <w:sz w:val="20"/>
                <w:szCs w:val="20"/>
                <w:lang w:val="en-US"/>
              </w:rPr>
              <w:t>e</w:t>
            </w:r>
            <w:r w:rsidRPr="004402EC">
              <w:rPr>
                <w:rFonts w:cstheme="minorHAnsi"/>
                <w:sz w:val="20"/>
                <w:szCs w:val="20"/>
                <w:lang w:val="en-US"/>
              </w:rPr>
              <w:t xml:space="preserve"> in Prophylactic Treatment of Migraine in Patients with Low Blood Pressure—A Randomized Double-Blind-Study. Cephalalgia. 1989 Oct;9(10_suppl):433-4.</w:t>
            </w:r>
          </w:p>
        </w:tc>
        <w:tc>
          <w:tcPr>
            <w:tcW w:w="2784" w:type="dxa"/>
          </w:tcPr>
          <w:p w14:paraId="17AA2262" w14:textId="355E1725" w:rsidR="00E458C5" w:rsidRPr="004402EC" w:rsidRDefault="00E458C5" w:rsidP="00E458C5">
            <w:pPr>
              <w:rPr>
                <w:rFonts w:cstheme="minorHAnsi"/>
                <w:sz w:val="20"/>
                <w:szCs w:val="20"/>
                <w:lang w:val="en-US"/>
              </w:rPr>
            </w:pPr>
            <w:r w:rsidRPr="004402EC">
              <w:rPr>
                <w:rFonts w:cstheme="minorHAnsi"/>
                <w:sz w:val="20"/>
                <w:szCs w:val="20"/>
                <w:lang w:val="en-US"/>
              </w:rPr>
              <w:t>Small sample size of episodic migraine</w:t>
            </w:r>
          </w:p>
        </w:tc>
      </w:tr>
      <w:tr w:rsidR="00E458C5" w:rsidRPr="004402EC" w14:paraId="6C909AB4" w14:textId="77777777" w:rsidTr="00E458C5">
        <w:tc>
          <w:tcPr>
            <w:tcW w:w="6232" w:type="dxa"/>
          </w:tcPr>
          <w:p w14:paraId="598BEC11" w14:textId="75AAC154" w:rsidR="00E458C5" w:rsidRPr="004402EC" w:rsidRDefault="00E458C5" w:rsidP="00E458C5">
            <w:pPr>
              <w:rPr>
                <w:rFonts w:cstheme="minorHAnsi"/>
                <w:sz w:val="20"/>
                <w:szCs w:val="20"/>
                <w:lang w:val="en-US"/>
              </w:rPr>
            </w:pPr>
            <w:r w:rsidRPr="004402EC">
              <w:rPr>
                <w:rFonts w:cstheme="minorHAnsi"/>
                <w:sz w:val="20"/>
                <w:szCs w:val="20"/>
                <w:lang w:val="en-US"/>
              </w:rPr>
              <w:t>68.  Welch KM. 11: Naproxen Sodium in the Treatment of Migraine. Cephalalgia. 1986 Apr;6(4_suppl):85-92.</w:t>
            </w:r>
          </w:p>
        </w:tc>
        <w:tc>
          <w:tcPr>
            <w:tcW w:w="2784" w:type="dxa"/>
          </w:tcPr>
          <w:p w14:paraId="67EC3A97" w14:textId="32C79A05" w:rsidR="00E458C5" w:rsidRPr="004402EC" w:rsidRDefault="00E458C5" w:rsidP="00E458C5">
            <w:pPr>
              <w:rPr>
                <w:rFonts w:cstheme="minorHAnsi"/>
                <w:sz w:val="20"/>
                <w:szCs w:val="20"/>
                <w:lang w:val="en-US"/>
              </w:rPr>
            </w:pPr>
            <w:r w:rsidRPr="004402EC">
              <w:rPr>
                <w:rFonts w:cstheme="minorHAnsi"/>
                <w:sz w:val="20"/>
                <w:szCs w:val="20"/>
                <w:lang w:val="en-US"/>
              </w:rPr>
              <w:t>Small sample size of episodic migraine</w:t>
            </w:r>
          </w:p>
        </w:tc>
      </w:tr>
      <w:tr w:rsidR="00E458C5" w:rsidRPr="004402EC" w14:paraId="42EE95CC" w14:textId="77777777" w:rsidTr="00E458C5">
        <w:tc>
          <w:tcPr>
            <w:tcW w:w="6232" w:type="dxa"/>
          </w:tcPr>
          <w:p w14:paraId="1A6280DF" w14:textId="71706B34" w:rsidR="00E458C5" w:rsidRPr="004402EC" w:rsidRDefault="00E458C5" w:rsidP="00E458C5">
            <w:pPr>
              <w:rPr>
                <w:rFonts w:cstheme="minorHAnsi"/>
                <w:sz w:val="20"/>
                <w:szCs w:val="20"/>
                <w:lang w:val="en-US"/>
              </w:rPr>
            </w:pPr>
            <w:r w:rsidRPr="004402EC">
              <w:rPr>
                <w:rFonts w:cstheme="minorHAnsi"/>
                <w:sz w:val="20"/>
                <w:szCs w:val="20"/>
                <w:lang w:val="en-US"/>
              </w:rPr>
              <w:t xml:space="preserve">69.  Kuruppu DK, Tobin J, Dong Y, Aurora SK, Yunes-Medina L, Green AL. Efficacy of </w:t>
            </w:r>
            <w:r w:rsidR="00780A4A" w:rsidRPr="004402EC">
              <w:rPr>
                <w:rFonts w:cstheme="minorHAnsi"/>
                <w:sz w:val="20"/>
                <w:szCs w:val="20"/>
                <w:lang w:val="en-US"/>
              </w:rPr>
              <w:t>Galcanezumab</w:t>
            </w:r>
            <w:r w:rsidRPr="004402EC">
              <w:rPr>
                <w:rFonts w:cstheme="minorHAnsi"/>
                <w:sz w:val="20"/>
                <w:szCs w:val="20"/>
                <w:lang w:val="en-US"/>
              </w:rPr>
              <w:t xml:space="preserve"> in patients with migraine who did not benefit from commonly prescribed preventive treatments. BMC neurology. 2021 Dec;21(1):1-9.</w:t>
            </w:r>
          </w:p>
        </w:tc>
        <w:tc>
          <w:tcPr>
            <w:tcW w:w="2784" w:type="dxa"/>
          </w:tcPr>
          <w:p w14:paraId="4FF69CEA" w14:textId="123F9FD9" w:rsidR="00E458C5" w:rsidRPr="004402EC" w:rsidRDefault="00E458C5" w:rsidP="00E458C5">
            <w:pPr>
              <w:rPr>
                <w:rFonts w:cstheme="minorHAnsi"/>
                <w:sz w:val="20"/>
                <w:szCs w:val="20"/>
                <w:lang w:val="en-US"/>
              </w:rPr>
            </w:pPr>
            <w:r w:rsidRPr="004402EC">
              <w:rPr>
                <w:rFonts w:cstheme="minorHAnsi"/>
                <w:sz w:val="20"/>
                <w:szCs w:val="20"/>
                <w:lang w:val="en-US"/>
              </w:rPr>
              <w:t>No report of Adverse Events</w:t>
            </w:r>
          </w:p>
        </w:tc>
      </w:tr>
      <w:tr w:rsidR="00E458C5" w:rsidRPr="004402EC" w14:paraId="35EB4F36" w14:textId="77777777" w:rsidTr="00E458C5">
        <w:tc>
          <w:tcPr>
            <w:tcW w:w="6232" w:type="dxa"/>
          </w:tcPr>
          <w:p w14:paraId="5D5E5300" w14:textId="2DE408A5" w:rsidR="00E458C5" w:rsidRPr="004402EC" w:rsidRDefault="00E458C5" w:rsidP="00E458C5">
            <w:pPr>
              <w:rPr>
                <w:rFonts w:cstheme="minorHAnsi"/>
                <w:sz w:val="20"/>
                <w:szCs w:val="20"/>
                <w:lang w:val="en-US"/>
              </w:rPr>
            </w:pPr>
            <w:r w:rsidRPr="004402EC">
              <w:rPr>
                <w:rFonts w:cstheme="minorHAnsi"/>
                <w:sz w:val="20"/>
                <w:szCs w:val="20"/>
                <w:lang w:val="en-US"/>
              </w:rPr>
              <w:t>70.  Lai KL, Niddam DM, Fuh JL, Chen SP, Wang YF, Chen WT, Wu JC, Wang SJ. Flunarizine versus topiramate for chronic migraine prophylaxis: a randomized trial. Acta Neurologica Scandinavica. 2017 Apr;135(4):476-83.</w:t>
            </w:r>
          </w:p>
        </w:tc>
        <w:tc>
          <w:tcPr>
            <w:tcW w:w="2784" w:type="dxa"/>
          </w:tcPr>
          <w:p w14:paraId="06A2FDB2" w14:textId="6EB95480" w:rsidR="00E458C5" w:rsidRPr="004402EC" w:rsidRDefault="00E458C5" w:rsidP="00E458C5">
            <w:pPr>
              <w:rPr>
                <w:rFonts w:cstheme="minorHAnsi"/>
                <w:sz w:val="20"/>
                <w:szCs w:val="20"/>
                <w:lang w:val="en-US"/>
              </w:rPr>
            </w:pPr>
            <w:r w:rsidRPr="004402EC">
              <w:rPr>
                <w:rFonts w:cstheme="minorHAnsi"/>
                <w:sz w:val="20"/>
                <w:szCs w:val="20"/>
                <w:lang w:val="en-US"/>
              </w:rPr>
              <w:t>Small sample size</w:t>
            </w:r>
            <w:r w:rsidR="00357B33" w:rsidRPr="004402EC">
              <w:rPr>
                <w:rFonts w:cstheme="minorHAnsi"/>
                <w:sz w:val="20"/>
                <w:szCs w:val="20"/>
                <w:lang w:val="en-US"/>
              </w:rPr>
              <w:t xml:space="preserve"> of chronic migraine</w:t>
            </w:r>
          </w:p>
        </w:tc>
      </w:tr>
      <w:tr w:rsidR="00E458C5" w:rsidRPr="004402EC" w14:paraId="54B846C1" w14:textId="77777777" w:rsidTr="00E458C5">
        <w:tc>
          <w:tcPr>
            <w:tcW w:w="6232" w:type="dxa"/>
          </w:tcPr>
          <w:p w14:paraId="38BB29BA" w14:textId="6644D170" w:rsidR="00E458C5" w:rsidRPr="004402EC" w:rsidRDefault="00E458C5" w:rsidP="00E458C5">
            <w:pPr>
              <w:rPr>
                <w:rFonts w:cstheme="minorHAnsi"/>
                <w:sz w:val="20"/>
                <w:szCs w:val="20"/>
                <w:lang w:val="en-US"/>
              </w:rPr>
            </w:pPr>
            <w:r w:rsidRPr="004402EC">
              <w:rPr>
                <w:rFonts w:cstheme="minorHAnsi"/>
                <w:sz w:val="20"/>
                <w:szCs w:val="20"/>
                <w:lang w:val="en-US"/>
              </w:rPr>
              <w:t>71.  Landy S, McGinnis J, Curlin D, Laizure SC. Selective serotonin reuptake inhibitors for migraine prophylaxis. Headache: The Journal of Head and Face Pain. 1999 Jan;39(1):28-32.</w:t>
            </w:r>
          </w:p>
        </w:tc>
        <w:tc>
          <w:tcPr>
            <w:tcW w:w="2784" w:type="dxa"/>
          </w:tcPr>
          <w:p w14:paraId="7F3CA5F9" w14:textId="7923A03B" w:rsidR="00E458C5" w:rsidRPr="004402EC" w:rsidRDefault="00E458C5" w:rsidP="00E458C5">
            <w:pPr>
              <w:rPr>
                <w:rFonts w:cstheme="minorHAnsi"/>
                <w:sz w:val="20"/>
                <w:szCs w:val="20"/>
                <w:lang w:val="en-US"/>
              </w:rPr>
            </w:pPr>
            <w:r w:rsidRPr="004402EC">
              <w:rPr>
                <w:rFonts w:cstheme="minorHAnsi"/>
                <w:sz w:val="20"/>
                <w:szCs w:val="20"/>
                <w:lang w:val="en-US"/>
              </w:rPr>
              <w:t>Small sample size of episodic migraine</w:t>
            </w:r>
          </w:p>
        </w:tc>
      </w:tr>
      <w:tr w:rsidR="00E458C5" w:rsidRPr="004402EC" w14:paraId="67D45756" w14:textId="77777777" w:rsidTr="00E458C5">
        <w:tc>
          <w:tcPr>
            <w:tcW w:w="6232" w:type="dxa"/>
          </w:tcPr>
          <w:p w14:paraId="49E94394" w14:textId="66C702E0" w:rsidR="00E458C5" w:rsidRPr="004402EC" w:rsidRDefault="00E458C5" w:rsidP="00E458C5">
            <w:pPr>
              <w:rPr>
                <w:rFonts w:cstheme="minorHAnsi"/>
                <w:sz w:val="20"/>
                <w:szCs w:val="20"/>
                <w:lang w:val="en-US"/>
              </w:rPr>
            </w:pPr>
            <w:r w:rsidRPr="004402EC">
              <w:rPr>
                <w:rFonts w:cstheme="minorHAnsi"/>
                <w:sz w:val="20"/>
                <w:szCs w:val="20"/>
                <w:lang w:val="en-US"/>
              </w:rPr>
              <w:t>72.  Lepcha A, Amalanathan S, Augustine AM, Tyagi AK, Balraj A. Flunarizine in the prophylaxis of migrainous vertigo: a randomized controlled trial. European Archives of Oto-Rhino-Laryngology. 2014 Nov;271(11):2931-6.</w:t>
            </w:r>
          </w:p>
        </w:tc>
        <w:tc>
          <w:tcPr>
            <w:tcW w:w="2784" w:type="dxa"/>
          </w:tcPr>
          <w:p w14:paraId="14D26E0B" w14:textId="7BC6268F" w:rsidR="00E458C5" w:rsidRPr="004402EC" w:rsidRDefault="00E458C5" w:rsidP="00E458C5">
            <w:pPr>
              <w:rPr>
                <w:rFonts w:cstheme="minorHAnsi"/>
                <w:sz w:val="20"/>
                <w:szCs w:val="20"/>
                <w:lang w:val="en-US"/>
              </w:rPr>
            </w:pPr>
            <w:r w:rsidRPr="004402EC">
              <w:rPr>
                <w:rFonts w:cstheme="minorHAnsi"/>
                <w:sz w:val="20"/>
                <w:szCs w:val="20"/>
                <w:lang w:val="en-US"/>
              </w:rPr>
              <w:t>Vertigo migraine</w:t>
            </w:r>
          </w:p>
        </w:tc>
      </w:tr>
      <w:tr w:rsidR="00E458C5" w:rsidRPr="004402EC" w14:paraId="5678B512" w14:textId="77777777" w:rsidTr="00E458C5">
        <w:tc>
          <w:tcPr>
            <w:tcW w:w="6232" w:type="dxa"/>
          </w:tcPr>
          <w:p w14:paraId="42713641" w14:textId="698AF480" w:rsidR="00E458C5" w:rsidRPr="004402EC" w:rsidRDefault="00E458C5" w:rsidP="00E458C5">
            <w:pPr>
              <w:rPr>
                <w:rFonts w:cstheme="minorHAnsi"/>
                <w:sz w:val="20"/>
                <w:szCs w:val="20"/>
                <w:lang w:val="en-US"/>
              </w:rPr>
            </w:pPr>
            <w:r w:rsidRPr="004402EC">
              <w:rPr>
                <w:rFonts w:cstheme="minorHAnsi"/>
                <w:sz w:val="20"/>
                <w:szCs w:val="20"/>
                <w:lang w:val="en-US"/>
              </w:rPr>
              <w:t xml:space="preserve">73.  Lipton RB, Cohen JM, Galic M, Seminerio MJ, Yeung PP, Aycardi E, Bigal ME, Bibeau K, Buse DC. Effects of </w:t>
            </w:r>
            <w:r w:rsidR="00780A4A">
              <w:rPr>
                <w:rFonts w:cstheme="minorHAnsi"/>
                <w:sz w:val="20"/>
                <w:szCs w:val="20"/>
                <w:lang w:val="en-US"/>
              </w:rPr>
              <w:t>F</w:t>
            </w:r>
            <w:r w:rsidRPr="004402EC">
              <w:rPr>
                <w:rFonts w:cstheme="minorHAnsi"/>
                <w:sz w:val="20"/>
                <w:szCs w:val="20"/>
                <w:lang w:val="en-US"/>
              </w:rPr>
              <w:t>remanezumab in patients with chronic migraine and comorbid depression: subgroup analysis of the randomized HALO CM study. Headache: The Journal of Head and Face Pain. 2021 Apr;61(4):662-72.</w:t>
            </w:r>
          </w:p>
        </w:tc>
        <w:tc>
          <w:tcPr>
            <w:tcW w:w="2784" w:type="dxa"/>
          </w:tcPr>
          <w:p w14:paraId="0C3B354E" w14:textId="65DDD216" w:rsidR="00E458C5" w:rsidRPr="004402EC" w:rsidRDefault="00E458C5" w:rsidP="00E458C5">
            <w:pPr>
              <w:rPr>
                <w:rFonts w:cstheme="minorHAnsi"/>
                <w:sz w:val="20"/>
                <w:szCs w:val="20"/>
                <w:lang w:val="en-US"/>
              </w:rPr>
            </w:pPr>
            <w:r w:rsidRPr="004402EC">
              <w:rPr>
                <w:rFonts w:cstheme="minorHAnsi"/>
                <w:sz w:val="20"/>
                <w:szCs w:val="20"/>
                <w:lang w:val="en-US"/>
              </w:rPr>
              <w:t>Content of this paper is out of scope</w:t>
            </w:r>
          </w:p>
        </w:tc>
      </w:tr>
      <w:tr w:rsidR="00E458C5" w:rsidRPr="004402EC" w14:paraId="14B0D40D" w14:textId="77777777" w:rsidTr="00E458C5">
        <w:tc>
          <w:tcPr>
            <w:tcW w:w="6232" w:type="dxa"/>
          </w:tcPr>
          <w:p w14:paraId="2A6AEFD0" w14:textId="09D19167" w:rsidR="00E458C5" w:rsidRPr="004402EC" w:rsidRDefault="00E458C5" w:rsidP="00E458C5">
            <w:pPr>
              <w:rPr>
                <w:rFonts w:cstheme="minorHAnsi"/>
                <w:sz w:val="20"/>
                <w:szCs w:val="20"/>
                <w:lang w:val="en-US"/>
              </w:rPr>
            </w:pPr>
            <w:r w:rsidRPr="004402EC">
              <w:rPr>
                <w:rFonts w:cstheme="minorHAnsi"/>
                <w:sz w:val="20"/>
                <w:szCs w:val="20"/>
                <w:lang w:val="en-US"/>
              </w:rPr>
              <w:t xml:space="preserve">74.  Loeb LM, Amorim RP, Mazzacoratti MD, Scorza FA, Peres MF. </w:t>
            </w:r>
            <w:r w:rsidRPr="004402EC">
              <w:rPr>
                <w:rFonts w:cstheme="minorHAnsi"/>
                <w:sz w:val="20"/>
                <w:szCs w:val="20"/>
                <w:lang w:val="en-US"/>
              </w:rPr>
              <w:lastRenderedPageBreak/>
              <w:t>Botulinum toxin A (BT-A) versus low-level laser therapy (LLLT) in chronic migraine treatment: a comparison. Arquivos de neuro-psiquiatria. 2018;76:663-7.</w:t>
            </w:r>
          </w:p>
        </w:tc>
        <w:tc>
          <w:tcPr>
            <w:tcW w:w="2784" w:type="dxa"/>
          </w:tcPr>
          <w:p w14:paraId="637EDB52" w14:textId="028F0BBF" w:rsidR="00E458C5" w:rsidRPr="004402EC" w:rsidRDefault="00885F7A" w:rsidP="00E458C5">
            <w:pPr>
              <w:rPr>
                <w:rFonts w:cstheme="minorHAnsi"/>
                <w:sz w:val="20"/>
                <w:szCs w:val="20"/>
                <w:lang w:val="en-US"/>
              </w:rPr>
            </w:pPr>
            <w:r w:rsidRPr="004402EC">
              <w:rPr>
                <w:rFonts w:cstheme="minorHAnsi"/>
                <w:sz w:val="20"/>
                <w:szCs w:val="20"/>
                <w:lang w:val="en-US"/>
              </w:rPr>
              <w:lastRenderedPageBreak/>
              <w:t xml:space="preserve">Small sample size of chronic </w:t>
            </w:r>
            <w:r w:rsidRPr="004402EC">
              <w:rPr>
                <w:rFonts w:cstheme="minorHAnsi"/>
                <w:sz w:val="20"/>
                <w:szCs w:val="20"/>
                <w:lang w:val="en-US"/>
              </w:rPr>
              <w:lastRenderedPageBreak/>
              <w:t>migraine</w:t>
            </w:r>
            <w:r w:rsidR="00C036BC" w:rsidRPr="004402EC">
              <w:rPr>
                <w:rFonts w:cstheme="minorHAnsi"/>
                <w:sz w:val="20"/>
                <w:szCs w:val="20"/>
                <w:lang w:val="en-US"/>
              </w:rPr>
              <w:t xml:space="preserve">. </w:t>
            </w:r>
            <w:r w:rsidR="00C036BC" w:rsidRPr="004402EC">
              <w:rPr>
                <w:rStyle w:val="cf01"/>
              </w:rPr>
              <w:t>Low level laser therapy not a UK treatment for migraine</w:t>
            </w:r>
          </w:p>
        </w:tc>
      </w:tr>
      <w:tr w:rsidR="00E458C5" w:rsidRPr="004402EC" w14:paraId="34B62054" w14:textId="77777777" w:rsidTr="00E458C5">
        <w:tc>
          <w:tcPr>
            <w:tcW w:w="6232" w:type="dxa"/>
          </w:tcPr>
          <w:p w14:paraId="4ED53B2E" w14:textId="3EF9EB21" w:rsidR="00E458C5" w:rsidRPr="004402EC" w:rsidRDefault="00E458C5" w:rsidP="00E458C5">
            <w:pPr>
              <w:rPr>
                <w:rFonts w:cstheme="minorHAnsi"/>
                <w:sz w:val="20"/>
                <w:szCs w:val="20"/>
                <w:lang w:val="en-US"/>
              </w:rPr>
            </w:pPr>
            <w:r w:rsidRPr="004402EC">
              <w:rPr>
                <w:rFonts w:cstheme="minorHAnsi"/>
                <w:sz w:val="20"/>
                <w:szCs w:val="20"/>
                <w:lang w:val="en-US"/>
              </w:rPr>
              <w:lastRenderedPageBreak/>
              <w:t>75.  Louis P, Spierings EL. Comparison of flunarizine (Sibelium®) and pizotifen (Sandomigran®) in migraine treatment: A double‐blind study. Cephalalgia. 1982 Dec 1;2(4):197-203.</w:t>
            </w:r>
          </w:p>
        </w:tc>
        <w:tc>
          <w:tcPr>
            <w:tcW w:w="2784" w:type="dxa"/>
          </w:tcPr>
          <w:p w14:paraId="654C21B6" w14:textId="14BE2D9A" w:rsidR="00E458C5" w:rsidRPr="004402EC" w:rsidRDefault="00E458C5" w:rsidP="00E458C5">
            <w:pPr>
              <w:rPr>
                <w:rFonts w:cstheme="minorHAnsi"/>
                <w:sz w:val="20"/>
                <w:szCs w:val="20"/>
                <w:lang w:val="en-US"/>
              </w:rPr>
            </w:pPr>
            <w:r w:rsidRPr="004402EC">
              <w:rPr>
                <w:rFonts w:cstheme="minorHAnsi"/>
                <w:sz w:val="20"/>
                <w:szCs w:val="20"/>
                <w:lang w:val="en-US"/>
              </w:rPr>
              <w:t>Small sample size of episodic migraine</w:t>
            </w:r>
          </w:p>
        </w:tc>
      </w:tr>
      <w:tr w:rsidR="00E458C5" w:rsidRPr="004402EC" w14:paraId="04BB527C" w14:textId="77777777" w:rsidTr="00E458C5">
        <w:tc>
          <w:tcPr>
            <w:tcW w:w="6232" w:type="dxa"/>
          </w:tcPr>
          <w:p w14:paraId="12B44D83" w14:textId="5EE833E7" w:rsidR="00E458C5" w:rsidRPr="004402EC" w:rsidRDefault="00E458C5" w:rsidP="00E458C5">
            <w:pPr>
              <w:rPr>
                <w:rFonts w:cstheme="minorHAnsi"/>
                <w:sz w:val="20"/>
                <w:szCs w:val="20"/>
                <w:lang w:val="en-US"/>
              </w:rPr>
            </w:pPr>
            <w:r w:rsidRPr="004402EC">
              <w:rPr>
                <w:rFonts w:cstheme="minorHAnsi"/>
                <w:sz w:val="20"/>
                <w:szCs w:val="20"/>
                <w:lang w:val="en-US"/>
              </w:rPr>
              <w:t>76.  Luo N, Di W, Zhang A, Wang Y, Ding M, Qi W, Zhu Y, Massing MW, Fang Y. A randomized, one-year clinical trial comparing the efficacy of topiramate, flunarizine, and a combination of flunarizine and topiramate in migraine prophylaxis. Pain Medicine. 2012 Jan 1;13(1):80-6.</w:t>
            </w:r>
          </w:p>
        </w:tc>
        <w:tc>
          <w:tcPr>
            <w:tcW w:w="2784" w:type="dxa"/>
          </w:tcPr>
          <w:p w14:paraId="2A0E6166" w14:textId="6C9CCBD2" w:rsidR="00E458C5" w:rsidRPr="004402EC" w:rsidRDefault="00E458C5" w:rsidP="00E458C5">
            <w:pPr>
              <w:rPr>
                <w:rFonts w:cstheme="minorHAnsi"/>
                <w:sz w:val="20"/>
                <w:szCs w:val="20"/>
                <w:lang w:val="en-US"/>
              </w:rPr>
            </w:pPr>
            <w:r w:rsidRPr="004402EC">
              <w:rPr>
                <w:rFonts w:cstheme="minorHAnsi"/>
                <w:sz w:val="20"/>
                <w:szCs w:val="20"/>
                <w:lang w:val="en-US"/>
              </w:rPr>
              <w:t>Small sample size</w:t>
            </w:r>
            <w:r w:rsidR="002D0F80" w:rsidRPr="004402EC">
              <w:rPr>
                <w:rFonts w:cstheme="minorHAnsi"/>
                <w:sz w:val="20"/>
                <w:szCs w:val="20"/>
                <w:lang w:val="en-US"/>
              </w:rPr>
              <w:t xml:space="preserve"> of chronic migraine</w:t>
            </w:r>
          </w:p>
        </w:tc>
      </w:tr>
      <w:tr w:rsidR="00E458C5" w:rsidRPr="004402EC" w14:paraId="0C651FC2" w14:textId="77777777" w:rsidTr="00E458C5">
        <w:tc>
          <w:tcPr>
            <w:tcW w:w="6232" w:type="dxa"/>
          </w:tcPr>
          <w:p w14:paraId="4823EEC7" w14:textId="061D493F" w:rsidR="00E458C5" w:rsidRPr="004402EC" w:rsidRDefault="00E458C5" w:rsidP="00E458C5">
            <w:pPr>
              <w:rPr>
                <w:rFonts w:cstheme="minorHAnsi"/>
                <w:sz w:val="20"/>
                <w:szCs w:val="20"/>
                <w:lang w:val="en-US"/>
              </w:rPr>
            </w:pPr>
            <w:r w:rsidRPr="004402EC">
              <w:rPr>
                <w:rFonts w:cstheme="minorHAnsi"/>
                <w:sz w:val="20"/>
                <w:szCs w:val="20"/>
                <w:lang w:val="en-US"/>
              </w:rPr>
              <w:t>77.  Siniatchkin M, Andrasik F, Kropp P, Niederberger U, Strenge H, Averkina N, Lindner V, Stephani U, Gerber WD. Central mechanisms of controlled-release metoprolol in migraine: a double-blind, placebo-controlled study. Cephalalgia. 2007 Sep;27(9):1024-32.</w:t>
            </w:r>
          </w:p>
        </w:tc>
        <w:tc>
          <w:tcPr>
            <w:tcW w:w="2784" w:type="dxa"/>
          </w:tcPr>
          <w:p w14:paraId="258C249B" w14:textId="4CD165B6" w:rsidR="00E458C5" w:rsidRPr="004402EC" w:rsidRDefault="00E458C5" w:rsidP="00E458C5">
            <w:pPr>
              <w:rPr>
                <w:rFonts w:cstheme="minorHAnsi"/>
                <w:sz w:val="20"/>
                <w:szCs w:val="20"/>
                <w:lang w:val="en-US"/>
              </w:rPr>
            </w:pPr>
            <w:r w:rsidRPr="004402EC">
              <w:rPr>
                <w:rFonts w:cstheme="minorHAnsi"/>
                <w:sz w:val="20"/>
                <w:szCs w:val="20"/>
                <w:lang w:val="en-US"/>
              </w:rPr>
              <w:t>Small sample size</w:t>
            </w:r>
            <w:r w:rsidR="002D0F80" w:rsidRPr="004402EC">
              <w:rPr>
                <w:rFonts w:cstheme="minorHAnsi"/>
                <w:sz w:val="20"/>
                <w:szCs w:val="20"/>
                <w:lang w:val="en-US"/>
              </w:rPr>
              <w:t xml:space="preserve"> of episodic migraine</w:t>
            </w:r>
          </w:p>
        </w:tc>
      </w:tr>
      <w:tr w:rsidR="00E458C5" w:rsidRPr="004402EC" w14:paraId="6394C2A9" w14:textId="77777777" w:rsidTr="00E458C5">
        <w:tc>
          <w:tcPr>
            <w:tcW w:w="6232" w:type="dxa"/>
          </w:tcPr>
          <w:p w14:paraId="09739DA3" w14:textId="1FBCF6D0" w:rsidR="00E458C5" w:rsidRPr="004402EC" w:rsidRDefault="00E458C5" w:rsidP="00E458C5">
            <w:pPr>
              <w:rPr>
                <w:rFonts w:cstheme="minorHAnsi"/>
                <w:sz w:val="20"/>
                <w:szCs w:val="20"/>
                <w:lang w:val="en-US"/>
              </w:rPr>
            </w:pPr>
            <w:r w:rsidRPr="004402EC">
              <w:rPr>
                <w:rFonts w:cstheme="minorHAnsi"/>
                <w:sz w:val="20"/>
                <w:szCs w:val="20"/>
                <w:lang w:val="en-US"/>
              </w:rPr>
              <w:t>78. Bigal ME, Dodick DW, Rapoport AM, Silberstein SD, Ma Y, Yang R, Loupe PS, Burstein R, Newman LC, Lipton RB. Safety, tolerability, and efficacy of TEV-48125 for preventive treatment of high-frequency episodic migraine: a multicentre, randomised, double-blind, placebo-controlled, phase 2b study. The Lancet Neurology. 2015 Nov 1;14(11):1081-90.</w:t>
            </w:r>
          </w:p>
        </w:tc>
        <w:tc>
          <w:tcPr>
            <w:tcW w:w="2784" w:type="dxa"/>
          </w:tcPr>
          <w:p w14:paraId="33732665" w14:textId="420AF394" w:rsidR="00E458C5" w:rsidRPr="004402EC" w:rsidRDefault="00357B33" w:rsidP="00E458C5">
            <w:pPr>
              <w:rPr>
                <w:rFonts w:cstheme="minorHAnsi"/>
                <w:sz w:val="20"/>
                <w:szCs w:val="20"/>
                <w:lang w:val="en-US"/>
              </w:rPr>
            </w:pPr>
            <w:r w:rsidRPr="004402EC">
              <w:rPr>
                <w:rFonts w:cstheme="minorHAnsi"/>
                <w:sz w:val="20"/>
                <w:szCs w:val="20"/>
                <w:lang w:val="en-US"/>
              </w:rPr>
              <w:t>Small sample size of episodic migraine</w:t>
            </w:r>
          </w:p>
        </w:tc>
      </w:tr>
      <w:tr w:rsidR="00E458C5" w:rsidRPr="004402EC" w14:paraId="5155E3E2" w14:textId="77777777" w:rsidTr="00E458C5">
        <w:tc>
          <w:tcPr>
            <w:tcW w:w="6232" w:type="dxa"/>
          </w:tcPr>
          <w:p w14:paraId="7A1A8AF6" w14:textId="0407A0F5" w:rsidR="00E458C5" w:rsidRPr="004402EC" w:rsidRDefault="00E458C5" w:rsidP="00E458C5">
            <w:pPr>
              <w:rPr>
                <w:rFonts w:cstheme="minorHAnsi"/>
                <w:sz w:val="20"/>
                <w:szCs w:val="20"/>
                <w:lang w:val="en-US"/>
              </w:rPr>
            </w:pPr>
            <w:r w:rsidRPr="004402EC">
              <w:rPr>
                <w:rFonts w:cstheme="minorHAnsi"/>
                <w:sz w:val="20"/>
                <w:szCs w:val="20"/>
                <w:lang w:val="en-US"/>
              </w:rPr>
              <w:t>79.  Simmonds MK, Rashiq S, Sobolev IA, Dick BD, Gray DP, Stewart BJ, Jamieson-Lega KI. The effect of single-dose propofol injection on pain and quality of life in chronic daily headache: a randomized, double-blind, controlled trial. Anesthesia &amp; Analgesia. 2009 Dec 1;109(6):1972-80.</w:t>
            </w:r>
          </w:p>
        </w:tc>
        <w:tc>
          <w:tcPr>
            <w:tcW w:w="2784" w:type="dxa"/>
          </w:tcPr>
          <w:p w14:paraId="675209FC" w14:textId="67B378CC" w:rsidR="00E458C5" w:rsidRPr="004402EC" w:rsidRDefault="00E458C5" w:rsidP="00E458C5">
            <w:pPr>
              <w:rPr>
                <w:rFonts w:cstheme="minorHAnsi"/>
                <w:sz w:val="20"/>
                <w:szCs w:val="20"/>
                <w:lang w:val="en-US"/>
              </w:rPr>
            </w:pPr>
            <w:r w:rsidRPr="004402EC">
              <w:rPr>
                <w:rFonts w:cstheme="minorHAnsi"/>
                <w:sz w:val="20"/>
                <w:szCs w:val="20"/>
                <w:lang w:val="en-US"/>
              </w:rPr>
              <w:t>Small sample size</w:t>
            </w:r>
            <w:r w:rsidR="00357B33" w:rsidRPr="004402EC">
              <w:rPr>
                <w:rFonts w:cstheme="minorHAnsi"/>
                <w:sz w:val="20"/>
                <w:szCs w:val="20"/>
                <w:lang w:val="en-US"/>
              </w:rPr>
              <w:t xml:space="preserve"> of </w:t>
            </w:r>
            <w:r w:rsidRPr="004402EC">
              <w:rPr>
                <w:rFonts w:cstheme="minorHAnsi"/>
                <w:sz w:val="20"/>
                <w:szCs w:val="20"/>
                <w:lang w:val="en-US"/>
              </w:rPr>
              <w:t>chronic daily headache</w:t>
            </w:r>
          </w:p>
        </w:tc>
      </w:tr>
      <w:tr w:rsidR="00E458C5" w:rsidRPr="004402EC" w14:paraId="666678C9" w14:textId="77777777" w:rsidTr="00E458C5">
        <w:tc>
          <w:tcPr>
            <w:tcW w:w="6232" w:type="dxa"/>
          </w:tcPr>
          <w:p w14:paraId="03474398" w14:textId="7F66A5C5" w:rsidR="00E458C5" w:rsidRPr="004402EC" w:rsidRDefault="00E458C5" w:rsidP="00E458C5">
            <w:pPr>
              <w:rPr>
                <w:rFonts w:cstheme="minorHAnsi"/>
                <w:sz w:val="20"/>
                <w:szCs w:val="20"/>
                <w:lang w:val="en-US"/>
              </w:rPr>
            </w:pPr>
            <w:r w:rsidRPr="004402EC">
              <w:rPr>
                <w:rFonts w:cstheme="minorHAnsi"/>
                <w:sz w:val="20"/>
                <w:szCs w:val="20"/>
                <w:lang w:val="en-US"/>
              </w:rPr>
              <w:t>80.  Mathew NT, Frishberg BM, Gawel M, Dimitrova R, Gibson J, Turkel C, Botox CDH Study Group. Botulinum toxin type A (BOTOX®) for the prophylactic treatment of chronic daily headache: A randomized, double‐blind, placebo‐controlled trial. Headache: The Journal of Head and Face Pain. 2005 Apr;45(4):293-307.</w:t>
            </w:r>
          </w:p>
        </w:tc>
        <w:tc>
          <w:tcPr>
            <w:tcW w:w="2784" w:type="dxa"/>
          </w:tcPr>
          <w:p w14:paraId="5FF8C9E6" w14:textId="6B2E11CF" w:rsidR="00E458C5" w:rsidRPr="004402EC" w:rsidRDefault="00357B33" w:rsidP="00E458C5">
            <w:pPr>
              <w:rPr>
                <w:rFonts w:cstheme="minorHAnsi"/>
                <w:sz w:val="20"/>
                <w:szCs w:val="20"/>
                <w:lang w:val="en-US"/>
              </w:rPr>
            </w:pPr>
            <w:r w:rsidRPr="004402EC">
              <w:rPr>
                <w:rFonts w:cstheme="minorHAnsi"/>
                <w:sz w:val="20"/>
                <w:szCs w:val="20"/>
                <w:lang w:val="en-US"/>
              </w:rPr>
              <w:t>Chronic daily headache</w:t>
            </w:r>
          </w:p>
        </w:tc>
      </w:tr>
      <w:tr w:rsidR="00E458C5" w:rsidRPr="004402EC" w14:paraId="71741896" w14:textId="77777777" w:rsidTr="00E458C5">
        <w:tc>
          <w:tcPr>
            <w:tcW w:w="6232" w:type="dxa"/>
          </w:tcPr>
          <w:p w14:paraId="632F9D13" w14:textId="6AE44324" w:rsidR="00E458C5" w:rsidRPr="004402EC" w:rsidRDefault="00E458C5" w:rsidP="00E458C5">
            <w:pPr>
              <w:rPr>
                <w:rFonts w:cstheme="minorHAnsi"/>
                <w:sz w:val="20"/>
                <w:szCs w:val="20"/>
                <w:lang w:val="en-US"/>
              </w:rPr>
            </w:pPr>
            <w:r w:rsidRPr="004402EC">
              <w:rPr>
                <w:rFonts w:cstheme="minorHAnsi"/>
                <w:sz w:val="20"/>
                <w:szCs w:val="20"/>
                <w:lang w:val="en-US"/>
              </w:rPr>
              <w:t xml:space="preserve">81.  Mathew NT, Jaffri SF. A double‐blind comparison of </w:t>
            </w:r>
            <w:r w:rsidR="00780A4A">
              <w:rPr>
                <w:rFonts w:cstheme="minorHAnsi"/>
                <w:sz w:val="20"/>
                <w:szCs w:val="20"/>
                <w:lang w:val="en-US"/>
              </w:rPr>
              <w:t>O</w:t>
            </w:r>
            <w:r w:rsidRPr="004402EC">
              <w:rPr>
                <w:rFonts w:cstheme="minorHAnsi"/>
                <w:sz w:val="20"/>
                <w:szCs w:val="20"/>
                <w:lang w:val="en-US"/>
              </w:rPr>
              <w:t xml:space="preserve">nabotulinumtoxina (BOTOX®) and </w:t>
            </w:r>
            <w:r w:rsidR="00780A4A">
              <w:rPr>
                <w:rFonts w:cstheme="minorHAnsi"/>
                <w:sz w:val="20"/>
                <w:szCs w:val="20"/>
                <w:lang w:val="en-US"/>
              </w:rPr>
              <w:t>T</w:t>
            </w:r>
            <w:r w:rsidRPr="004402EC">
              <w:rPr>
                <w:rFonts w:cstheme="minorHAnsi"/>
                <w:sz w:val="20"/>
                <w:szCs w:val="20"/>
                <w:lang w:val="en-US"/>
              </w:rPr>
              <w:t>opiramate (TOPAMAX®) for the prophylactic treatment of chronic migraine: A pilot study. Headache: The Journal of Head and Face Pain. 2009 Nov;49(10):1466-78.</w:t>
            </w:r>
          </w:p>
        </w:tc>
        <w:tc>
          <w:tcPr>
            <w:tcW w:w="2784" w:type="dxa"/>
          </w:tcPr>
          <w:p w14:paraId="34A9CEED" w14:textId="340319D1" w:rsidR="00E458C5" w:rsidRPr="004402EC" w:rsidRDefault="00E458C5" w:rsidP="00E458C5">
            <w:pPr>
              <w:rPr>
                <w:rFonts w:cstheme="minorHAnsi"/>
                <w:sz w:val="20"/>
                <w:szCs w:val="20"/>
                <w:lang w:val="en-US"/>
              </w:rPr>
            </w:pPr>
            <w:r w:rsidRPr="004402EC">
              <w:rPr>
                <w:rFonts w:cstheme="minorHAnsi"/>
                <w:sz w:val="20"/>
                <w:szCs w:val="20"/>
                <w:lang w:val="en-US"/>
              </w:rPr>
              <w:t>Small sample size</w:t>
            </w:r>
            <w:r w:rsidR="00885F7A" w:rsidRPr="004402EC">
              <w:rPr>
                <w:rFonts w:cstheme="minorHAnsi"/>
                <w:sz w:val="20"/>
                <w:szCs w:val="20"/>
                <w:lang w:val="en-US"/>
              </w:rPr>
              <w:t xml:space="preserve"> of chronic migraine</w:t>
            </w:r>
          </w:p>
        </w:tc>
      </w:tr>
      <w:tr w:rsidR="00E458C5" w:rsidRPr="004402EC" w14:paraId="42B3358B" w14:textId="77777777" w:rsidTr="00E458C5">
        <w:tc>
          <w:tcPr>
            <w:tcW w:w="6232" w:type="dxa"/>
          </w:tcPr>
          <w:p w14:paraId="310A4526" w14:textId="027B12FC" w:rsidR="00E458C5" w:rsidRPr="004402EC" w:rsidRDefault="00E458C5" w:rsidP="00E458C5">
            <w:pPr>
              <w:rPr>
                <w:rFonts w:cstheme="minorHAnsi"/>
                <w:sz w:val="20"/>
                <w:szCs w:val="20"/>
                <w:lang w:val="en-US"/>
              </w:rPr>
            </w:pPr>
            <w:r w:rsidRPr="004402EC">
              <w:rPr>
                <w:rFonts w:cstheme="minorHAnsi"/>
                <w:sz w:val="20"/>
                <w:szCs w:val="20"/>
                <w:lang w:val="en-US"/>
              </w:rPr>
              <w:t>82.  Mazdeh M, Mahmudian R, Vafaei SY, Taheri M, Ghafouri-Fard S. Effect of propranolol with and without rosuvastatin on migraine attacks: a triple blind randomized clinical trial. Future Neurology. 2020 May;15(2):FNL44.</w:t>
            </w:r>
          </w:p>
        </w:tc>
        <w:tc>
          <w:tcPr>
            <w:tcW w:w="2784" w:type="dxa"/>
          </w:tcPr>
          <w:p w14:paraId="720B9DD7" w14:textId="46DF9F3B" w:rsidR="00E458C5" w:rsidRPr="004402EC" w:rsidRDefault="00E458C5" w:rsidP="00E458C5">
            <w:pPr>
              <w:rPr>
                <w:rFonts w:cstheme="minorHAnsi"/>
                <w:sz w:val="20"/>
                <w:szCs w:val="20"/>
                <w:lang w:val="en-US"/>
              </w:rPr>
            </w:pPr>
            <w:r w:rsidRPr="004402EC">
              <w:rPr>
                <w:rFonts w:cstheme="minorHAnsi"/>
                <w:sz w:val="20"/>
                <w:szCs w:val="20"/>
                <w:lang w:val="en-US"/>
              </w:rPr>
              <w:t>Small sample size</w:t>
            </w:r>
            <w:r w:rsidR="00C22EFC" w:rsidRPr="004402EC">
              <w:rPr>
                <w:rFonts w:cstheme="minorHAnsi"/>
                <w:sz w:val="20"/>
                <w:szCs w:val="20"/>
                <w:lang w:val="en-US"/>
              </w:rPr>
              <w:t xml:space="preserve"> of </w:t>
            </w:r>
            <w:r w:rsidR="00357B33" w:rsidRPr="004402EC">
              <w:rPr>
                <w:rFonts w:cstheme="minorHAnsi"/>
                <w:sz w:val="20"/>
                <w:szCs w:val="20"/>
                <w:lang w:val="en-US"/>
              </w:rPr>
              <w:t>episodic</w:t>
            </w:r>
            <w:r w:rsidR="00C22EFC" w:rsidRPr="004402EC">
              <w:rPr>
                <w:rFonts w:cstheme="minorHAnsi"/>
                <w:sz w:val="20"/>
                <w:szCs w:val="20"/>
                <w:lang w:val="en-US"/>
              </w:rPr>
              <w:t xml:space="preserve"> or </w:t>
            </w:r>
            <w:r w:rsidR="00357B33" w:rsidRPr="004402EC">
              <w:rPr>
                <w:rFonts w:cstheme="minorHAnsi"/>
                <w:sz w:val="20"/>
                <w:szCs w:val="20"/>
                <w:lang w:val="en-US"/>
              </w:rPr>
              <w:t>chronic</w:t>
            </w:r>
            <w:r w:rsidR="00C22EFC" w:rsidRPr="004402EC">
              <w:rPr>
                <w:rFonts w:cstheme="minorHAnsi"/>
                <w:sz w:val="20"/>
                <w:szCs w:val="20"/>
                <w:lang w:val="en-US"/>
              </w:rPr>
              <w:t xml:space="preserve"> migraine</w:t>
            </w:r>
          </w:p>
        </w:tc>
      </w:tr>
      <w:tr w:rsidR="00E458C5" w:rsidRPr="004402EC" w14:paraId="370EE95A" w14:textId="77777777" w:rsidTr="00E458C5">
        <w:tc>
          <w:tcPr>
            <w:tcW w:w="6232" w:type="dxa"/>
          </w:tcPr>
          <w:p w14:paraId="0D8FDE3E" w14:textId="36EF753E" w:rsidR="00E458C5" w:rsidRPr="004402EC" w:rsidRDefault="00E458C5" w:rsidP="00E458C5">
            <w:pPr>
              <w:rPr>
                <w:rFonts w:cstheme="minorHAnsi"/>
                <w:sz w:val="20"/>
                <w:szCs w:val="20"/>
                <w:lang w:val="en-US"/>
              </w:rPr>
            </w:pPr>
            <w:r w:rsidRPr="004402EC">
              <w:rPr>
                <w:rFonts w:cstheme="minorHAnsi"/>
                <w:sz w:val="20"/>
                <w:szCs w:val="20"/>
                <w:lang w:val="en-US"/>
              </w:rPr>
              <w:t>83.  Homam M, Farajpour A, Khadem S, Mostafavian Z. The experiential comparison of levetiracetam efficacy in migraine headache with sodium valproate. Caspian Journal of Neurological Sciences. 2016 Jun 10;2(2):42-9.</w:t>
            </w:r>
          </w:p>
        </w:tc>
        <w:tc>
          <w:tcPr>
            <w:tcW w:w="2784" w:type="dxa"/>
          </w:tcPr>
          <w:p w14:paraId="634DB468" w14:textId="4297C2BB" w:rsidR="00E458C5" w:rsidRPr="004402EC" w:rsidRDefault="00E458C5" w:rsidP="00E458C5">
            <w:pPr>
              <w:rPr>
                <w:rFonts w:cstheme="minorHAnsi"/>
                <w:sz w:val="20"/>
                <w:szCs w:val="20"/>
                <w:lang w:val="en-US"/>
              </w:rPr>
            </w:pPr>
            <w:r w:rsidRPr="004402EC">
              <w:rPr>
                <w:rFonts w:cstheme="minorHAnsi"/>
                <w:sz w:val="20"/>
                <w:szCs w:val="20"/>
                <w:lang w:val="en-US"/>
              </w:rPr>
              <w:t>Small sample size</w:t>
            </w:r>
            <w:r w:rsidR="00885F7A" w:rsidRPr="004402EC">
              <w:rPr>
                <w:rFonts w:cstheme="minorHAnsi"/>
                <w:sz w:val="20"/>
                <w:szCs w:val="20"/>
                <w:lang w:val="en-US"/>
              </w:rPr>
              <w:t xml:space="preserve"> of episodic migraine</w:t>
            </w:r>
          </w:p>
        </w:tc>
      </w:tr>
      <w:tr w:rsidR="00E458C5" w:rsidRPr="004402EC" w14:paraId="726E2DCF" w14:textId="77777777" w:rsidTr="00E458C5">
        <w:tc>
          <w:tcPr>
            <w:tcW w:w="6232" w:type="dxa"/>
          </w:tcPr>
          <w:p w14:paraId="1B4B7083" w14:textId="715D7867" w:rsidR="00E458C5" w:rsidRPr="004402EC" w:rsidRDefault="00E458C5" w:rsidP="00E458C5">
            <w:pPr>
              <w:rPr>
                <w:rFonts w:cstheme="minorHAnsi"/>
                <w:sz w:val="20"/>
                <w:szCs w:val="20"/>
                <w:lang w:val="en-US"/>
              </w:rPr>
            </w:pPr>
            <w:r w:rsidRPr="004402EC">
              <w:rPr>
                <w:rFonts w:cstheme="minorHAnsi"/>
                <w:sz w:val="20"/>
                <w:szCs w:val="20"/>
                <w:lang w:val="en-US"/>
              </w:rPr>
              <w:t>84.  Millan‐Guerrero RO, Isais‐Millan R, Barreto‐Vizcaino S, Rivera‐Castano L, Garcia‐Solorzano A, López‐Blanca C, Membrila‐Maldonado M, Muñoz‐Solis R. Subcutaneous histamine versus sodium valproate in migraine prophylaxis: A randomized, controlled, double‐blind study. European journal of neurology. 2007 Oct;14(10):1079-84.</w:t>
            </w:r>
          </w:p>
        </w:tc>
        <w:tc>
          <w:tcPr>
            <w:tcW w:w="2784" w:type="dxa"/>
          </w:tcPr>
          <w:p w14:paraId="382805AA" w14:textId="29E104ED" w:rsidR="00E458C5" w:rsidRPr="004402EC" w:rsidRDefault="00E458C5" w:rsidP="00E458C5">
            <w:pPr>
              <w:rPr>
                <w:rFonts w:cstheme="minorHAnsi"/>
                <w:sz w:val="20"/>
                <w:szCs w:val="20"/>
                <w:lang w:val="en-US"/>
              </w:rPr>
            </w:pPr>
            <w:r w:rsidRPr="004402EC">
              <w:rPr>
                <w:rFonts w:cstheme="minorHAnsi"/>
                <w:sz w:val="20"/>
                <w:szCs w:val="20"/>
                <w:lang w:val="en-US"/>
              </w:rPr>
              <w:t>Small sample size of episodic migraine</w:t>
            </w:r>
          </w:p>
        </w:tc>
      </w:tr>
      <w:tr w:rsidR="00E458C5" w:rsidRPr="004402EC" w14:paraId="35A0A858" w14:textId="77777777" w:rsidTr="00E458C5">
        <w:tc>
          <w:tcPr>
            <w:tcW w:w="6232" w:type="dxa"/>
          </w:tcPr>
          <w:p w14:paraId="0AB3E367" w14:textId="3886B52A" w:rsidR="00E458C5" w:rsidRPr="004402EC" w:rsidRDefault="00E458C5" w:rsidP="00E458C5">
            <w:pPr>
              <w:rPr>
                <w:rFonts w:cstheme="minorHAnsi"/>
                <w:sz w:val="20"/>
                <w:szCs w:val="20"/>
                <w:lang w:val="en-US"/>
              </w:rPr>
            </w:pPr>
            <w:r w:rsidRPr="004402EC">
              <w:rPr>
                <w:rFonts w:cstheme="minorHAnsi"/>
                <w:sz w:val="20"/>
                <w:szCs w:val="20"/>
                <w:lang w:val="en-US"/>
              </w:rPr>
              <w:t>85. Millán‐Guerrero RO, Isais‐Millán S, Barreto‐Vizcaíno S, Rivera‐Castaño L, Rios‐Madariaga C. Subcutaneous histamine versus botulinum toxin type A in migraine prophylaxis: a randomized, double‐blind study. European journal of neurology. 2009 Jan;16(1):88-94.</w:t>
            </w:r>
          </w:p>
        </w:tc>
        <w:tc>
          <w:tcPr>
            <w:tcW w:w="2784" w:type="dxa"/>
          </w:tcPr>
          <w:p w14:paraId="3227A2E3" w14:textId="22E0E786" w:rsidR="00E458C5" w:rsidRPr="004402EC" w:rsidRDefault="00E458C5" w:rsidP="00E458C5">
            <w:pPr>
              <w:rPr>
                <w:rFonts w:cstheme="minorHAnsi"/>
                <w:sz w:val="20"/>
                <w:szCs w:val="20"/>
                <w:lang w:val="en-US"/>
              </w:rPr>
            </w:pPr>
            <w:r w:rsidRPr="004402EC">
              <w:rPr>
                <w:rFonts w:cstheme="minorHAnsi"/>
                <w:sz w:val="20"/>
                <w:szCs w:val="20"/>
                <w:lang w:val="en-US"/>
              </w:rPr>
              <w:t>Small sample size of episodic migraine</w:t>
            </w:r>
          </w:p>
        </w:tc>
      </w:tr>
      <w:tr w:rsidR="00E458C5" w:rsidRPr="004402EC" w14:paraId="606E3224" w14:textId="77777777" w:rsidTr="00E458C5">
        <w:tc>
          <w:tcPr>
            <w:tcW w:w="6232" w:type="dxa"/>
          </w:tcPr>
          <w:p w14:paraId="441909EF" w14:textId="291EBC4C" w:rsidR="00E458C5" w:rsidRPr="004402EC" w:rsidRDefault="00E458C5" w:rsidP="00E458C5">
            <w:pPr>
              <w:rPr>
                <w:rFonts w:cstheme="minorHAnsi"/>
                <w:sz w:val="20"/>
                <w:szCs w:val="20"/>
                <w:lang w:val="en-US"/>
              </w:rPr>
            </w:pPr>
            <w:r w:rsidRPr="004402EC">
              <w:rPr>
                <w:rFonts w:cstheme="minorHAnsi"/>
                <w:sz w:val="20"/>
                <w:szCs w:val="20"/>
                <w:lang w:val="en-US"/>
              </w:rPr>
              <w:t>86. Mogollón J, Serrano A, Padrón de Freitez A, Uzcátegui E, Baptista T. Olanzapine as an add-on treatment in migraine status: A randomized double-blind, placebo-controlled, pilot study. The European Journal of Psychiatry. 2012 Dec;26(4):260-5.</w:t>
            </w:r>
          </w:p>
        </w:tc>
        <w:tc>
          <w:tcPr>
            <w:tcW w:w="2784" w:type="dxa"/>
          </w:tcPr>
          <w:p w14:paraId="0F9EF6C9" w14:textId="1B2A876E" w:rsidR="00E458C5" w:rsidRPr="004402EC" w:rsidRDefault="00E458C5" w:rsidP="00E458C5">
            <w:pPr>
              <w:rPr>
                <w:rFonts w:cstheme="minorHAnsi"/>
                <w:sz w:val="20"/>
                <w:szCs w:val="20"/>
                <w:lang w:val="en-US"/>
              </w:rPr>
            </w:pPr>
            <w:r w:rsidRPr="004402EC">
              <w:rPr>
                <w:rFonts w:cstheme="minorHAnsi"/>
                <w:sz w:val="20"/>
                <w:szCs w:val="20"/>
                <w:lang w:val="en-US"/>
              </w:rPr>
              <w:t>Acute Migraine</w:t>
            </w:r>
          </w:p>
        </w:tc>
      </w:tr>
      <w:tr w:rsidR="00E458C5" w:rsidRPr="004402EC" w14:paraId="6B5E4869" w14:textId="77777777" w:rsidTr="00E458C5">
        <w:tc>
          <w:tcPr>
            <w:tcW w:w="6232" w:type="dxa"/>
          </w:tcPr>
          <w:p w14:paraId="03734A9F" w14:textId="499A35F1" w:rsidR="00E458C5" w:rsidRPr="004402EC" w:rsidRDefault="00E458C5" w:rsidP="00E458C5">
            <w:pPr>
              <w:rPr>
                <w:rFonts w:cstheme="minorHAnsi"/>
                <w:sz w:val="20"/>
                <w:szCs w:val="20"/>
                <w:lang w:val="en-US"/>
              </w:rPr>
            </w:pPr>
            <w:r w:rsidRPr="004402EC">
              <w:rPr>
                <w:rFonts w:cstheme="minorHAnsi"/>
                <w:sz w:val="20"/>
                <w:szCs w:val="20"/>
                <w:lang w:val="en-US"/>
              </w:rPr>
              <w:t xml:space="preserve">87. Hasan MK, Khan I, Salam T, Sharmin M. The Sociodemographic Characteristics of Migraine Patients in Bangladesh. Int J Med Res Prof. </w:t>
            </w:r>
            <w:r w:rsidRPr="004402EC">
              <w:rPr>
                <w:rFonts w:cstheme="minorHAnsi"/>
                <w:sz w:val="20"/>
                <w:szCs w:val="20"/>
                <w:lang w:val="en-US"/>
              </w:rPr>
              <w:lastRenderedPageBreak/>
              <w:t>2019:59-62.</w:t>
            </w:r>
          </w:p>
        </w:tc>
        <w:tc>
          <w:tcPr>
            <w:tcW w:w="2784" w:type="dxa"/>
          </w:tcPr>
          <w:p w14:paraId="7902615E" w14:textId="3C14341F" w:rsidR="00E458C5" w:rsidRPr="004402EC" w:rsidRDefault="00E458C5" w:rsidP="00E458C5">
            <w:pPr>
              <w:rPr>
                <w:rFonts w:cstheme="minorHAnsi"/>
                <w:sz w:val="20"/>
                <w:szCs w:val="20"/>
                <w:lang w:val="en-US"/>
              </w:rPr>
            </w:pPr>
            <w:r w:rsidRPr="004402EC">
              <w:rPr>
                <w:rFonts w:cstheme="minorHAnsi"/>
                <w:sz w:val="20"/>
                <w:szCs w:val="20"/>
                <w:lang w:val="en-US"/>
              </w:rPr>
              <w:lastRenderedPageBreak/>
              <w:t>Small sample size of episodic migraine</w:t>
            </w:r>
          </w:p>
        </w:tc>
      </w:tr>
      <w:tr w:rsidR="00E458C5" w:rsidRPr="004402EC" w14:paraId="49AC368E" w14:textId="77777777" w:rsidTr="00E458C5">
        <w:tc>
          <w:tcPr>
            <w:tcW w:w="6232" w:type="dxa"/>
          </w:tcPr>
          <w:p w14:paraId="1814B885" w14:textId="6E204D5E" w:rsidR="00E458C5" w:rsidRPr="004402EC" w:rsidRDefault="00E458C5" w:rsidP="00E458C5">
            <w:pPr>
              <w:rPr>
                <w:rFonts w:cstheme="minorHAnsi"/>
                <w:sz w:val="20"/>
                <w:szCs w:val="20"/>
                <w:lang w:val="en-US"/>
              </w:rPr>
            </w:pPr>
            <w:r w:rsidRPr="004402EC">
              <w:rPr>
                <w:rFonts w:cstheme="minorHAnsi"/>
                <w:sz w:val="20"/>
                <w:szCs w:val="20"/>
                <w:lang w:val="en-US"/>
              </w:rPr>
              <w:lastRenderedPageBreak/>
              <w:t>88.  Choudhary MU, Nawaz J, Saddique MU, Zameer A. Comparison between topiramate and sodium valproate efficacy in the treatment of migraine. Pak J Med Health Sci. 2017 Jul 1;11(3):1005-7.</w:t>
            </w:r>
          </w:p>
        </w:tc>
        <w:tc>
          <w:tcPr>
            <w:tcW w:w="2784" w:type="dxa"/>
          </w:tcPr>
          <w:p w14:paraId="6DF77764" w14:textId="6845139F" w:rsidR="00E458C5" w:rsidRPr="004402EC" w:rsidRDefault="00E458C5" w:rsidP="00E458C5">
            <w:pPr>
              <w:rPr>
                <w:rFonts w:cstheme="minorHAnsi"/>
                <w:sz w:val="20"/>
                <w:szCs w:val="20"/>
                <w:lang w:val="en-US"/>
              </w:rPr>
            </w:pPr>
            <w:r w:rsidRPr="004402EC">
              <w:rPr>
                <w:rFonts w:cstheme="minorHAnsi"/>
                <w:sz w:val="20"/>
                <w:szCs w:val="20"/>
                <w:lang w:val="en-US"/>
              </w:rPr>
              <w:t>Small sample size of episodic migraine</w:t>
            </w:r>
          </w:p>
        </w:tc>
      </w:tr>
      <w:tr w:rsidR="00E458C5" w:rsidRPr="004402EC" w14:paraId="0DA05AA6" w14:textId="77777777" w:rsidTr="00E458C5">
        <w:tc>
          <w:tcPr>
            <w:tcW w:w="6232" w:type="dxa"/>
          </w:tcPr>
          <w:p w14:paraId="28B1528E" w14:textId="3D0E99FF" w:rsidR="00E458C5" w:rsidRPr="004402EC" w:rsidRDefault="00E458C5" w:rsidP="00E458C5">
            <w:pPr>
              <w:rPr>
                <w:rFonts w:cstheme="minorHAnsi"/>
                <w:sz w:val="20"/>
                <w:szCs w:val="20"/>
                <w:lang w:val="en-US"/>
              </w:rPr>
            </w:pPr>
            <w:r w:rsidRPr="004402EC">
              <w:rPr>
                <w:rFonts w:cstheme="minorHAnsi"/>
                <w:sz w:val="20"/>
                <w:szCs w:val="20"/>
                <w:lang w:val="en-US"/>
              </w:rPr>
              <w:t xml:space="preserve">89. Naderinabi B, Saberi A, Hashemi M, Haghighi M, Biazar G, Gharehdaghi FA, Sedighinejad A, Chavoshi T. Acupuncture and botulinum toxin </w:t>
            </w:r>
            <w:proofErr w:type="gramStart"/>
            <w:r w:rsidRPr="004402EC">
              <w:rPr>
                <w:rFonts w:cstheme="minorHAnsi"/>
                <w:sz w:val="20"/>
                <w:szCs w:val="20"/>
                <w:lang w:val="en-US"/>
              </w:rPr>
              <w:t>A</w:t>
            </w:r>
            <w:proofErr w:type="gramEnd"/>
            <w:r w:rsidRPr="004402EC">
              <w:rPr>
                <w:rFonts w:cstheme="minorHAnsi"/>
                <w:sz w:val="20"/>
                <w:szCs w:val="20"/>
                <w:lang w:val="en-US"/>
              </w:rPr>
              <w:t xml:space="preserve"> injection in the treatment of chronic migraine: a randomized controlled study. Caspian Journal of Internal Medicine. 2017;8(3):196.</w:t>
            </w:r>
          </w:p>
        </w:tc>
        <w:tc>
          <w:tcPr>
            <w:tcW w:w="2784" w:type="dxa"/>
          </w:tcPr>
          <w:p w14:paraId="35B8CD14" w14:textId="28E7A480" w:rsidR="00E458C5" w:rsidRPr="00D4727B" w:rsidRDefault="00E458C5" w:rsidP="00E458C5">
            <w:pPr>
              <w:rPr>
                <w:rFonts w:cstheme="minorHAnsi"/>
                <w:sz w:val="20"/>
                <w:szCs w:val="20"/>
                <w:lang w:val="en-US"/>
              </w:rPr>
            </w:pPr>
            <w:r w:rsidRPr="00D4727B">
              <w:rPr>
                <w:rFonts w:cstheme="minorHAnsi"/>
                <w:sz w:val="20"/>
                <w:szCs w:val="20"/>
                <w:lang w:val="en-US"/>
              </w:rPr>
              <w:t>Small sample size</w:t>
            </w:r>
            <w:r w:rsidR="00E869B6" w:rsidRPr="00D4727B">
              <w:rPr>
                <w:rFonts w:cstheme="minorHAnsi"/>
                <w:sz w:val="20"/>
                <w:szCs w:val="20"/>
                <w:lang w:val="en-US"/>
              </w:rPr>
              <w:t xml:space="preserve"> of chronic migraine</w:t>
            </w:r>
            <w:r w:rsidR="00C036BC" w:rsidRPr="00D4727B">
              <w:rPr>
                <w:rFonts w:cstheme="minorHAnsi"/>
                <w:sz w:val="20"/>
                <w:szCs w:val="20"/>
                <w:lang w:val="en-US"/>
              </w:rPr>
              <w:t xml:space="preserve">. </w:t>
            </w:r>
            <w:r w:rsidR="00C036BC" w:rsidRPr="00D4727B">
              <w:rPr>
                <w:rStyle w:val="cf01"/>
                <w:rFonts w:asciiTheme="minorHAnsi" w:hAnsiTheme="minorHAnsi" w:cstheme="minorHAnsi"/>
                <w:sz w:val="20"/>
                <w:szCs w:val="20"/>
              </w:rPr>
              <w:t>Acupuncture</w:t>
            </w:r>
            <w:r w:rsidR="00D4727B" w:rsidRPr="00D4727B">
              <w:rPr>
                <w:rStyle w:val="cf01"/>
                <w:rFonts w:asciiTheme="minorHAnsi" w:hAnsiTheme="minorHAnsi" w:cstheme="minorHAnsi"/>
                <w:sz w:val="20"/>
                <w:szCs w:val="20"/>
              </w:rPr>
              <w:t xml:space="preserve"> </w:t>
            </w:r>
            <w:r w:rsidR="00C036BC" w:rsidRPr="00D4727B">
              <w:rPr>
                <w:rStyle w:val="cf01"/>
                <w:rFonts w:asciiTheme="minorHAnsi" w:hAnsiTheme="minorHAnsi" w:cstheme="minorHAnsi"/>
                <w:sz w:val="20"/>
                <w:szCs w:val="20"/>
              </w:rPr>
              <w:t>is not medical treatment on NHS.</w:t>
            </w:r>
          </w:p>
        </w:tc>
      </w:tr>
      <w:tr w:rsidR="00BC4140" w:rsidRPr="004402EC" w14:paraId="1DF79756" w14:textId="77777777" w:rsidTr="00E458C5">
        <w:tc>
          <w:tcPr>
            <w:tcW w:w="6232" w:type="dxa"/>
          </w:tcPr>
          <w:p w14:paraId="42B0A53E" w14:textId="3AA0B4D7" w:rsidR="00BC4140" w:rsidRPr="004402EC" w:rsidRDefault="00BC4140" w:rsidP="00BC4140">
            <w:pPr>
              <w:rPr>
                <w:rFonts w:cstheme="minorHAnsi"/>
                <w:sz w:val="20"/>
                <w:szCs w:val="20"/>
                <w:lang w:val="en-US"/>
              </w:rPr>
            </w:pPr>
            <w:r w:rsidRPr="004402EC">
              <w:rPr>
                <w:rFonts w:cstheme="minorHAnsi"/>
                <w:sz w:val="20"/>
                <w:szCs w:val="20"/>
                <w:lang w:val="en-US"/>
              </w:rPr>
              <w:t>90.  Nappi G, Sandrini G, Savoini G, Cavallini A, De Rysky C, Micieli G. Comparative efficacy of cyclandelate versus flunarizine in the prophylactic treatment of migraine. Drugs. 1987 Mar;33(2):103-9.</w:t>
            </w:r>
          </w:p>
        </w:tc>
        <w:tc>
          <w:tcPr>
            <w:tcW w:w="2784" w:type="dxa"/>
          </w:tcPr>
          <w:p w14:paraId="0DC01BCF" w14:textId="4246702D" w:rsidR="00BC4140" w:rsidRPr="004402EC" w:rsidRDefault="00BC4140" w:rsidP="00BC4140">
            <w:pPr>
              <w:rPr>
                <w:rFonts w:cstheme="minorHAnsi"/>
                <w:sz w:val="20"/>
                <w:szCs w:val="20"/>
                <w:lang w:val="en-US"/>
              </w:rPr>
            </w:pPr>
            <w:r w:rsidRPr="004402EC">
              <w:rPr>
                <w:rFonts w:cstheme="minorHAnsi"/>
                <w:sz w:val="20"/>
                <w:szCs w:val="20"/>
                <w:lang w:val="en-US"/>
              </w:rPr>
              <w:t>Small sample size of episodic migraine</w:t>
            </w:r>
          </w:p>
        </w:tc>
      </w:tr>
      <w:tr w:rsidR="00BC4140" w:rsidRPr="004402EC" w14:paraId="233A3B9D" w14:textId="77777777" w:rsidTr="00E458C5">
        <w:tc>
          <w:tcPr>
            <w:tcW w:w="6232" w:type="dxa"/>
          </w:tcPr>
          <w:p w14:paraId="6EE6845B" w14:textId="18AB07FB" w:rsidR="00BC4140" w:rsidRPr="004402EC" w:rsidRDefault="00BC4140" w:rsidP="00BC4140">
            <w:pPr>
              <w:rPr>
                <w:rFonts w:cstheme="minorHAnsi"/>
                <w:sz w:val="20"/>
                <w:szCs w:val="20"/>
                <w:lang w:val="en-US"/>
              </w:rPr>
            </w:pPr>
            <w:r w:rsidRPr="004402EC">
              <w:rPr>
                <w:rFonts w:cstheme="minorHAnsi"/>
                <w:sz w:val="20"/>
                <w:szCs w:val="20"/>
                <w:lang w:val="en-US"/>
              </w:rPr>
              <w:t xml:space="preserve">91.  Nichols R, Doty E, Sacco S, Ruff D, Pearlman E, Aurora SK. Analysis of initial nonresponders to </w:t>
            </w:r>
            <w:r w:rsidR="00780A4A">
              <w:rPr>
                <w:rFonts w:cstheme="minorHAnsi"/>
                <w:sz w:val="20"/>
                <w:szCs w:val="20"/>
                <w:lang w:val="en-US"/>
              </w:rPr>
              <w:t>G</w:t>
            </w:r>
            <w:r w:rsidRPr="004402EC">
              <w:rPr>
                <w:rFonts w:cstheme="minorHAnsi"/>
                <w:sz w:val="20"/>
                <w:szCs w:val="20"/>
                <w:lang w:val="en-US"/>
              </w:rPr>
              <w:t>alcanezumab in patients with episodic or chronic migraine: results from the EVOLVE‐1, EVOLVE‐2, and REGAIN randomized, double‐blind, placebo‐controlled studies. Headache: The Journal of Head and Face Pain. 2019 Feb;59(2):192-204.</w:t>
            </w:r>
          </w:p>
        </w:tc>
        <w:tc>
          <w:tcPr>
            <w:tcW w:w="2784" w:type="dxa"/>
          </w:tcPr>
          <w:p w14:paraId="1C70820F" w14:textId="729AF84C" w:rsidR="00BC4140" w:rsidRPr="004402EC" w:rsidRDefault="00BC4140" w:rsidP="00BC4140">
            <w:pPr>
              <w:rPr>
                <w:rFonts w:cstheme="minorHAnsi"/>
                <w:sz w:val="20"/>
                <w:szCs w:val="20"/>
                <w:lang w:val="en-US"/>
              </w:rPr>
            </w:pPr>
            <w:r w:rsidRPr="004402EC">
              <w:rPr>
                <w:rFonts w:cstheme="minorHAnsi"/>
                <w:sz w:val="20"/>
                <w:szCs w:val="20"/>
                <w:lang w:val="en-US"/>
              </w:rPr>
              <w:t>Mixed population</w:t>
            </w:r>
          </w:p>
        </w:tc>
      </w:tr>
      <w:tr w:rsidR="00BC4140" w:rsidRPr="004402EC" w14:paraId="5796D213" w14:textId="77777777" w:rsidTr="00E458C5">
        <w:tc>
          <w:tcPr>
            <w:tcW w:w="6232" w:type="dxa"/>
          </w:tcPr>
          <w:p w14:paraId="232DABF9" w14:textId="3E3479B7" w:rsidR="00BC4140" w:rsidRPr="004402EC" w:rsidRDefault="00BC4140" w:rsidP="00BC4140">
            <w:pPr>
              <w:rPr>
                <w:rFonts w:cstheme="minorHAnsi"/>
                <w:sz w:val="20"/>
                <w:szCs w:val="20"/>
                <w:lang w:val="en-US"/>
              </w:rPr>
            </w:pPr>
            <w:r w:rsidRPr="004402EC">
              <w:rPr>
                <w:rFonts w:cstheme="minorHAnsi"/>
                <w:sz w:val="20"/>
                <w:szCs w:val="20"/>
                <w:lang w:val="en-US"/>
              </w:rPr>
              <w:t>92.  Olsson JE, Behring HC, Forssman B, Hedman C, Hedman G, Johansson FA, Kinnman J, Pålhagen SE, Samuelsson M, Strandman E. Metoprolol and propranolol in migraine prophylaxis: a double‐blind multicentre study. Acta neurologica scandinavica. 1984 Sep;70(3):160-8.</w:t>
            </w:r>
          </w:p>
        </w:tc>
        <w:tc>
          <w:tcPr>
            <w:tcW w:w="2784" w:type="dxa"/>
          </w:tcPr>
          <w:p w14:paraId="2A2B3B83" w14:textId="7E2E2FED" w:rsidR="00BC4140" w:rsidRPr="004402EC" w:rsidRDefault="00BC4140" w:rsidP="00BC4140">
            <w:pPr>
              <w:rPr>
                <w:rFonts w:cstheme="minorHAnsi"/>
                <w:sz w:val="20"/>
                <w:szCs w:val="20"/>
                <w:lang w:val="en-US"/>
              </w:rPr>
            </w:pPr>
            <w:r w:rsidRPr="004402EC">
              <w:rPr>
                <w:rFonts w:cstheme="minorHAnsi"/>
                <w:sz w:val="20"/>
                <w:szCs w:val="20"/>
                <w:lang w:val="en-US"/>
              </w:rPr>
              <w:t>Small sample size of episodic migraine</w:t>
            </w:r>
          </w:p>
        </w:tc>
      </w:tr>
      <w:tr w:rsidR="00BC4140" w:rsidRPr="004402EC" w14:paraId="4A823E4B" w14:textId="77777777" w:rsidTr="00E458C5">
        <w:tc>
          <w:tcPr>
            <w:tcW w:w="6232" w:type="dxa"/>
          </w:tcPr>
          <w:p w14:paraId="58E91AB8" w14:textId="4CF19E1E" w:rsidR="00BC4140" w:rsidRPr="004402EC" w:rsidRDefault="00BC4140" w:rsidP="00BC4140">
            <w:pPr>
              <w:rPr>
                <w:rFonts w:cstheme="minorHAnsi"/>
                <w:sz w:val="20"/>
                <w:szCs w:val="20"/>
                <w:lang w:val="en-US"/>
              </w:rPr>
            </w:pPr>
            <w:r w:rsidRPr="004402EC">
              <w:rPr>
                <w:rFonts w:cstheme="minorHAnsi"/>
                <w:sz w:val="20"/>
                <w:szCs w:val="20"/>
                <w:lang w:val="en-US"/>
              </w:rPr>
              <w:t>93.  Omranifard M, Abdali H, Ardakani MR, Talebianfar M. A comparison of outcome of medical and surgical treatment of migraine headache: In 1 year follow-up. Advanced Biomedical Research. 2016;5.</w:t>
            </w:r>
          </w:p>
        </w:tc>
        <w:tc>
          <w:tcPr>
            <w:tcW w:w="2784" w:type="dxa"/>
          </w:tcPr>
          <w:p w14:paraId="01B2FC35" w14:textId="1EB5472F" w:rsidR="00BC4140" w:rsidRPr="004402EC" w:rsidRDefault="00BC4140" w:rsidP="00BC4140">
            <w:pPr>
              <w:rPr>
                <w:rFonts w:cstheme="minorHAnsi"/>
                <w:sz w:val="20"/>
                <w:szCs w:val="20"/>
                <w:lang w:val="en-US"/>
              </w:rPr>
            </w:pPr>
            <w:r w:rsidRPr="004402EC">
              <w:rPr>
                <w:rFonts w:cstheme="minorHAnsi"/>
                <w:sz w:val="20"/>
                <w:szCs w:val="20"/>
                <w:lang w:val="en-US"/>
              </w:rPr>
              <w:t>Small sample size</w:t>
            </w:r>
            <w:r w:rsidR="00E869B6" w:rsidRPr="004402EC">
              <w:rPr>
                <w:rFonts w:cstheme="minorHAnsi"/>
                <w:sz w:val="20"/>
                <w:szCs w:val="20"/>
                <w:lang w:val="en-US"/>
              </w:rPr>
              <w:t xml:space="preserve"> of chronic migraine</w:t>
            </w:r>
            <w:r w:rsidR="004D2E94" w:rsidRPr="004402EC">
              <w:rPr>
                <w:rFonts w:cstheme="minorHAnsi"/>
                <w:sz w:val="20"/>
                <w:szCs w:val="20"/>
                <w:lang w:val="en-US"/>
              </w:rPr>
              <w:t xml:space="preserve">, compared with surgical treatment. </w:t>
            </w:r>
          </w:p>
        </w:tc>
      </w:tr>
      <w:tr w:rsidR="00BC4140" w:rsidRPr="004402EC" w14:paraId="34528E87" w14:textId="77777777" w:rsidTr="00E458C5">
        <w:tc>
          <w:tcPr>
            <w:tcW w:w="6232" w:type="dxa"/>
          </w:tcPr>
          <w:p w14:paraId="47527440" w14:textId="32B89520" w:rsidR="00BC4140" w:rsidRPr="004402EC" w:rsidRDefault="00BC4140" w:rsidP="00BC4140">
            <w:pPr>
              <w:rPr>
                <w:rFonts w:cstheme="minorHAnsi"/>
                <w:sz w:val="20"/>
                <w:szCs w:val="20"/>
                <w:lang w:val="en-US"/>
              </w:rPr>
            </w:pPr>
            <w:r w:rsidRPr="004402EC">
              <w:rPr>
                <w:rFonts w:cstheme="minorHAnsi"/>
                <w:sz w:val="20"/>
                <w:szCs w:val="20"/>
                <w:lang w:val="en-US"/>
              </w:rPr>
              <w:t>94.  Ondo WG, Vuong KD, Derman HS. Botulinum toxin A for chronic daily headache: a randomized, placebo-controlled, parallel design study. Cephalalgia. 2004 Jan;24(1):60-5.</w:t>
            </w:r>
          </w:p>
        </w:tc>
        <w:tc>
          <w:tcPr>
            <w:tcW w:w="2784" w:type="dxa"/>
          </w:tcPr>
          <w:p w14:paraId="4142A220" w14:textId="6E3DAE7C" w:rsidR="00BC4140" w:rsidRPr="004402EC" w:rsidRDefault="00BC4140" w:rsidP="00BC4140">
            <w:pPr>
              <w:rPr>
                <w:rFonts w:cstheme="minorHAnsi"/>
                <w:sz w:val="20"/>
                <w:szCs w:val="20"/>
                <w:lang w:val="en-US"/>
              </w:rPr>
            </w:pPr>
            <w:r w:rsidRPr="004402EC">
              <w:rPr>
                <w:rFonts w:cstheme="minorHAnsi"/>
                <w:sz w:val="20"/>
                <w:szCs w:val="20"/>
                <w:lang w:val="en-US"/>
              </w:rPr>
              <w:t>Mixed of chronic tension type and chronic migraine headaches.</w:t>
            </w:r>
          </w:p>
        </w:tc>
      </w:tr>
      <w:tr w:rsidR="00BC4140" w:rsidRPr="004402EC" w14:paraId="1583E25F" w14:textId="77777777" w:rsidTr="00E458C5">
        <w:tc>
          <w:tcPr>
            <w:tcW w:w="6232" w:type="dxa"/>
          </w:tcPr>
          <w:p w14:paraId="095EA9AF" w14:textId="4F5BBE49" w:rsidR="00BC4140" w:rsidRPr="004402EC" w:rsidRDefault="00BC4140" w:rsidP="00BC4140">
            <w:pPr>
              <w:rPr>
                <w:rFonts w:cstheme="minorHAnsi"/>
                <w:sz w:val="20"/>
                <w:szCs w:val="20"/>
                <w:lang w:val="en-US"/>
              </w:rPr>
            </w:pPr>
            <w:r w:rsidRPr="004402EC">
              <w:rPr>
                <w:rFonts w:cstheme="minorHAnsi"/>
                <w:sz w:val="20"/>
                <w:szCs w:val="20"/>
                <w:lang w:val="en-US"/>
              </w:rPr>
              <w:t>95.  Ozyalcin SN, Talu GK, Kiziltan E, Yucel B, Ertas M, Disci R. The efficacy and safety of venlafaxine in the prophylaxis of migraine. Headache: The Journal of Head and Face Pain. 2005 Feb;45(2):144-52.</w:t>
            </w:r>
          </w:p>
        </w:tc>
        <w:tc>
          <w:tcPr>
            <w:tcW w:w="2784" w:type="dxa"/>
          </w:tcPr>
          <w:p w14:paraId="0FA05906" w14:textId="19D638A4" w:rsidR="00BC4140" w:rsidRPr="004402EC" w:rsidRDefault="00BC4140" w:rsidP="00BC4140">
            <w:pPr>
              <w:rPr>
                <w:rFonts w:cstheme="minorHAnsi"/>
                <w:sz w:val="20"/>
                <w:szCs w:val="20"/>
                <w:lang w:val="en-US"/>
              </w:rPr>
            </w:pPr>
            <w:r w:rsidRPr="004402EC">
              <w:rPr>
                <w:rFonts w:cstheme="minorHAnsi"/>
                <w:sz w:val="20"/>
                <w:szCs w:val="20"/>
                <w:lang w:val="en-US"/>
              </w:rPr>
              <w:t>Small sample size</w:t>
            </w:r>
            <w:r w:rsidR="009F27FD" w:rsidRPr="004402EC">
              <w:rPr>
                <w:rFonts w:cstheme="minorHAnsi"/>
                <w:sz w:val="20"/>
                <w:szCs w:val="20"/>
                <w:lang w:val="en-US"/>
              </w:rPr>
              <w:t xml:space="preserve"> of migraine</w:t>
            </w:r>
          </w:p>
        </w:tc>
      </w:tr>
      <w:tr w:rsidR="00BC4140" w:rsidRPr="004402EC" w14:paraId="16B6D3C6" w14:textId="77777777" w:rsidTr="00E458C5">
        <w:tc>
          <w:tcPr>
            <w:tcW w:w="6232" w:type="dxa"/>
          </w:tcPr>
          <w:p w14:paraId="4BC8C3B4" w14:textId="492592C8" w:rsidR="00BC4140" w:rsidRPr="004402EC" w:rsidRDefault="00BC4140" w:rsidP="00BC4140">
            <w:pPr>
              <w:rPr>
                <w:rFonts w:cstheme="minorHAnsi"/>
                <w:sz w:val="20"/>
                <w:szCs w:val="20"/>
                <w:lang w:val="en-US"/>
              </w:rPr>
            </w:pPr>
            <w:r w:rsidRPr="004402EC">
              <w:rPr>
                <w:rFonts w:cstheme="minorHAnsi"/>
                <w:sz w:val="20"/>
                <w:szCs w:val="20"/>
                <w:lang w:val="en-US"/>
              </w:rPr>
              <w:t>96.  Kangasniemi P, Hedman C. Metoprolol and propranolol in the prophylactic treatment of classical and common migraine. A double-blind study. Cephalalgia. 1984 Jun;4(2):91-6.</w:t>
            </w:r>
          </w:p>
        </w:tc>
        <w:tc>
          <w:tcPr>
            <w:tcW w:w="2784" w:type="dxa"/>
          </w:tcPr>
          <w:p w14:paraId="7008A535" w14:textId="16463417" w:rsidR="00BC4140" w:rsidRPr="004402EC" w:rsidRDefault="00BC4140" w:rsidP="00BC4140">
            <w:pPr>
              <w:rPr>
                <w:rFonts w:cstheme="minorHAnsi"/>
                <w:sz w:val="20"/>
                <w:szCs w:val="20"/>
                <w:lang w:val="en-US"/>
              </w:rPr>
            </w:pPr>
            <w:r w:rsidRPr="004402EC">
              <w:rPr>
                <w:rFonts w:cstheme="minorHAnsi"/>
                <w:sz w:val="20"/>
                <w:szCs w:val="20"/>
                <w:lang w:val="en-US"/>
              </w:rPr>
              <w:t>Small sample size</w:t>
            </w:r>
            <w:r w:rsidR="00C22EFC" w:rsidRPr="004402EC">
              <w:rPr>
                <w:rFonts w:cstheme="minorHAnsi"/>
                <w:sz w:val="20"/>
                <w:szCs w:val="20"/>
                <w:lang w:val="en-US"/>
              </w:rPr>
              <w:t xml:space="preserve"> of migraine</w:t>
            </w:r>
          </w:p>
        </w:tc>
      </w:tr>
      <w:tr w:rsidR="00BC4140" w:rsidRPr="004402EC" w14:paraId="4862044F" w14:textId="77777777" w:rsidTr="00E458C5">
        <w:tc>
          <w:tcPr>
            <w:tcW w:w="6232" w:type="dxa"/>
          </w:tcPr>
          <w:p w14:paraId="32F3122F" w14:textId="6CF31384" w:rsidR="00BC4140" w:rsidRPr="004402EC" w:rsidRDefault="00BC4140" w:rsidP="00BC4140">
            <w:pPr>
              <w:rPr>
                <w:rFonts w:cstheme="minorHAnsi"/>
                <w:sz w:val="20"/>
                <w:szCs w:val="20"/>
                <w:lang w:val="en-US"/>
              </w:rPr>
            </w:pPr>
            <w:r w:rsidRPr="004402EC">
              <w:rPr>
                <w:rFonts w:cstheme="minorHAnsi"/>
                <w:sz w:val="20"/>
                <w:szCs w:val="20"/>
                <w:lang w:val="en-US"/>
              </w:rPr>
              <w:t>97.   Kangasniemi PJ, Nyrke T, Lang AH, Petersen E. Femoxetine‐a new 5‐HT uptake inhibitor‐and propranolol in the prophylactic treatment of migraine. Acta neurologica scandinavica. 1983 Oct;68(4):262-7.</w:t>
            </w:r>
          </w:p>
        </w:tc>
        <w:tc>
          <w:tcPr>
            <w:tcW w:w="2784" w:type="dxa"/>
          </w:tcPr>
          <w:p w14:paraId="320D6ED7" w14:textId="06D4886D" w:rsidR="00BC4140" w:rsidRPr="004402EC" w:rsidRDefault="00BC4140" w:rsidP="00BC4140">
            <w:pPr>
              <w:rPr>
                <w:rFonts w:cstheme="minorHAnsi"/>
                <w:sz w:val="20"/>
                <w:szCs w:val="20"/>
                <w:lang w:val="en-US"/>
              </w:rPr>
            </w:pPr>
            <w:r w:rsidRPr="004402EC">
              <w:rPr>
                <w:rFonts w:cstheme="minorHAnsi"/>
                <w:sz w:val="20"/>
                <w:szCs w:val="20"/>
                <w:lang w:val="en-US"/>
              </w:rPr>
              <w:t>Drug not available and small sample size</w:t>
            </w:r>
            <w:r w:rsidR="009F27FD" w:rsidRPr="004402EC">
              <w:rPr>
                <w:rFonts w:cstheme="minorHAnsi"/>
                <w:sz w:val="20"/>
                <w:szCs w:val="20"/>
                <w:lang w:val="en-US"/>
              </w:rPr>
              <w:t xml:space="preserve"> of migraine</w:t>
            </w:r>
          </w:p>
        </w:tc>
      </w:tr>
      <w:tr w:rsidR="00BC4140" w:rsidRPr="004402EC" w14:paraId="3D6932FB" w14:textId="77777777" w:rsidTr="00E458C5">
        <w:tc>
          <w:tcPr>
            <w:tcW w:w="6232" w:type="dxa"/>
          </w:tcPr>
          <w:p w14:paraId="5ACBD18E" w14:textId="7CF48CA9" w:rsidR="00BC4140" w:rsidRPr="004402EC" w:rsidRDefault="00BC4140" w:rsidP="00BC4140">
            <w:pPr>
              <w:rPr>
                <w:rFonts w:cstheme="minorHAnsi"/>
                <w:sz w:val="20"/>
                <w:szCs w:val="20"/>
                <w:lang w:val="en-US"/>
              </w:rPr>
            </w:pPr>
            <w:r w:rsidRPr="004402EC">
              <w:rPr>
                <w:rFonts w:cstheme="minorHAnsi"/>
                <w:sz w:val="20"/>
                <w:szCs w:val="20"/>
                <w:lang w:val="en-US"/>
              </w:rPr>
              <w:t>98.  Goadsby PJ, Dodick DW, Ailani J, Trugman JM, Finnegan M, Lu K, Szegedi A. Safety, tolerability, and efficacy of orally administered atogepant for the prevention of episodic migraine in adults: a double-blind, randomised phase 2b/3 trial. The Lancet Neurology. 2020 Sep 1;19(9):727-37.</w:t>
            </w:r>
          </w:p>
        </w:tc>
        <w:tc>
          <w:tcPr>
            <w:tcW w:w="2784" w:type="dxa"/>
          </w:tcPr>
          <w:p w14:paraId="583326ED" w14:textId="616E1B06" w:rsidR="00BC4140" w:rsidRPr="004402EC" w:rsidRDefault="009F27FD" w:rsidP="00BC4140">
            <w:pPr>
              <w:rPr>
                <w:rFonts w:cstheme="minorHAnsi"/>
                <w:sz w:val="20"/>
                <w:szCs w:val="20"/>
                <w:lang w:val="en-US"/>
              </w:rPr>
            </w:pPr>
            <w:r w:rsidRPr="004402EC">
              <w:rPr>
                <w:rFonts w:cstheme="minorHAnsi"/>
                <w:sz w:val="20"/>
                <w:szCs w:val="20"/>
                <w:lang w:val="en-US"/>
              </w:rPr>
              <w:t>Small sample size of episodic migraine</w:t>
            </w:r>
          </w:p>
        </w:tc>
      </w:tr>
      <w:tr w:rsidR="00BC4140" w:rsidRPr="004402EC" w14:paraId="56AA7366" w14:textId="77777777" w:rsidTr="00E458C5">
        <w:tc>
          <w:tcPr>
            <w:tcW w:w="6232" w:type="dxa"/>
          </w:tcPr>
          <w:p w14:paraId="60640A59" w14:textId="41221089" w:rsidR="00BC4140" w:rsidRPr="004402EC" w:rsidRDefault="00BC4140" w:rsidP="00BC4140">
            <w:pPr>
              <w:rPr>
                <w:rFonts w:cstheme="minorHAnsi"/>
                <w:sz w:val="20"/>
                <w:szCs w:val="20"/>
                <w:lang w:val="en-US"/>
              </w:rPr>
            </w:pPr>
            <w:r w:rsidRPr="004402EC">
              <w:rPr>
                <w:rFonts w:cstheme="minorHAnsi"/>
                <w:sz w:val="20"/>
                <w:szCs w:val="20"/>
                <w:lang w:val="en-US"/>
              </w:rPr>
              <w:t>99.  Pijpers JA, Kies DA, Louter MA, van Zwet EW, Ferrari MD, Terwindt GM. Acute withdrawal and botulinum toxin A in chronic migraine with medication overuse: a double-blind randomized controlled trial. Brain. 2019 May 1;142(5):1203-14.</w:t>
            </w:r>
          </w:p>
        </w:tc>
        <w:tc>
          <w:tcPr>
            <w:tcW w:w="2784" w:type="dxa"/>
          </w:tcPr>
          <w:p w14:paraId="78EDD251" w14:textId="4547C989" w:rsidR="00BC4140" w:rsidRPr="004402EC" w:rsidRDefault="00BC4140" w:rsidP="00BC4140">
            <w:pPr>
              <w:rPr>
                <w:rFonts w:cstheme="minorHAnsi"/>
                <w:sz w:val="20"/>
                <w:szCs w:val="20"/>
                <w:lang w:val="en-US"/>
              </w:rPr>
            </w:pPr>
            <w:r w:rsidRPr="004402EC">
              <w:rPr>
                <w:rFonts w:cstheme="minorHAnsi"/>
                <w:sz w:val="20"/>
                <w:szCs w:val="20"/>
                <w:lang w:val="en-US"/>
              </w:rPr>
              <w:t>Small sample size</w:t>
            </w:r>
            <w:r w:rsidR="00461D6B" w:rsidRPr="004402EC">
              <w:rPr>
                <w:rFonts w:cstheme="minorHAnsi"/>
                <w:sz w:val="20"/>
                <w:szCs w:val="20"/>
                <w:lang w:val="en-US"/>
              </w:rPr>
              <w:t xml:space="preserve"> of chronic migraine</w:t>
            </w:r>
          </w:p>
        </w:tc>
      </w:tr>
      <w:tr w:rsidR="00BC4140" w:rsidRPr="004402EC" w14:paraId="6CD5CED9" w14:textId="77777777" w:rsidTr="00E458C5">
        <w:tc>
          <w:tcPr>
            <w:tcW w:w="6232" w:type="dxa"/>
          </w:tcPr>
          <w:p w14:paraId="12CE475C" w14:textId="26698621" w:rsidR="00BC4140" w:rsidRPr="004402EC" w:rsidRDefault="00BC4140" w:rsidP="00BC4140">
            <w:pPr>
              <w:rPr>
                <w:rFonts w:cstheme="minorHAnsi"/>
                <w:sz w:val="20"/>
                <w:szCs w:val="20"/>
                <w:lang w:val="en-US"/>
              </w:rPr>
            </w:pPr>
            <w:r w:rsidRPr="004402EC">
              <w:rPr>
                <w:rFonts w:cstheme="minorHAnsi"/>
                <w:sz w:val="20"/>
                <w:szCs w:val="20"/>
                <w:lang w:val="en-US"/>
              </w:rPr>
              <w:t>100.  Pradalier A, Serratrice G, Collard M, Hirsch E, Feve J, Masson M, Masson C, Dry J, Koulikovsky G, Nguyen G, Schbath J. Long-acting propranolol in migraine prophylaxis: results of a double-blind, placebo-controlled study. Cephalalgia. 1989 Dec;9(4):247-53.</w:t>
            </w:r>
          </w:p>
        </w:tc>
        <w:tc>
          <w:tcPr>
            <w:tcW w:w="2784" w:type="dxa"/>
          </w:tcPr>
          <w:p w14:paraId="0E945D8E" w14:textId="2D0B731B" w:rsidR="00BC4140" w:rsidRPr="004402EC" w:rsidRDefault="00BC4140" w:rsidP="00BC4140">
            <w:pPr>
              <w:rPr>
                <w:rFonts w:cstheme="minorHAnsi"/>
                <w:sz w:val="20"/>
                <w:szCs w:val="20"/>
                <w:lang w:val="en-US"/>
              </w:rPr>
            </w:pPr>
            <w:r w:rsidRPr="004402EC">
              <w:rPr>
                <w:rFonts w:cstheme="minorHAnsi"/>
                <w:sz w:val="20"/>
                <w:szCs w:val="20"/>
                <w:lang w:val="en-US"/>
              </w:rPr>
              <w:t>Small sample size</w:t>
            </w:r>
            <w:r w:rsidR="002955D4" w:rsidRPr="004402EC">
              <w:rPr>
                <w:rFonts w:cstheme="minorHAnsi"/>
                <w:sz w:val="20"/>
                <w:szCs w:val="20"/>
                <w:lang w:val="en-US"/>
              </w:rPr>
              <w:t xml:space="preserve"> of episodic or chronic migraine</w:t>
            </w:r>
          </w:p>
        </w:tc>
      </w:tr>
      <w:tr w:rsidR="00BC4140" w:rsidRPr="004402EC" w14:paraId="2E3C7AC0" w14:textId="77777777" w:rsidTr="00E458C5">
        <w:tc>
          <w:tcPr>
            <w:tcW w:w="6232" w:type="dxa"/>
          </w:tcPr>
          <w:p w14:paraId="2BA96CDB" w14:textId="1A0A2B30" w:rsidR="00BC4140" w:rsidRPr="004402EC" w:rsidRDefault="00BC4140" w:rsidP="00BC4140">
            <w:pPr>
              <w:rPr>
                <w:rFonts w:cstheme="minorHAnsi"/>
                <w:sz w:val="20"/>
                <w:szCs w:val="20"/>
                <w:lang w:val="en-US"/>
              </w:rPr>
            </w:pPr>
            <w:r w:rsidRPr="004402EC">
              <w:rPr>
                <w:rFonts w:cstheme="minorHAnsi"/>
                <w:sz w:val="20"/>
                <w:szCs w:val="20"/>
                <w:lang w:val="en-US"/>
              </w:rPr>
              <w:t>101.  Pradalier A, Lantéri-Minet M, Géraud G, Attain H, Lucas C, Delgado A. The PROMISE study: PROphylaxis of migraine with SEglor®(dihydroergotamine mesilate) in French primary care. CNS drugs. 2004 Dec;18(15):1149-63.</w:t>
            </w:r>
          </w:p>
        </w:tc>
        <w:tc>
          <w:tcPr>
            <w:tcW w:w="2784" w:type="dxa"/>
          </w:tcPr>
          <w:p w14:paraId="1DC1C8AE" w14:textId="1327A004" w:rsidR="00BC4140" w:rsidRPr="004402EC" w:rsidRDefault="00BC4140" w:rsidP="00BC4140">
            <w:pPr>
              <w:rPr>
                <w:rFonts w:cstheme="minorHAnsi"/>
                <w:sz w:val="20"/>
                <w:szCs w:val="20"/>
                <w:lang w:val="en-US"/>
              </w:rPr>
            </w:pPr>
            <w:r w:rsidRPr="004402EC">
              <w:rPr>
                <w:rFonts w:cstheme="minorHAnsi"/>
                <w:sz w:val="20"/>
                <w:szCs w:val="20"/>
                <w:lang w:val="en-US"/>
              </w:rPr>
              <w:t>No report of Adverse Events</w:t>
            </w:r>
          </w:p>
        </w:tc>
      </w:tr>
      <w:tr w:rsidR="00BC4140" w:rsidRPr="004402EC" w14:paraId="0087C1E3" w14:textId="77777777" w:rsidTr="00E458C5">
        <w:tc>
          <w:tcPr>
            <w:tcW w:w="6232" w:type="dxa"/>
          </w:tcPr>
          <w:p w14:paraId="01E355B0" w14:textId="7232692E" w:rsidR="00BC4140" w:rsidRPr="004402EC" w:rsidRDefault="00BC4140" w:rsidP="00BC4140">
            <w:pPr>
              <w:rPr>
                <w:rFonts w:cstheme="minorHAnsi"/>
                <w:sz w:val="20"/>
                <w:szCs w:val="20"/>
                <w:lang w:val="en-US"/>
              </w:rPr>
            </w:pPr>
            <w:r w:rsidRPr="004402EC">
              <w:rPr>
                <w:rFonts w:cstheme="minorHAnsi"/>
                <w:sz w:val="20"/>
                <w:szCs w:val="20"/>
                <w:lang w:val="en-US"/>
              </w:rPr>
              <w:t>102.  Rahimdel A, Zeinali A, Yazdian-Anari P, Hajizadeh R, Arefnia E. Effectiveness of vitamin B2 versus sodium valproate in migraine prophylaxis: a randomized clinical trial. Electronic Physician. 2015 Oct;7(6):1344</w:t>
            </w:r>
          </w:p>
        </w:tc>
        <w:tc>
          <w:tcPr>
            <w:tcW w:w="2784" w:type="dxa"/>
          </w:tcPr>
          <w:p w14:paraId="095AEECC" w14:textId="638211AD" w:rsidR="00BC4140" w:rsidRPr="004402EC" w:rsidRDefault="00BC4140" w:rsidP="00BC4140">
            <w:pPr>
              <w:rPr>
                <w:rFonts w:cstheme="minorHAnsi"/>
                <w:sz w:val="20"/>
                <w:szCs w:val="20"/>
                <w:lang w:val="en-US"/>
              </w:rPr>
            </w:pPr>
            <w:r w:rsidRPr="004402EC">
              <w:rPr>
                <w:rFonts w:cstheme="minorHAnsi"/>
                <w:sz w:val="20"/>
                <w:szCs w:val="20"/>
                <w:lang w:val="en-US"/>
              </w:rPr>
              <w:t>Small sample size</w:t>
            </w:r>
            <w:r w:rsidR="00461D6B" w:rsidRPr="004402EC">
              <w:rPr>
                <w:rFonts w:cstheme="minorHAnsi"/>
                <w:sz w:val="20"/>
                <w:szCs w:val="20"/>
                <w:lang w:val="en-US"/>
              </w:rPr>
              <w:t xml:space="preserve"> </w:t>
            </w:r>
            <w:r w:rsidR="009F27FD" w:rsidRPr="004402EC">
              <w:rPr>
                <w:rFonts w:cstheme="minorHAnsi"/>
                <w:sz w:val="20"/>
                <w:szCs w:val="20"/>
                <w:lang w:val="en-US"/>
              </w:rPr>
              <w:t>of migraine</w:t>
            </w:r>
          </w:p>
        </w:tc>
      </w:tr>
      <w:tr w:rsidR="00BC4140" w:rsidRPr="004402EC" w14:paraId="44C1D0AA" w14:textId="77777777" w:rsidTr="00E458C5">
        <w:tc>
          <w:tcPr>
            <w:tcW w:w="6232" w:type="dxa"/>
          </w:tcPr>
          <w:p w14:paraId="4DB5A162" w14:textId="1BA91B36" w:rsidR="00BC4140" w:rsidRPr="004402EC" w:rsidRDefault="00BC4140" w:rsidP="00BC4140">
            <w:pPr>
              <w:rPr>
                <w:rFonts w:cstheme="minorHAnsi"/>
                <w:sz w:val="20"/>
                <w:szCs w:val="20"/>
                <w:lang w:val="en-US"/>
              </w:rPr>
            </w:pPr>
            <w:r w:rsidRPr="004402EC">
              <w:rPr>
                <w:rFonts w:cstheme="minorHAnsi"/>
                <w:sz w:val="20"/>
                <w:szCs w:val="20"/>
                <w:lang w:val="en-US"/>
              </w:rPr>
              <w:lastRenderedPageBreak/>
              <w:t>103.  Rapoport A, Mauskop A, Diener HC, Schwalen S, Pfeil J. Long‐term migraine prevention with topiramate: open‐label extension of pivotal trials. Headache: The Journal of Head and Face Pain. 2006 Jul;46(7):1151-60.</w:t>
            </w:r>
          </w:p>
        </w:tc>
        <w:tc>
          <w:tcPr>
            <w:tcW w:w="2784" w:type="dxa"/>
          </w:tcPr>
          <w:p w14:paraId="4BFD0551" w14:textId="30658EEC" w:rsidR="00BC4140" w:rsidRPr="004402EC" w:rsidRDefault="00BC4140" w:rsidP="00BC4140">
            <w:pPr>
              <w:rPr>
                <w:rFonts w:cstheme="minorHAnsi"/>
                <w:sz w:val="20"/>
                <w:szCs w:val="20"/>
                <w:lang w:val="en-US"/>
              </w:rPr>
            </w:pPr>
            <w:r w:rsidRPr="004402EC">
              <w:rPr>
                <w:rFonts w:cstheme="minorHAnsi"/>
                <w:sz w:val="20"/>
                <w:szCs w:val="20"/>
                <w:lang w:val="en-US"/>
              </w:rPr>
              <w:t>Mixed population of adults and adolescence</w:t>
            </w:r>
          </w:p>
        </w:tc>
      </w:tr>
      <w:tr w:rsidR="00BC4140" w:rsidRPr="004402EC" w14:paraId="5B4236F6" w14:textId="77777777" w:rsidTr="00E458C5">
        <w:tc>
          <w:tcPr>
            <w:tcW w:w="6232" w:type="dxa"/>
          </w:tcPr>
          <w:p w14:paraId="32B1696B" w14:textId="3EA8EE8E" w:rsidR="00BC4140" w:rsidRPr="004402EC" w:rsidRDefault="00BC4140" w:rsidP="00BC4140">
            <w:pPr>
              <w:rPr>
                <w:rFonts w:cstheme="minorHAnsi"/>
                <w:sz w:val="20"/>
                <w:szCs w:val="20"/>
                <w:lang w:val="en-US"/>
              </w:rPr>
            </w:pPr>
            <w:r w:rsidRPr="004402EC">
              <w:rPr>
                <w:rFonts w:cstheme="minorHAnsi"/>
                <w:sz w:val="20"/>
                <w:szCs w:val="20"/>
                <w:lang w:val="en-US"/>
              </w:rPr>
              <w:t>104.  Rasmussen MJ, Holt Larsen B, Borg L, Soelberg Sørensen P, Hansen PE. Tolfenamic acid versus propranolol in the prophylactic treatment of migraine. Acta neurologica scandinavica. 1994 Jun;89(6):446-50.</w:t>
            </w:r>
          </w:p>
        </w:tc>
        <w:tc>
          <w:tcPr>
            <w:tcW w:w="2784" w:type="dxa"/>
          </w:tcPr>
          <w:p w14:paraId="5B25FC05" w14:textId="70BD43C4" w:rsidR="00BC4140" w:rsidRPr="004402EC" w:rsidRDefault="00BC4140" w:rsidP="00BC4140">
            <w:pPr>
              <w:rPr>
                <w:rFonts w:cstheme="minorHAnsi"/>
                <w:sz w:val="20"/>
                <w:szCs w:val="20"/>
                <w:lang w:val="en-US"/>
              </w:rPr>
            </w:pPr>
            <w:r w:rsidRPr="004402EC">
              <w:rPr>
                <w:rFonts w:cstheme="minorHAnsi"/>
                <w:sz w:val="20"/>
                <w:szCs w:val="20"/>
                <w:lang w:val="en-US"/>
              </w:rPr>
              <w:t>Small sample size</w:t>
            </w:r>
            <w:r w:rsidR="002955D4" w:rsidRPr="004402EC">
              <w:rPr>
                <w:rFonts w:cstheme="minorHAnsi"/>
                <w:sz w:val="20"/>
                <w:szCs w:val="20"/>
                <w:lang w:val="en-US"/>
              </w:rPr>
              <w:t xml:space="preserve"> of episodic or chronic migraine</w:t>
            </w:r>
          </w:p>
        </w:tc>
      </w:tr>
      <w:tr w:rsidR="00BC4140" w:rsidRPr="004402EC" w14:paraId="01B690EE" w14:textId="77777777" w:rsidTr="00E458C5">
        <w:tc>
          <w:tcPr>
            <w:tcW w:w="6232" w:type="dxa"/>
          </w:tcPr>
          <w:p w14:paraId="2F3796B9" w14:textId="00D983C5" w:rsidR="00BC4140" w:rsidRPr="004402EC" w:rsidRDefault="00BC4140" w:rsidP="00BC4140">
            <w:pPr>
              <w:rPr>
                <w:rFonts w:cstheme="minorHAnsi"/>
                <w:sz w:val="20"/>
                <w:szCs w:val="20"/>
                <w:lang w:val="en-US"/>
              </w:rPr>
            </w:pPr>
            <w:r w:rsidRPr="004402EC">
              <w:rPr>
                <w:rFonts w:cstheme="minorHAnsi"/>
                <w:sz w:val="20"/>
                <w:szCs w:val="20"/>
                <w:lang w:val="en-US"/>
              </w:rPr>
              <w:t>105.  Kaushik R, Kaushik RM, Mahajan SK, Rajesh V. Biofeedback assisted diaphragmatic breathing and systematic relaxation versus propranolol in long term prophylaxis of migraine. Complementary therapies in medicine. 2005 Sep 1;13(3):165-74.</w:t>
            </w:r>
          </w:p>
        </w:tc>
        <w:tc>
          <w:tcPr>
            <w:tcW w:w="2784" w:type="dxa"/>
          </w:tcPr>
          <w:p w14:paraId="029DFB19" w14:textId="5A1A9275" w:rsidR="00BC4140" w:rsidRPr="004402EC" w:rsidRDefault="00BC4140" w:rsidP="00BC4140">
            <w:pPr>
              <w:rPr>
                <w:rFonts w:cstheme="minorHAnsi"/>
                <w:sz w:val="20"/>
                <w:szCs w:val="20"/>
                <w:lang w:val="en-US"/>
              </w:rPr>
            </w:pPr>
            <w:r w:rsidRPr="004402EC">
              <w:rPr>
                <w:rFonts w:cstheme="minorHAnsi"/>
                <w:sz w:val="20"/>
                <w:szCs w:val="20"/>
                <w:lang w:val="en-US"/>
              </w:rPr>
              <w:t>Small sample size</w:t>
            </w:r>
            <w:r w:rsidR="002955D4" w:rsidRPr="004402EC">
              <w:rPr>
                <w:rFonts w:cstheme="minorHAnsi"/>
                <w:sz w:val="20"/>
                <w:szCs w:val="20"/>
                <w:lang w:val="en-US"/>
              </w:rPr>
              <w:t xml:space="preserve"> of episodic or chronic migraine</w:t>
            </w:r>
          </w:p>
        </w:tc>
      </w:tr>
      <w:tr w:rsidR="00BC4140" w:rsidRPr="004402EC" w14:paraId="232CD440" w14:textId="77777777" w:rsidTr="00E458C5">
        <w:tc>
          <w:tcPr>
            <w:tcW w:w="6232" w:type="dxa"/>
          </w:tcPr>
          <w:p w14:paraId="240DEDDA" w14:textId="3A461416" w:rsidR="00BC4140" w:rsidRPr="004402EC" w:rsidRDefault="00BC4140" w:rsidP="00BC4140">
            <w:pPr>
              <w:rPr>
                <w:rFonts w:cstheme="minorHAnsi"/>
                <w:sz w:val="20"/>
                <w:szCs w:val="20"/>
                <w:lang w:val="en-US"/>
              </w:rPr>
            </w:pPr>
            <w:r w:rsidRPr="004402EC">
              <w:rPr>
                <w:rFonts w:cstheme="minorHAnsi"/>
                <w:sz w:val="20"/>
                <w:szCs w:val="20"/>
                <w:lang w:val="en-US"/>
              </w:rPr>
              <w:t>106.  Lipton RB, Silberstein S, Dodick D, Cady R, Freitag F, Mathew N, Biondi DM, Ascher S, Olson WH, Hulihan J. Topiramate intervention to prevent transformation of episodic migraine: the topiramate INTREPID study. Cephalalgia. 2011 Jan;31(1):18-30.</w:t>
            </w:r>
          </w:p>
        </w:tc>
        <w:tc>
          <w:tcPr>
            <w:tcW w:w="2784" w:type="dxa"/>
          </w:tcPr>
          <w:p w14:paraId="456A8994" w14:textId="0C021901" w:rsidR="00BC4140" w:rsidRPr="004402EC" w:rsidRDefault="009F27FD" w:rsidP="00BC4140">
            <w:pPr>
              <w:rPr>
                <w:rFonts w:cstheme="minorHAnsi"/>
                <w:sz w:val="20"/>
                <w:szCs w:val="20"/>
                <w:lang w:val="en-US"/>
              </w:rPr>
            </w:pPr>
            <w:r w:rsidRPr="004402EC">
              <w:rPr>
                <w:rFonts w:cstheme="minorHAnsi"/>
                <w:sz w:val="20"/>
                <w:szCs w:val="20"/>
                <w:lang w:val="en-US"/>
              </w:rPr>
              <w:t>Mixed population of adults and adolescence</w:t>
            </w:r>
          </w:p>
        </w:tc>
      </w:tr>
      <w:tr w:rsidR="00BC4140" w:rsidRPr="004402EC" w14:paraId="192FDCF6" w14:textId="77777777" w:rsidTr="00E458C5">
        <w:tc>
          <w:tcPr>
            <w:tcW w:w="6232" w:type="dxa"/>
          </w:tcPr>
          <w:p w14:paraId="3E0F474F" w14:textId="3D060C89" w:rsidR="00BC4140" w:rsidRPr="004402EC" w:rsidRDefault="00BC4140" w:rsidP="00BC4140">
            <w:pPr>
              <w:rPr>
                <w:rFonts w:cstheme="minorHAnsi"/>
                <w:sz w:val="20"/>
                <w:szCs w:val="20"/>
                <w:lang w:val="en-US"/>
              </w:rPr>
            </w:pPr>
            <w:r w:rsidRPr="004402EC">
              <w:rPr>
                <w:rFonts w:cstheme="minorHAnsi"/>
                <w:sz w:val="20"/>
                <w:szCs w:val="20"/>
                <w:lang w:val="en-US"/>
              </w:rPr>
              <w:t>107. Ryan Sr RE. Comparative study of nadolol and propranolol in prophylactic treatment of migraine. American Heart Journal. 1984 Oct 1;108(4):1156-9.</w:t>
            </w:r>
          </w:p>
        </w:tc>
        <w:tc>
          <w:tcPr>
            <w:tcW w:w="2784" w:type="dxa"/>
          </w:tcPr>
          <w:p w14:paraId="6B2F85E0" w14:textId="577CD209" w:rsidR="00BC4140" w:rsidRPr="004402EC" w:rsidRDefault="00BC4140" w:rsidP="00BC4140">
            <w:pPr>
              <w:rPr>
                <w:rFonts w:cstheme="minorHAnsi"/>
                <w:sz w:val="20"/>
                <w:szCs w:val="20"/>
                <w:lang w:val="en-US"/>
              </w:rPr>
            </w:pPr>
            <w:r w:rsidRPr="004402EC">
              <w:rPr>
                <w:rFonts w:cstheme="minorHAnsi"/>
                <w:sz w:val="20"/>
                <w:szCs w:val="20"/>
                <w:lang w:val="en-US"/>
              </w:rPr>
              <w:t>Small sample size</w:t>
            </w:r>
            <w:r w:rsidR="00876774" w:rsidRPr="004402EC">
              <w:rPr>
                <w:rFonts w:cstheme="minorHAnsi"/>
                <w:sz w:val="20"/>
                <w:szCs w:val="20"/>
                <w:lang w:val="en-US"/>
              </w:rPr>
              <w:t xml:space="preserve"> of episodic or chronic migraine</w:t>
            </w:r>
          </w:p>
        </w:tc>
      </w:tr>
      <w:tr w:rsidR="00BC4140" w:rsidRPr="004402EC" w14:paraId="37B7CE0A" w14:textId="77777777" w:rsidTr="00E458C5">
        <w:tc>
          <w:tcPr>
            <w:tcW w:w="6232" w:type="dxa"/>
          </w:tcPr>
          <w:p w14:paraId="75C0C948" w14:textId="3F8AD83E" w:rsidR="00BC4140" w:rsidRPr="004402EC" w:rsidRDefault="00BC4140" w:rsidP="00BC4140">
            <w:pPr>
              <w:rPr>
                <w:rFonts w:cstheme="minorHAnsi"/>
                <w:sz w:val="20"/>
                <w:szCs w:val="20"/>
                <w:lang w:val="en-US"/>
              </w:rPr>
            </w:pPr>
            <w:r w:rsidRPr="004402EC">
              <w:rPr>
                <w:rFonts w:cstheme="minorHAnsi"/>
                <w:sz w:val="20"/>
                <w:szCs w:val="20"/>
                <w:lang w:val="en-US"/>
              </w:rPr>
              <w:t>108. Ryan RE, Diamond S, Ryan RE. Double blind study of clonidine and placebo for the prophylactic treatment of migraine. Headache: The Journal of Head and Face Pain. 1975 Oct;15(3):202-6.</w:t>
            </w:r>
          </w:p>
        </w:tc>
        <w:tc>
          <w:tcPr>
            <w:tcW w:w="2784" w:type="dxa"/>
          </w:tcPr>
          <w:p w14:paraId="7FF6BCD9" w14:textId="4BF45158" w:rsidR="00BC4140" w:rsidRPr="004402EC" w:rsidRDefault="00BC4140" w:rsidP="00BC4140">
            <w:pPr>
              <w:rPr>
                <w:rFonts w:cstheme="minorHAnsi"/>
                <w:sz w:val="20"/>
                <w:szCs w:val="20"/>
                <w:lang w:val="en-US"/>
              </w:rPr>
            </w:pPr>
            <w:r w:rsidRPr="004402EC">
              <w:rPr>
                <w:rFonts w:cstheme="minorHAnsi"/>
                <w:sz w:val="20"/>
                <w:szCs w:val="20"/>
                <w:lang w:val="en-US"/>
              </w:rPr>
              <w:t>Small sample size</w:t>
            </w:r>
            <w:r w:rsidR="00876774" w:rsidRPr="004402EC">
              <w:rPr>
                <w:rFonts w:cstheme="minorHAnsi"/>
                <w:sz w:val="20"/>
                <w:szCs w:val="20"/>
                <w:lang w:val="en-US"/>
              </w:rPr>
              <w:t xml:space="preserve"> of migraine</w:t>
            </w:r>
          </w:p>
        </w:tc>
      </w:tr>
      <w:tr w:rsidR="00BC4140" w:rsidRPr="004402EC" w14:paraId="03CF7974" w14:textId="77777777" w:rsidTr="00E458C5">
        <w:tc>
          <w:tcPr>
            <w:tcW w:w="6232" w:type="dxa"/>
          </w:tcPr>
          <w:p w14:paraId="28D83A8F" w14:textId="45955483" w:rsidR="00BC4140" w:rsidRPr="004402EC" w:rsidRDefault="00BC4140" w:rsidP="00BC4140">
            <w:pPr>
              <w:rPr>
                <w:rFonts w:cstheme="minorHAnsi"/>
                <w:sz w:val="20"/>
                <w:szCs w:val="20"/>
                <w:lang w:val="en-US"/>
              </w:rPr>
            </w:pPr>
            <w:r w:rsidRPr="004402EC">
              <w:rPr>
                <w:rFonts w:cstheme="minorHAnsi"/>
                <w:sz w:val="20"/>
                <w:szCs w:val="20"/>
                <w:lang w:val="en-US"/>
              </w:rPr>
              <w:t>109. Ildefonso RL, Martín SA, Francisco HS, Mandeville Peter B, del Rocío RL, Manuel SM, Humberto TP. Topiramate vs. Amitriptyline in prophylactic treatment of migraine: A controlled clinical trial. Rev Mex Neurosci. 2010;11(5):338-42.</w:t>
            </w:r>
          </w:p>
        </w:tc>
        <w:tc>
          <w:tcPr>
            <w:tcW w:w="2784" w:type="dxa"/>
          </w:tcPr>
          <w:p w14:paraId="0A4B3F7E" w14:textId="211BBDDA" w:rsidR="00BC4140" w:rsidRPr="004402EC" w:rsidRDefault="00BC4140" w:rsidP="00BC4140">
            <w:pPr>
              <w:rPr>
                <w:rFonts w:cstheme="minorHAnsi"/>
                <w:sz w:val="20"/>
                <w:szCs w:val="20"/>
                <w:lang w:val="en-US"/>
              </w:rPr>
            </w:pPr>
            <w:r w:rsidRPr="004402EC">
              <w:rPr>
                <w:rFonts w:cstheme="minorHAnsi"/>
                <w:sz w:val="20"/>
                <w:szCs w:val="20"/>
                <w:lang w:val="en-US"/>
              </w:rPr>
              <w:t>Small sample size</w:t>
            </w:r>
            <w:r w:rsidR="00876774" w:rsidRPr="004402EC">
              <w:rPr>
                <w:rFonts w:cstheme="minorHAnsi"/>
                <w:sz w:val="20"/>
                <w:szCs w:val="20"/>
                <w:lang w:val="en-US"/>
              </w:rPr>
              <w:t xml:space="preserve"> of migraine</w:t>
            </w:r>
          </w:p>
        </w:tc>
      </w:tr>
      <w:tr w:rsidR="00BC4140" w:rsidRPr="004402EC" w14:paraId="42A176C2" w14:textId="77777777" w:rsidTr="00E458C5">
        <w:tc>
          <w:tcPr>
            <w:tcW w:w="6232" w:type="dxa"/>
          </w:tcPr>
          <w:p w14:paraId="50B19818" w14:textId="57E7542E" w:rsidR="00BC4140" w:rsidRPr="004402EC" w:rsidRDefault="00BC4140" w:rsidP="00BC4140">
            <w:pPr>
              <w:rPr>
                <w:rFonts w:cstheme="minorHAnsi"/>
                <w:sz w:val="20"/>
                <w:szCs w:val="20"/>
                <w:lang w:val="en-US"/>
              </w:rPr>
            </w:pPr>
            <w:r w:rsidRPr="004402EC">
              <w:rPr>
                <w:rFonts w:cstheme="minorHAnsi"/>
                <w:sz w:val="20"/>
                <w:szCs w:val="20"/>
                <w:lang w:val="en-US"/>
              </w:rPr>
              <w:t>110.  Weber RB, Reinmuth OM. The treatment of migraine with propranolol. Neurology. 1972 Apr 1;22(4):366-9.</w:t>
            </w:r>
          </w:p>
        </w:tc>
        <w:tc>
          <w:tcPr>
            <w:tcW w:w="2784" w:type="dxa"/>
          </w:tcPr>
          <w:p w14:paraId="4824B0DA" w14:textId="3858030D" w:rsidR="00BC4140" w:rsidRPr="004402EC" w:rsidRDefault="00BC4140" w:rsidP="00BC4140">
            <w:pPr>
              <w:rPr>
                <w:rFonts w:cstheme="minorHAnsi"/>
                <w:sz w:val="20"/>
                <w:szCs w:val="20"/>
                <w:lang w:val="en-US"/>
              </w:rPr>
            </w:pPr>
            <w:r w:rsidRPr="004402EC">
              <w:rPr>
                <w:rFonts w:cstheme="minorHAnsi"/>
                <w:sz w:val="20"/>
                <w:szCs w:val="20"/>
                <w:lang w:val="en-US"/>
              </w:rPr>
              <w:t>Small sample size</w:t>
            </w:r>
            <w:r w:rsidR="00876774" w:rsidRPr="004402EC">
              <w:rPr>
                <w:rFonts w:cstheme="minorHAnsi"/>
                <w:sz w:val="20"/>
                <w:szCs w:val="20"/>
                <w:lang w:val="en-US"/>
              </w:rPr>
              <w:t xml:space="preserve"> of migraine</w:t>
            </w:r>
          </w:p>
        </w:tc>
      </w:tr>
      <w:tr w:rsidR="00EB171C" w:rsidRPr="004402EC" w14:paraId="7515ED55" w14:textId="77777777" w:rsidTr="00E458C5">
        <w:tc>
          <w:tcPr>
            <w:tcW w:w="6232" w:type="dxa"/>
          </w:tcPr>
          <w:p w14:paraId="7509C170" w14:textId="4EA9E09C" w:rsidR="00EB171C" w:rsidRPr="004402EC" w:rsidRDefault="00EB171C" w:rsidP="00EB171C">
            <w:pPr>
              <w:rPr>
                <w:rFonts w:cstheme="minorHAnsi"/>
                <w:sz w:val="20"/>
                <w:szCs w:val="20"/>
                <w:lang w:val="en-US"/>
              </w:rPr>
            </w:pPr>
            <w:r w:rsidRPr="004402EC">
              <w:rPr>
                <w:rFonts w:cstheme="minorHAnsi"/>
                <w:sz w:val="20"/>
                <w:szCs w:val="20"/>
                <w:lang w:val="en-US"/>
              </w:rPr>
              <w:t xml:space="preserve">111.  Ruff DD, Ford JH, Tockhorn‐Heidenreich A, Stauffer VL, Govindan S, Aurora SK, Terwindt GM, Goadsby PJ. Efficacy of </w:t>
            </w:r>
            <w:r w:rsidR="00780A4A" w:rsidRPr="004402EC">
              <w:rPr>
                <w:rFonts w:cstheme="minorHAnsi"/>
                <w:sz w:val="20"/>
                <w:szCs w:val="20"/>
                <w:lang w:val="en-US"/>
              </w:rPr>
              <w:t>Galcanezumab</w:t>
            </w:r>
            <w:r w:rsidRPr="004402EC">
              <w:rPr>
                <w:rFonts w:cstheme="minorHAnsi"/>
                <w:sz w:val="20"/>
                <w:szCs w:val="20"/>
                <w:lang w:val="en-US"/>
              </w:rPr>
              <w:t xml:space="preserve"> in patients with episodic migraine and a history of preventive treatment failure: results from two global randomized clinical trials. European journal of neurology. 2020 Apr;27(4):609-18.</w:t>
            </w:r>
          </w:p>
        </w:tc>
        <w:tc>
          <w:tcPr>
            <w:tcW w:w="2784" w:type="dxa"/>
          </w:tcPr>
          <w:p w14:paraId="124ED389" w14:textId="2BAFCC3F" w:rsidR="00EB171C" w:rsidRPr="004402EC" w:rsidRDefault="00EB171C" w:rsidP="00EB171C">
            <w:pPr>
              <w:rPr>
                <w:rFonts w:cstheme="minorHAnsi"/>
                <w:sz w:val="20"/>
                <w:szCs w:val="20"/>
                <w:lang w:val="en-US"/>
              </w:rPr>
            </w:pPr>
            <w:r w:rsidRPr="004402EC">
              <w:rPr>
                <w:rFonts w:cstheme="minorHAnsi"/>
                <w:sz w:val="20"/>
                <w:szCs w:val="20"/>
                <w:lang w:val="en-US"/>
              </w:rPr>
              <w:t>No report of Adverse Events</w:t>
            </w:r>
          </w:p>
        </w:tc>
      </w:tr>
      <w:tr w:rsidR="00EB171C" w:rsidRPr="004402EC" w14:paraId="14EC6920" w14:textId="77777777" w:rsidTr="00E458C5">
        <w:tc>
          <w:tcPr>
            <w:tcW w:w="6232" w:type="dxa"/>
          </w:tcPr>
          <w:p w14:paraId="3E8B2F3B" w14:textId="123B45AF" w:rsidR="00EB171C" w:rsidRPr="004402EC" w:rsidRDefault="00EB171C" w:rsidP="00EB171C">
            <w:pPr>
              <w:rPr>
                <w:rFonts w:cstheme="minorHAnsi"/>
                <w:sz w:val="20"/>
                <w:szCs w:val="20"/>
                <w:lang w:val="en-US"/>
              </w:rPr>
            </w:pPr>
            <w:r w:rsidRPr="004402EC">
              <w:rPr>
                <w:rFonts w:cstheme="minorHAnsi"/>
                <w:sz w:val="20"/>
                <w:szCs w:val="20"/>
                <w:lang w:val="en-US"/>
              </w:rPr>
              <w:t>112.  Evers S, Vollmer-Haase J, Schwaag S, Rahmann A, Husstedt IW, Frese A. Botulinum toxin A in the prophylactic treatment of migraine–a randomized, double-blind, placebo-controlled study. Cephalalgia. 2004 Oct;24(10):838-43.</w:t>
            </w:r>
          </w:p>
        </w:tc>
        <w:tc>
          <w:tcPr>
            <w:tcW w:w="2784" w:type="dxa"/>
          </w:tcPr>
          <w:p w14:paraId="7C9FAE3E" w14:textId="6A97461D"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876774" w:rsidRPr="004402EC">
              <w:rPr>
                <w:rFonts w:cstheme="minorHAnsi"/>
                <w:sz w:val="20"/>
                <w:szCs w:val="20"/>
                <w:lang w:val="en-US"/>
              </w:rPr>
              <w:t xml:space="preserve"> of migraine</w:t>
            </w:r>
          </w:p>
        </w:tc>
      </w:tr>
      <w:tr w:rsidR="00EB171C" w:rsidRPr="004402EC" w14:paraId="0D6F65AD" w14:textId="77777777" w:rsidTr="00E458C5">
        <w:tc>
          <w:tcPr>
            <w:tcW w:w="6232" w:type="dxa"/>
          </w:tcPr>
          <w:p w14:paraId="45C45F5D" w14:textId="0BAFCF31" w:rsidR="00EB171C" w:rsidRPr="004402EC" w:rsidRDefault="00EB171C" w:rsidP="00EB171C">
            <w:pPr>
              <w:rPr>
                <w:rFonts w:cstheme="minorHAnsi"/>
                <w:sz w:val="20"/>
                <w:szCs w:val="20"/>
                <w:lang w:val="en-US"/>
              </w:rPr>
            </w:pPr>
            <w:r w:rsidRPr="004402EC">
              <w:rPr>
                <w:rFonts w:cstheme="minorHAnsi"/>
                <w:sz w:val="20"/>
                <w:szCs w:val="20"/>
                <w:lang w:val="en-US"/>
              </w:rPr>
              <w:t xml:space="preserve">113.  Ghobadi SH, Jivad N. The prophylactic activity of </w:t>
            </w:r>
            <w:r w:rsidR="00807D33">
              <w:rPr>
                <w:rFonts w:cstheme="minorHAnsi"/>
                <w:sz w:val="20"/>
                <w:szCs w:val="20"/>
                <w:lang w:val="en-US"/>
              </w:rPr>
              <w:t>P</w:t>
            </w:r>
            <w:r w:rsidR="00807D33" w:rsidRPr="004402EC">
              <w:rPr>
                <w:rFonts w:cstheme="minorHAnsi"/>
                <w:sz w:val="20"/>
                <w:szCs w:val="20"/>
                <w:lang w:val="en-US"/>
              </w:rPr>
              <w:t>ropranolol</w:t>
            </w:r>
            <w:r w:rsidRPr="004402EC">
              <w:rPr>
                <w:rFonts w:cstheme="minorHAnsi"/>
                <w:sz w:val="20"/>
                <w:szCs w:val="20"/>
                <w:lang w:val="en-US"/>
              </w:rPr>
              <w:t xml:space="preserve"> and nimodipineon migraine headache. World J Med Sci. 2013;8(2):144-6.</w:t>
            </w:r>
          </w:p>
        </w:tc>
        <w:tc>
          <w:tcPr>
            <w:tcW w:w="2784" w:type="dxa"/>
          </w:tcPr>
          <w:p w14:paraId="198B3B52" w14:textId="1EB0F694"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E25B78" w:rsidRPr="004402EC">
              <w:rPr>
                <w:rFonts w:cstheme="minorHAnsi"/>
                <w:sz w:val="20"/>
                <w:szCs w:val="20"/>
                <w:lang w:val="en-US"/>
              </w:rPr>
              <w:t xml:space="preserve"> of migraine</w:t>
            </w:r>
          </w:p>
        </w:tc>
      </w:tr>
      <w:tr w:rsidR="00EB171C" w:rsidRPr="004402EC" w14:paraId="18162045" w14:textId="77777777" w:rsidTr="00E458C5">
        <w:tc>
          <w:tcPr>
            <w:tcW w:w="6232" w:type="dxa"/>
          </w:tcPr>
          <w:p w14:paraId="6FBFE715" w14:textId="225500D3" w:rsidR="00EB171C" w:rsidRPr="004402EC" w:rsidRDefault="00EB171C" w:rsidP="00EB171C">
            <w:pPr>
              <w:rPr>
                <w:rFonts w:cstheme="minorHAnsi"/>
                <w:sz w:val="20"/>
                <w:szCs w:val="20"/>
                <w:lang w:val="en-US"/>
              </w:rPr>
            </w:pPr>
            <w:r w:rsidRPr="004402EC">
              <w:rPr>
                <w:rFonts w:cstheme="minorHAnsi"/>
                <w:sz w:val="20"/>
                <w:szCs w:val="20"/>
                <w:lang w:val="en-US"/>
              </w:rPr>
              <w:t>114.   Sadeghian H, Motiei-Langroudi R. Comparison of Levetiracetam and sodium Valproate in migraine prophylaxis: A randomized placebo-controlled study. Annals of Indian Academy of Neurology. 2015 Jan</w:t>
            </w:r>
            <w:proofErr w:type="gramStart"/>
            <w:r w:rsidRPr="004402EC">
              <w:rPr>
                <w:rFonts w:cstheme="minorHAnsi"/>
                <w:sz w:val="20"/>
                <w:szCs w:val="20"/>
                <w:lang w:val="en-US"/>
              </w:rPr>
              <w:t>;18</w:t>
            </w:r>
            <w:proofErr w:type="gramEnd"/>
            <w:r w:rsidRPr="004402EC">
              <w:rPr>
                <w:rFonts w:cstheme="minorHAnsi"/>
                <w:sz w:val="20"/>
                <w:szCs w:val="20"/>
                <w:lang w:val="en-US"/>
              </w:rPr>
              <w:t>(1):45.</w:t>
            </w:r>
          </w:p>
        </w:tc>
        <w:tc>
          <w:tcPr>
            <w:tcW w:w="2784" w:type="dxa"/>
          </w:tcPr>
          <w:p w14:paraId="301105BE" w14:textId="4785FB34" w:rsidR="00EB171C" w:rsidRPr="004402EC" w:rsidRDefault="00E25B78" w:rsidP="00EB171C">
            <w:pPr>
              <w:rPr>
                <w:rFonts w:cstheme="minorHAnsi"/>
                <w:sz w:val="20"/>
                <w:szCs w:val="20"/>
                <w:lang w:val="en-US"/>
              </w:rPr>
            </w:pPr>
            <w:r w:rsidRPr="004402EC">
              <w:rPr>
                <w:rFonts w:cstheme="minorHAnsi"/>
                <w:sz w:val="20"/>
                <w:szCs w:val="20"/>
                <w:lang w:val="en-US"/>
              </w:rPr>
              <w:t>Mixed population of Adolescent and adult</w:t>
            </w:r>
          </w:p>
        </w:tc>
      </w:tr>
      <w:tr w:rsidR="00EB171C" w:rsidRPr="004402EC" w14:paraId="563AE918" w14:textId="77777777" w:rsidTr="00E458C5">
        <w:tc>
          <w:tcPr>
            <w:tcW w:w="6232" w:type="dxa"/>
          </w:tcPr>
          <w:p w14:paraId="67788D2F" w14:textId="28020A1B" w:rsidR="00EB171C" w:rsidRPr="004402EC" w:rsidRDefault="00EB171C" w:rsidP="00EB171C">
            <w:pPr>
              <w:rPr>
                <w:rFonts w:cstheme="minorHAnsi"/>
                <w:sz w:val="20"/>
                <w:szCs w:val="20"/>
                <w:lang w:val="en-US"/>
              </w:rPr>
            </w:pPr>
            <w:r w:rsidRPr="004402EC">
              <w:rPr>
                <w:rFonts w:cstheme="minorHAnsi"/>
                <w:sz w:val="20"/>
                <w:szCs w:val="20"/>
                <w:lang w:val="en-US"/>
              </w:rPr>
              <w:t xml:space="preserve">115.  Sakai F, Takeshima T, Tatsuoka Y, Hirata K, Lenz R, Wang Y, Cheng S, Hirama T, Mikol DD. A randomized phase 2 study of </w:t>
            </w:r>
            <w:r w:rsidR="00780A4A">
              <w:rPr>
                <w:rFonts w:cstheme="minorHAnsi"/>
                <w:sz w:val="20"/>
                <w:szCs w:val="20"/>
                <w:lang w:val="en-US"/>
              </w:rPr>
              <w:t>E</w:t>
            </w:r>
            <w:r w:rsidRPr="004402EC">
              <w:rPr>
                <w:rFonts w:cstheme="minorHAnsi"/>
                <w:sz w:val="20"/>
                <w:szCs w:val="20"/>
                <w:lang w:val="en-US"/>
              </w:rPr>
              <w:t>renumab for the prevention of episodic migraine in Japanese adults. Headache: The Journal of Head and Face Pain. 2019 Nov;59(10):1731-42.</w:t>
            </w:r>
          </w:p>
        </w:tc>
        <w:tc>
          <w:tcPr>
            <w:tcW w:w="2784" w:type="dxa"/>
          </w:tcPr>
          <w:p w14:paraId="16CD1F6A" w14:textId="3BA1C07D"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E25B78" w:rsidRPr="004402EC">
              <w:rPr>
                <w:rFonts w:cstheme="minorHAnsi"/>
                <w:sz w:val="20"/>
                <w:szCs w:val="20"/>
                <w:lang w:val="en-US"/>
              </w:rPr>
              <w:t xml:space="preserve"> of episodic migraine</w:t>
            </w:r>
          </w:p>
        </w:tc>
      </w:tr>
      <w:tr w:rsidR="00EB171C" w:rsidRPr="004402EC" w14:paraId="2E5A1756" w14:textId="77777777" w:rsidTr="00E458C5">
        <w:tc>
          <w:tcPr>
            <w:tcW w:w="6232" w:type="dxa"/>
          </w:tcPr>
          <w:p w14:paraId="6BA3B41D" w14:textId="4FFB62BD" w:rsidR="00EB171C" w:rsidRPr="004402EC" w:rsidRDefault="00EB171C" w:rsidP="00EB171C">
            <w:pPr>
              <w:rPr>
                <w:rFonts w:cstheme="minorHAnsi"/>
                <w:sz w:val="20"/>
                <w:szCs w:val="20"/>
                <w:lang w:val="en-US"/>
              </w:rPr>
            </w:pPr>
            <w:r w:rsidRPr="004402EC">
              <w:rPr>
                <w:rFonts w:cstheme="minorHAnsi"/>
                <w:sz w:val="20"/>
                <w:szCs w:val="20"/>
                <w:lang w:val="en-US"/>
              </w:rPr>
              <w:t xml:space="preserve">116.  Sakai F, Takeshima T, Tatsuoka Y, Hirata K, Cheng S, Numachi Y, Peng C, Xue F, Mikol DD. Long‐term efficacy and safety during open‐label </w:t>
            </w:r>
            <w:r w:rsidR="00780A4A">
              <w:rPr>
                <w:rFonts w:cstheme="minorHAnsi"/>
                <w:sz w:val="20"/>
                <w:szCs w:val="20"/>
                <w:lang w:val="en-US"/>
              </w:rPr>
              <w:t>E</w:t>
            </w:r>
            <w:r w:rsidRPr="004402EC">
              <w:rPr>
                <w:rFonts w:cstheme="minorHAnsi"/>
                <w:sz w:val="20"/>
                <w:szCs w:val="20"/>
                <w:lang w:val="en-US"/>
              </w:rPr>
              <w:t>renumab treatment in Japanese patients with episodic migraine. Headache: The Journal of Head and Face Pain. 2021 Apr;61(4):653-61.</w:t>
            </w:r>
          </w:p>
        </w:tc>
        <w:tc>
          <w:tcPr>
            <w:tcW w:w="2784" w:type="dxa"/>
          </w:tcPr>
          <w:p w14:paraId="0241B8C5" w14:textId="3A4577F4"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E25B78" w:rsidRPr="004402EC">
              <w:rPr>
                <w:rFonts w:cstheme="minorHAnsi"/>
                <w:sz w:val="20"/>
                <w:szCs w:val="20"/>
                <w:lang w:val="en-US"/>
              </w:rPr>
              <w:t xml:space="preserve"> of episodic migraine</w:t>
            </w:r>
          </w:p>
        </w:tc>
      </w:tr>
      <w:tr w:rsidR="00EB171C" w:rsidRPr="004402EC" w14:paraId="01CDF295" w14:textId="77777777" w:rsidTr="00E458C5">
        <w:tc>
          <w:tcPr>
            <w:tcW w:w="6232" w:type="dxa"/>
          </w:tcPr>
          <w:p w14:paraId="43CDF225" w14:textId="267EA76B" w:rsidR="00EB171C" w:rsidRPr="004402EC" w:rsidRDefault="00EB171C" w:rsidP="00EB171C">
            <w:pPr>
              <w:rPr>
                <w:rFonts w:cstheme="minorHAnsi"/>
                <w:sz w:val="20"/>
                <w:szCs w:val="20"/>
                <w:lang w:val="en-US"/>
              </w:rPr>
            </w:pPr>
            <w:r w:rsidRPr="004402EC">
              <w:rPr>
                <w:rFonts w:cstheme="minorHAnsi"/>
                <w:sz w:val="20"/>
                <w:szCs w:val="20"/>
                <w:lang w:val="en-US"/>
              </w:rPr>
              <w:t xml:space="preserve">117.  </w:t>
            </w:r>
            <w:bookmarkStart w:id="4" w:name="_Hlk132200383"/>
            <w:r w:rsidRPr="004402EC">
              <w:rPr>
                <w:rFonts w:cstheme="minorHAnsi"/>
                <w:sz w:val="20"/>
                <w:szCs w:val="20"/>
                <w:lang w:val="en-US"/>
              </w:rPr>
              <w:t>Santiago MD, Carvalho DD, Gabbai AA, Pinto MM, Moutran AR, Villa TR. Amitriptyline and aerobic exercise or amitriptyline alone in the treatment of chronic migraine: a randomized comparative study. Arquivos de neuro-psiquiatria. 2014;72:851-5.</w:t>
            </w:r>
            <w:bookmarkEnd w:id="4"/>
          </w:p>
        </w:tc>
        <w:tc>
          <w:tcPr>
            <w:tcW w:w="2784" w:type="dxa"/>
          </w:tcPr>
          <w:p w14:paraId="4ECF4D1B" w14:textId="2ABB22D7"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A94AC9" w:rsidRPr="004402EC">
              <w:rPr>
                <w:rFonts w:cstheme="minorHAnsi"/>
                <w:sz w:val="20"/>
                <w:szCs w:val="20"/>
                <w:lang w:val="en-US"/>
              </w:rPr>
              <w:t xml:space="preserve"> of chronic migraine</w:t>
            </w:r>
            <w:r w:rsidR="004D2E94" w:rsidRPr="004402EC">
              <w:rPr>
                <w:rFonts w:cstheme="minorHAnsi"/>
                <w:sz w:val="20"/>
                <w:szCs w:val="20"/>
                <w:lang w:val="en-US"/>
              </w:rPr>
              <w:t xml:space="preserve">, compared with exercise. </w:t>
            </w:r>
          </w:p>
        </w:tc>
      </w:tr>
      <w:tr w:rsidR="00EB171C" w:rsidRPr="004402EC" w14:paraId="2BFB7E3C" w14:textId="77777777" w:rsidTr="00E458C5">
        <w:tc>
          <w:tcPr>
            <w:tcW w:w="6232" w:type="dxa"/>
          </w:tcPr>
          <w:p w14:paraId="6D41B1C7" w14:textId="10AC5F47" w:rsidR="00EB171C" w:rsidRPr="004402EC" w:rsidRDefault="00EB171C" w:rsidP="00EB171C">
            <w:pPr>
              <w:rPr>
                <w:rFonts w:cstheme="minorHAnsi"/>
                <w:sz w:val="20"/>
                <w:szCs w:val="20"/>
                <w:lang w:val="en-US"/>
              </w:rPr>
            </w:pPr>
            <w:r w:rsidRPr="004402EC">
              <w:rPr>
                <w:rFonts w:cstheme="minorHAnsi"/>
                <w:sz w:val="20"/>
                <w:szCs w:val="20"/>
                <w:lang w:val="en-US"/>
              </w:rPr>
              <w:t xml:space="preserve">118.  Saper JR, Lake III AE, Cantrell DT, Winner PK, White JR. Chronic daily headache prophylaxis with tizanidine: a double‐blind, placebo‐controlled, </w:t>
            </w:r>
            <w:r w:rsidRPr="004402EC">
              <w:rPr>
                <w:rFonts w:cstheme="minorHAnsi"/>
                <w:sz w:val="20"/>
                <w:szCs w:val="20"/>
                <w:lang w:val="en-US"/>
              </w:rPr>
              <w:lastRenderedPageBreak/>
              <w:t>multicenter outcome study. Headache: The Journal of Head and Face Pain. 2002 Jun;42(6):470-82.</w:t>
            </w:r>
          </w:p>
        </w:tc>
        <w:tc>
          <w:tcPr>
            <w:tcW w:w="2784" w:type="dxa"/>
          </w:tcPr>
          <w:p w14:paraId="0C4E1EAD" w14:textId="1E4C37CC" w:rsidR="00EB171C" w:rsidRPr="004402EC" w:rsidRDefault="00EB171C" w:rsidP="00EB171C">
            <w:pPr>
              <w:rPr>
                <w:rFonts w:cstheme="minorHAnsi"/>
                <w:sz w:val="20"/>
                <w:szCs w:val="20"/>
                <w:lang w:val="en-US"/>
              </w:rPr>
            </w:pPr>
            <w:r w:rsidRPr="004402EC">
              <w:rPr>
                <w:rFonts w:cstheme="minorHAnsi"/>
                <w:sz w:val="20"/>
                <w:szCs w:val="20"/>
                <w:lang w:val="en-US"/>
              </w:rPr>
              <w:lastRenderedPageBreak/>
              <w:t>Small sample size</w:t>
            </w:r>
            <w:r w:rsidR="00E25B78" w:rsidRPr="004402EC">
              <w:rPr>
                <w:rFonts w:cstheme="minorHAnsi"/>
                <w:sz w:val="20"/>
                <w:szCs w:val="20"/>
                <w:lang w:val="en-US"/>
              </w:rPr>
              <w:t xml:space="preserve"> of chronic daily headache</w:t>
            </w:r>
          </w:p>
        </w:tc>
      </w:tr>
      <w:tr w:rsidR="00EB171C" w:rsidRPr="004402EC" w14:paraId="202209F3" w14:textId="77777777" w:rsidTr="00E458C5">
        <w:tc>
          <w:tcPr>
            <w:tcW w:w="6232" w:type="dxa"/>
          </w:tcPr>
          <w:p w14:paraId="693EDD52" w14:textId="24121972" w:rsidR="00EB171C" w:rsidRPr="004402EC" w:rsidRDefault="00EB171C" w:rsidP="00EB171C">
            <w:pPr>
              <w:rPr>
                <w:rFonts w:cstheme="minorHAnsi"/>
                <w:sz w:val="20"/>
                <w:szCs w:val="20"/>
                <w:lang w:val="en-US"/>
              </w:rPr>
            </w:pPr>
            <w:r w:rsidRPr="004402EC">
              <w:rPr>
                <w:rFonts w:cstheme="minorHAnsi"/>
                <w:sz w:val="20"/>
                <w:szCs w:val="20"/>
                <w:lang w:val="en-US"/>
              </w:rPr>
              <w:lastRenderedPageBreak/>
              <w:t>119.  Schellenberg R, Lichtenthal A, Wöhling H, Graf C, Brixius K. Nebivolol and Metoprolol for Treating Migraine: An Advance on β‐Blocker Treatment?. Headache: The Journal of Head and Face Pain. 2008 Jan;48(1):118-25.</w:t>
            </w:r>
          </w:p>
        </w:tc>
        <w:tc>
          <w:tcPr>
            <w:tcW w:w="2784" w:type="dxa"/>
          </w:tcPr>
          <w:p w14:paraId="2BBD819C" w14:textId="0A6C301B"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8A3959" w:rsidRPr="004402EC">
              <w:rPr>
                <w:rFonts w:cstheme="minorHAnsi"/>
                <w:sz w:val="20"/>
                <w:szCs w:val="20"/>
                <w:lang w:val="en-US"/>
              </w:rPr>
              <w:t xml:space="preserve"> of episodic or chronic migraine</w:t>
            </w:r>
          </w:p>
        </w:tc>
      </w:tr>
      <w:tr w:rsidR="00EB171C" w:rsidRPr="004402EC" w14:paraId="33EC9F38" w14:textId="77777777" w:rsidTr="00E458C5">
        <w:tc>
          <w:tcPr>
            <w:tcW w:w="6232" w:type="dxa"/>
          </w:tcPr>
          <w:p w14:paraId="493A5475" w14:textId="3B9C88FA" w:rsidR="00EB171C" w:rsidRPr="004402EC" w:rsidRDefault="00EB171C" w:rsidP="00EB171C">
            <w:pPr>
              <w:rPr>
                <w:rFonts w:cstheme="minorHAnsi"/>
                <w:sz w:val="20"/>
                <w:szCs w:val="20"/>
                <w:lang w:val="en-US"/>
              </w:rPr>
            </w:pPr>
            <w:r w:rsidRPr="004402EC">
              <w:rPr>
                <w:rFonts w:cstheme="minorHAnsi"/>
                <w:sz w:val="20"/>
                <w:szCs w:val="20"/>
                <w:lang w:val="en-US"/>
              </w:rPr>
              <w:t>120.  Seng EK, Holroyd KA. Behavioral migraine management modifies behavioral and cognitive coping in people with migraine. Headache: The Journal of Head and Face Pain. 2014 Oct;54(9):1470-83.</w:t>
            </w:r>
          </w:p>
        </w:tc>
        <w:tc>
          <w:tcPr>
            <w:tcW w:w="2784" w:type="dxa"/>
          </w:tcPr>
          <w:p w14:paraId="5DC6EFDB" w14:textId="47CFA480" w:rsidR="00EB171C" w:rsidRPr="004402EC" w:rsidRDefault="00EB171C" w:rsidP="00EB171C">
            <w:pPr>
              <w:rPr>
                <w:rFonts w:cstheme="minorHAnsi"/>
                <w:sz w:val="20"/>
                <w:szCs w:val="20"/>
                <w:lang w:val="en-US"/>
              </w:rPr>
            </w:pPr>
            <w:r w:rsidRPr="004402EC">
              <w:rPr>
                <w:rFonts w:cstheme="minorHAnsi"/>
                <w:sz w:val="20"/>
                <w:szCs w:val="20"/>
                <w:lang w:val="en-US"/>
              </w:rPr>
              <w:t xml:space="preserve">Not drug trial </w:t>
            </w:r>
          </w:p>
        </w:tc>
      </w:tr>
      <w:tr w:rsidR="00EB171C" w:rsidRPr="004402EC" w14:paraId="4A6A5A74" w14:textId="77777777" w:rsidTr="00E458C5">
        <w:tc>
          <w:tcPr>
            <w:tcW w:w="6232" w:type="dxa"/>
          </w:tcPr>
          <w:p w14:paraId="372E9C68" w14:textId="48F84FF3" w:rsidR="00EB171C" w:rsidRPr="004402EC" w:rsidRDefault="00EB171C" w:rsidP="00EB171C">
            <w:pPr>
              <w:rPr>
                <w:rFonts w:cstheme="minorHAnsi"/>
                <w:sz w:val="20"/>
                <w:szCs w:val="20"/>
                <w:lang w:val="en-US"/>
              </w:rPr>
            </w:pPr>
            <w:r w:rsidRPr="004402EC">
              <w:rPr>
                <w:rFonts w:cstheme="minorHAnsi"/>
                <w:sz w:val="20"/>
                <w:szCs w:val="20"/>
                <w:lang w:val="en-US"/>
              </w:rPr>
              <w:t>121.  Bulut S, Berilgen MS, Baran A, Tekatas A, Atmaca M, Mungen B. Venlafaxine versus amitriptyline in the prophylactic treatment of migraine: randomized, double-blind, crossover study. Clinical neurology and neurosurgery. 2004 Dec 1;107(1):44-8.</w:t>
            </w:r>
          </w:p>
        </w:tc>
        <w:tc>
          <w:tcPr>
            <w:tcW w:w="2784" w:type="dxa"/>
          </w:tcPr>
          <w:p w14:paraId="12330598" w14:textId="78A0A0CD"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A94AC9" w:rsidRPr="004402EC">
              <w:rPr>
                <w:rFonts w:cstheme="minorHAnsi"/>
                <w:sz w:val="20"/>
                <w:szCs w:val="20"/>
                <w:lang w:val="en-US"/>
              </w:rPr>
              <w:t xml:space="preserve"> of episodic migraine</w:t>
            </w:r>
          </w:p>
        </w:tc>
      </w:tr>
      <w:tr w:rsidR="00EB171C" w:rsidRPr="004402EC" w14:paraId="09951126" w14:textId="77777777" w:rsidTr="00E458C5">
        <w:tc>
          <w:tcPr>
            <w:tcW w:w="6232" w:type="dxa"/>
          </w:tcPr>
          <w:p w14:paraId="1AD37E2D" w14:textId="5875214C" w:rsidR="00EB171C" w:rsidRPr="004402EC" w:rsidRDefault="00EB171C" w:rsidP="00EB171C">
            <w:pPr>
              <w:rPr>
                <w:rFonts w:cstheme="minorHAnsi"/>
                <w:sz w:val="20"/>
                <w:szCs w:val="20"/>
                <w:lang w:val="en-US"/>
              </w:rPr>
            </w:pPr>
            <w:r w:rsidRPr="004402EC">
              <w:rPr>
                <w:rFonts w:cstheme="minorHAnsi"/>
                <w:sz w:val="20"/>
                <w:szCs w:val="20"/>
                <w:lang w:val="en-US"/>
              </w:rPr>
              <w:t>122.  Sonbolestan SA, Heshmat K, Javanmard SH, Saadatnia M. Efficacy of enalapril in migraine prophylaxis: a randomized, double-blind, placebo-controlled trial. International Journal of Preventive Medicine. 2013 Jan</w:t>
            </w:r>
            <w:proofErr w:type="gramStart"/>
            <w:r w:rsidRPr="004402EC">
              <w:rPr>
                <w:rFonts w:cstheme="minorHAnsi"/>
                <w:sz w:val="20"/>
                <w:szCs w:val="20"/>
                <w:lang w:val="en-US"/>
              </w:rPr>
              <w:t>;4</w:t>
            </w:r>
            <w:proofErr w:type="gramEnd"/>
            <w:r w:rsidRPr="004402EC">
              <w:rPr>
                <w:rFonts w:cstheme="minorHAnsi"/>
                <w:sz w:val="20"/>
                <w:szCs w:val="20"/>
                <w:lang w:val="en-US"/>
              </w:rPr>
              <w:t>(1):72.</w:t>
            </w:r>
          </w:p>
        </w:tc>
        <w:tc>
          <w:tcPr>
            <w:tcW w:w="2784" w:type="dxa"/>
          </w:tcPr>
          <w:p w14:paraId="3E9C3474" w14:textId="23E548F5"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0867F3" w:rsidRPr="004402EC">
              <w:rPr>
                <w:rFonts w:cstheme="minorHAnsi"/>
                <w:sz w:val="20"/>
                <w:szCs w:val="20"/>
                <w:lang w:val="en-US"/>
              </w:rPr>
              <w:t xml:space="preserve"> of episodic migraine</w:t>
            </w:r>
          </w:p>
        </w:tc>
      </w:tr>
      <w:tr w:rsidR="00EB171C" w:rsidRPr="004402EC" w14:paraId="386EE4A5" w14:textId="77777777" w:rsidTr="00E458C5">
        <w:tc>
          <w:tcPr>
            <w:tcW w:w="6232" w:type="dxa"/>
          </w:tcPr>
          <w:p w14:paraId="19EDEB5B" w14:textId="18879CDE" w:rsidR="00EB171C" w:rsidRPr="004402EC" w:rsidRDefault="00EB171C" w:rsidP="00EB171C">
            <w:pPr>
              <w:rPr>
                <w:rFonts w:cstheme="minorHAnsi"/>
                <w:sz w:val="20"/>
                <w:szCs w:val="20"/>
                <w:lang w:val="en-US"/>
              </w:rPr>
            </w:pPr>
            <w:r w:rsidRPr="004402EC">
              <w:rPr>
                <w:rFonts w:cstheme="minorHAnsi"/>
                <w:sz w:val="20"/>
                <w:szCs w:val="20"/>
                <w:lang w:val="en-US"/>
              </w:rPr>
              <w:t>123.  Rafie S, Karimian F, Ghomifar A, Karimian A. Effect of Pramipexole on Headache Relief in Patients with Concomitant Migraine and Restless Legs Syndrome; A Randomized, Controlled, Clinical Trial. Jundishapur Journal of Natural Pharmaceutical Products. 2019 Aug 31;14(3).</w:t>
            </w:r>
          </w:p>
        </w:tc>
        <w:tc>
          <w:tcPr>
            <w:tcW w:w="2784" w:type="dxa"/>
          </w:tcPr>
          <w:p w14:paraId="576AD4B4" w14:textId="4477839E"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1C0BF9" w:rsidRPr="004402EC">
              <w:rPr>
                <w:rFonts w:cstheme="minorHAnsi"/>
                <w:sz w:val="20"/>
                <w:szCs w:val="20"/>
                <w:lang w:val="en-US"/>
              </w:rPr>
              <w:t xml:space="preserve"> of episodic or chronic migraine</w:t>
            </w:r>
          </w:p>
        </w:tc>
      </w:tr>
      <w:tr w:rsidR="00EB171C" w:rsidRPr="004402EC" w14:paraId="66A352E1" w14:textId="77777777" w:rsidTr="00E458C5">
        <w:tc>
          <w:tcPr>
            <w:tcW w:w="6232" w:type="dxa"/>
          </w:tcPr>
          <w:p w14:paraId="007A9C0D" w14:textId="114E7BE8" w:rsidR="00EB171C" w:rsidRPr="004402EC" w:rsidRDefault="00EB171C" w:rsidP="00EB171C">
            <w:pPr>
              <w:rPr>
                <w:rFonts w:cstheme="minorHAnsi"/>
                <w:sz w:val="20"/>
                <w:szCs w:val="20"/>
                <w:lang w:val="en-US"/>
              </w:rPr>
            </w:pPr>
            <w:r w:rsidRPr="004402EC">
              <w:rPr>
                <w:rFonts w:cstheme="minorHAnsi"/>
                <w:sz w:val="20"/>
                <w:szCs w:val="20"/>
                <w:lang w:val="en-US"/>
              </w:rPr>
              <w:t>124.  Shehata HS, Esmail EH, Abdelalim A, El-Jaafary S, Elmazny A, Sabbah A, Shalaby NM. Repetitive transcranial magnetic stimulation versus botulinum toxin injection in chronic migraine prophylaxis: a pilot randomized trial. Journal of pain research. 2016;9:771.</w:t>
            </w:r>
          </w:p>
        </w:tc>
        <w:tc>
          <w:tcPr>
            <w:tcW w:w="2784" w:type="dxa"/>
          </w:tcPr>
          <w:p w14:paraId="7AC159EA" w14:textId="73FC3CCA"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1C0BF9" w:rsidRPr="004402EC">
              <w:rPr>
                <w:rFonts w:cstheme="minorHAnsi"/>
                <w:sz w:val="20"/>
                <w:szCs w:val="20"/>
                <w:lang w:val="en-US"/>
              </w:rPr>
              <w:t xml:space="preserve"> of chronic migraine</w:t>
            </w:r>
            <w:r w:rsidR="004D2E94" w:rsidRPr="004402EC">
              <w:rPr>
                <w:rFonts w:cstheme="minorHAnsi"/>
                <w:sz w:val="20"/>
                <w:szCs w:val="20"/>
                <w:lang w:val="en-US"/>
              </w:rPr>
              <w:t xml:space="preserve"> compared with TMS, which is not on NHS</w:t>
            </w:r>
          </w:p>
        </w:tc>
      </w:tr>
      <w:tr w:rsidR="00EB171C" w:rsidRPr="004402EC" w14:paraId="1CB83555" w14:textId="77777777" w:rsidTr="00E458C5">
        <w:tc>
          <w:tcPr>
            <w:tcW w:w="6232" w:type="dxa"/>
          </w:tcPr>
          <w:p w14:paraId="3773B365" w14:textId="5254BF99" w:rsidR="00EB171C" w:rsidRPr="004402EC" w:rsidRDefault="00EB171C" w:rsidP="00EB171C">
            <w:pPr>
              <w:rPr>
                <w:rFonts w:cstheme="minorHAnsi"/>
                <w:sz w:val="20"/>
                <w:szCs w:val="20"/>
                <w:lang w:val="en-US"/>
              </w:rPr>
            </w:pPr>
            <w:r w:rsidRPr="004402EC">
              <w:rPr>
                <w:rFonts w:cstheme="minorHAnsi"/>
                <w:sz w:val="20"/>
                <w:szCs w:val="20"/>
                <w:lang w:val="en-US"/>
              </w:rPr>
              <w:t>125.   Silberstein SD, Collins SD, Long‐term Safety of Depakote in Headache Prophylaxis Study Group. Safety of divalproex sodium in migraine prophylaxis: An open‐label, long‐term study. Headache: The Journal of Head and Face Pain. 1999 Oct;39(9):633-43.</w:t>
            </w:r>
          </w:p>
        </w:tc>
        <w:tc>
          <w:tcPr>
            <w:tcW w:w="2784" w:type="dxa"/>
          </w:tcPr>
          <w:p w14:paraId="6CB5FD02" w14:textId="7458F73A" w:rsidR="00EB171C" w:rsidRPr="004402EC" w:rsidRDefault="00EB171C" w:rsidP="00EB171C">
            <w:pPr>
              <w:rPr>
                <w:rFonts w:cstheme="minorHAnsi"/>
                <w:sz w:val="20"/>
                <w:szCs w:val="20"/>
                <w:lang w:val="en-US"/>
              </w:rPr>
            </w:pPr>
            <w:r w:rsidRPr="004402EC">
              <w:rPr>
                <w:rFonts w:cstheme="minorHAnsi"/>
                <w:sz w:val="20"/>
                <w:szCs w:val="20"/>
                <w:lang w:val="en-US"/>
              </w:rPr>
              <w:t xml:space="preserve">Not </w:t>
            </w:r>
            <w:r w:rsidR="004D2E94" w:rsidRPr="004402EC">
              <w:rPr>
                <w:rFonts w:cstheme="minorHAnsi"/>
                <w:sz w:val="20"/>
                <w:szCs w:val="20"/>
                <w:lang w:val="en-US"/>
              </w:rPr>
              <w:t>an</w:t>
            </w:r>
            <w:r w:rsidRPr="004402EC">
              <w:rPr>
                <w:rFonts w:cstheme="minorHAnsi"/>
                <w:sz w:val="20"/>
                <w:szCs w:val="20"/>
                <w:lang w:val="en-US"/>
              </w:rPr>
              <w:t xml:space="preserve"> RCT </w:t>
            </w:r>
          </w:p>
        </w:tc>
      </w:tr>
      <w:tr w:rsidR="00EB171C" w:rsidRPr="004402EC" w14:paraId="14B36A76" w14:textId="77777777" w:rsidTr="00E458C5">
        <w:tc>
          <w:tcPr>
            <w:tcW w:w="6232" w:type="dxa"/>
          </w:tcPr>
          <w:p w14:paraId="3EF62184" w14:textId="7E1EF84C" w:rsidR="00EB171C" w:rsidRPr="004402EC" w:rsidRDefault="00EB171C" w:rsidP="00EB171C">
            <w:pPr>
              <w:rPr>
                <w:rFonts w:cstheme="minorHAnsi"/>
                <w:sz w:val="20"/>
                <w:szCs w:val="20"/>
                <w:lang w:val="en-US"/>
              </w:rPr>
            </w:pPr>
            <w:r w:rsidRPr="004402EC">
              <w:rPr>
                <w:rFonts w:cstheme="minorHAnsi"/>
                <w:sz w:val="20"/>
                <w:szCs w:val="20"/>
                <w:lang w:val="en-US"/>
              </w:rPr>
              <w:t>126.  Silberstein SD, Neto W, Schmitt J, Jacobs D, MIGR-001 Study Group. Topiramate in migraine prevention: results of a large controlled trial. Archives of Neurology. 2004 Apr 1;61(4):490-5.</w:t>
            </w:r>
          </w:p>
        </w:tc>
        <w:tc>
          <w:tcPr>
            <w:tcW w:w="2784" w:type="dxa"/>
          </w:tcPr>
          <w:p w14:paraId="0370AD42" w14:textId="052882B6" w:rsidR="00EB171C" w:rsidRPr="004402EC" w:rsidRDefault="00EB171C" w:rsidP="00EB171C">
            <w:pPr>
              <w:rPr>
                <w:rFonts w:cstheme="minorHAnsi"/>
                <w:sz w:val="20"/>
                <w:szCs w:val="20"/>
                <w:lang w:val="en-US"/>
              </w:rPr>
            </w:pPr>
            <w:r w:rsidRPr="004402EC">
              <w:rPr>
                <w:rFonts w:cstheme="minorHAnsi"/>
                <w:sz w:val="20"/>
                <w:szCs w:val="20"/>
                <w:lang w:val="en-US"/>
              </w:rPr>
              <w:t>Mixed population of adults and adolescence</w:t>
            </w:r>
          </w:p>
        </w:tc>
      </w:tr>
      <w:tr w:rsidR="00EB171C" w:rsidRPr="004402EC" w14:paraId="10F357E2" w14:textId="77777777" w:rsidTr="00E458C5">
        <w:tc>
          <w:tcPr>
            <w:tcW w:w="6232" w:type="dxa"/>
          </w:tcPr>
          <w:p w14:paraId="054BFDA6" w14:textId="7E2B2068" w:rsidR="00EB171C" w:rsidRPr="004402EC" w:rsidRDefault="00EB171C" w:rsidP="00EB171C">
            <w:pPr>
              <w:rPr>
                <w:rFonts w:cstheme="minorHAnsi"/>
                <w:sz w:val="20"/>
                <w:szCs w:val="20"/>
                <w:lang w:val="en-US"/>
              </w:rPr>
            </w:pPr>
            <w:r w:rsidRPr="004402EC">
              <w:rPr>
                <w:rFonts w:cstheme="minorHAnsi"/>
                <w:sz w:val="20"/>
                <w:szCs w:val="20"/>
                <w:lang w:val="en-US"/>
              </w:rPr>
              <w:t xml:space="preserve">127.   </w:t>
            </w:r>
            <w:bookmarkStart w:id="5" w:name="_Hlk132200436"/>
            <w:r w:rsidRPr="004402EC">
              <w:rPr>
                <w:rFonts w:cstheme="minorHAnsi"/>
                <w:sz w:val="20"/>
                <w:szCs w:val="20"/>
                <w:lang w:val="en-US"/>
              </w:rPr>
              <w:t>Silberstein SD, Dodick DW, Lindblad AS, Holroyd K, Harrington M, Mathew NT, Hirtz D. Randomized, placebo-controlled trial of propranolol added to topiramate in chronic migraine. Neurology. 2012 Mar 27;78(13):976-84.</w:t>
            </w:r>
            <w:bookmarkEnd w:id="5"/>
          </w:p>
        </w:tc>
        <w:tc>
          <w:tcPr>
            <w:tcW w:w="2784" w:type="dxa"/>
          </w:tcPr>
          <w:p w14:paraId="4F4E7BE1" w14:textId="5FF6D373"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016934" w:rsidRPr="004402EC">
              <w:rPr>
                <w:rFonts w:cstheme="minorHAnsi"/>
                <w:sz w:val="20"/>
                <w:szCs w:val="20"/>
                <w:lang w:val="en-US"/>
              </w:rPr>
              <w:t xml:space="preserve"> of chronic migraine</w:t>
            </w:r>
          </w:p>
        </w:tc>
      </w:tr>
      <w:tr w:rsidR="00EB171C" w:rsidRPr="004402EC" w14:paraId="1ECEB5ED" w14:textId="77777777" w:rsidTr="00E458C5">
        <w:tc>
          <w:tcPr>
            <w:tcW w:w="6232" w:type="dxa"/>
          </w:tcPr>
          <w:p w14:paraId="61128D8D" w14:textId="7AD5635B" w:rsidR="00EB171C" w:rsidRPr="004402EC" w:rsidRDefault="00EB171C" w:rsidP="00EB171C">
            <w:pPr>
              <w:rPr>
                <w:rFonts w:cstheme="minorHAnsi"/>
                <w:sz w:val="20"/>
                <w:szCs w:val="20"/>
                <w:lang w:val="en-US"/>
              </w:rPr>
            </w:pPr>
            <w:r w:rsidRPr="004402EC">
              <w:rPr>
                <w:rFonts w:cstheme="minorHAnsi"/>
                <w:sz w:val="20"/>
                <w:szCs w:val="20"/>
                <w:lang w:val="en-US"/>
              </w:rPr>
              <w:t>128.  Silvestrini M, Bartolini M, Coccia M, Baruffaldi R, Taffi R, Provinciali L. Topiramate in the treatment of chronic migraine. Cephalalgia. 2003 Oct;23(8):820-4.</w:t>
            </w:r>
          </w:p>
        </w:tc>
        <w:tc>
          <w:tcPr>
            <w:tcW w:w="2784" w:type="dxa"/>
          </w:tcPr>
          <w:p w14:paraId="1FCD3749" w14:textId="2C973267"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1C0BF9" w:rsidRPr="004402EC">
              <w:rPr>
                <w:rFonts w:cstheme="minorHAnsi"/>
                <w:sz w:val="20"/>
                <w:szCs w:val="20"/>
                <w:lang w:val="en-US"/>
              </w:rPr>
              <w:t xml:space="preserve"> of chronic migraine</w:t>
            </w:r>
          </w:p>
        </w:tc>
      </w:tr>
      <w:tr w:rsidR="00EB171C" w:rsidRPr="004402EC" w14:paraId="683FAE35" w14:textId="77777777" w:rsidTr="00E458C5">
        <w:tc>
          <w:tcPr>
            <w:tcW w:w="6232" w:type="dxa"/>
          </w:tcPr>
          <w:p w14:paraId="4DD26CB4" w14:textId="1967D661" w:rsidR="00EB171C" w:rsidRPr="004402EC" w:rsidRDefault="00EB171C" w:rsidP="00EB171C">
            <w:pPr>
              <w:rPr>
                <w:rFonts w:cstheme="minorHAnsi"/>
                <w:sz w:val="20"/>
                <w:szCs w:val="20"/>
                <w:lang w:val="en-US"/>
              </w:rPr>
            </w:pPr>
            <w:r w:rsidRPr="004402EC">
              <w:rPr>
                <w:rFonts w:cstheme="minorHAnsi"/>
                <w:sz w:val="20"/>
                <w:szCs w:val="20"/>
                <w:lang w:val="en-US"/>
              </w:rPr>
              <w:t xml:space="preserve">129.  Skljarevski V, Oakes TM, Zhang QI, Ferguson MB, Martinez J, Camporeale A, Johnson KW, Shan Q, Carter J, Schacht A, Goadsby PJ. Effect of different doses of </w:t>
            </w:r>
            <w:r w:rsidR="00780A4A" w:rsidRPr="004402EC">
              <w:rPr>
                <w:rFonts w:cstheme="minorHAnsi"/>
                <w:sz w:val="20"/>
                <w:szCs w:val="20"/>
                <w:lang w:val="en-US"/>
              </w:rPr>
              <w:t>Galcanezumab</w:t>
            </w:r>
            <w:r w:rsidRPr="004402EC">
              <w:rPr>
                <w:rFonts w:cstheme="minorHAnsi"/>
                <w:sz w:val="20"/>
                <w:szCs w:val="20"/>
                <w:lang w:val="en-US"/>
              </w:rPr>
              <w:t xml:space="preserve"> vs placebo for episodic migraine prevention: a randomized clinical trial. JAMA neurology. 2018 Feb 1;75(2):187-93.</w:t>
            </w:r>
          </w:p>
        </w:tc>
        <w:tc>
          <w:tcPr>
            <w:tcW w:w="2784" w:type="dxa"/>
          </w:tcPr>
          <w:p w14:paraId="1CA104BE" w14:textId="48A9199B"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1C0BF9" w:rsidRPr="004402EC">
              <w:rPr>
                <w:rFonts w:cstheme="minorHAnsi"/>
                <w:sz w:val="20"/>
                <w:szCs w:val="20"/>
                <w:lang w:val="en-US"/>
              </w:rPr>
              <w:t xml:space="preserve"> of episodic migraine</w:t>
            </w:r>
          </w:p>
        </w:tc>
      </w:tr>
      <w:tr w:rsidR="00EB171C" w:rsidRPr="004402EC" w14:paraId="723B5F61" w14:textId="77777777" w:rsidTr="00E458C5">
        <w:tc>
          <w:tcPr>
            <w:tcW w:w="6232" w:type="dxa"/>
          </w:tcPr>
          <w:p w14:paraId="39DCB335" w14:textId="5AFCED11" w:rsidR="00EB171C" w:rsidRPr="004402EC" w:rsidRDefault="00EB171C" w:rsidP="00EB171C">
            <w:pPr>
              <w:rPr>
                <w:rFonts w:cstheme="minorHAnsi"/>
                <w:sz w:val="20"/>
                <w:szCs w:val="20"/>
                <w:lang w:val="en-US"/>
              </w:rPr>
            </w:pPr>
            <w:r w:rsidRPr="004402EC">
              <w:rPr>
                <w:rFonts w:cstheme="minorHAnsi"/>
                <w:sz w:val="20"/>
                <w:szCs w:val="20"/>
                <w:lang w:val="en-US"/>
              </w:rPr>
              <w:t>130.  Sørensen PS, Hansen K, Olesen J. A placebo-controlled, double-blind, cross-over trial of flunarizine in common migraine. Cephalalgia. 1986 Mar;6(1):7-14.</w:t>
            </w:r>
          </w:p>
        </w:tc>
        <w:tc>
          <w:tcPr>
            <w:tcW w:w="2784" w:type="dxa"/>
          </w:tcPr>
          <w:p w14:paraId="62D3CBB9" w14:textId="5B4CE7AB"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1C0BF9" w:rsidRPr="004402EC">
              <w:rPr>
                <w:rFonts w:cstheme="minorHAnsi"/>
                <w:sz w:val="20"/>
                <w:szCs w:val="20"/>
                <w:lang w:val="en-US"/>
              </w:rPr>
              <w:t xml:space="preserve"> of migraine</w:t>
            </w:r>
          </w:p>
        </w:tc>
      </w:tr>
      <w:tr w:rsidR="00EB171C" w:rsidRPr="004402EC" w14:paraId="44138939" w14:textId="77777777" w:rsidTr="00E458C5">
        <w:tc>
          <w:tcPr>
            <w:tcW w:w="6232" w:type="dxa"/>
          </w:tcPr>
          <w:p w14:paraId="6462FA00" w14:textId="45C78127" w:rsidR="00EB171C" w:rsidRPr="004402EC" w:rsidRDefault="00EB171C" w:rsidP="00EB171C">
            <w:pPr>
              <w:rPr>
                <w:rFonts w:cstheme="minorHAnsi"/>
                <w:sz w:val="20"/>
                <w:szCs w:val="20"/>
                <w:lang w:val="en-US"/>
              </w:rPr>
            </w:pPr>
            <w:r w:rsidRPr="004402EC">
              <w:rPr>
                <w:rFonts w:cstheme="minorHAnsi"/>
                <w:sz w:val="20"/>
                <w:szCs w:val="20"/>
                <w:lang w:val="en-US"/>
              </w:rPr>
              <w:t xml:space="preserve">131.  Silberstein SD, Loder E, Forde G, Papadopoulos G, Fairclough D, Greenberg S. The impact of migraine on daily activities: effect of </w:t>
            </w:r>
            <w:r w:rsidR="00780A4A">
              <w:rPr>
                <w:rFonts w:cstheme="minorHAnsi"/>
                <w:sz w:val="20"/>
                <w:szCs w:val="20"/>
                <w:lang w:val="en-US"/>
              </w:rPr>
              <w:t>T</w:t>
            </w:r>
            <w:r w:rsidRPr="004402EC">
              <w:rPr>
                <w:rFonts w:cstheme="minorHAnsi"/>
                <w:sz w:val="20"/>
                <w:szCs w:val="20"/>
                <w:lang w:val="en-US"/>
              </w:rPr>
              <w:t>opiramate compared with placebo. Current medical research and opinion. 2006 Jun 1;22(6):1021-9.</w:t>
            </w:r>
          </w:p>
        </w:tc>
        <w:tc>
          <w:tcPr>
            <w:tcW w:w="2784" w:type="dxa"/>
          </w:tcPr>
          <w:p w14:paraId="441DBE1F" w14:textId="7C802BD8" w:rsidR="00EB171C" w:rsidRPr="004402EC" w:rsidRDefault="00EB171C" w:rsidP="00EB171C">
            <w:pPr>
              <w:rPr>
                <w:rFonts w:cstheme="minorHAnsi"/>
                <w:sz w:val="20"/>
                <w:szCs w:val="20"/>
                <w:lang w:val="en-US"/>
              </w:rPr>
            </w:pPr>
            <w:r w:rsidRPr="004402EC">
              <w:rPr>
                <w:rFonts w:cstheme="minorHAnsi"/>
                <w:sz w:val="20"/>
                <w:szCs w:val="20"/>
                <w:lang w:val="en-US"/>
              </w:rPr>
              <w:t>No report of Adverse Events</w:t>
            </w:r>
          </w:p>
        </w:tc>
      </w:tr>
      <w:tr w:rsidR="00EB171C" w:rsidRPr="004402EC" w14:paraId="58D1A5EE" w14:textId="77777777" w:rsidTr="00E458C5">
        <w:tc>
          <w:tcPr>
            <w:tcW w:w="6232" w:type="dxa"/>
          </w:tcPr>
          <w:p w14:paraId="0C5E6043" w14:textId="5C1F0683" w:rsidR="00EB171C" w:rsidRPr="004402EC" w:rsidRDefault="00EB171C" w:rsidP="00EB171C">
            <w:pPr>
              <w:rPr>
                <w:rFonts w:cstheme="minorHAnsi"/>
                <w:sz w:val="20"/>
                <w:szCs w:val="20"/>
                <w:lang w:val="en-US"/>
              </w:rPr>
            </w:pPr>
            <w:r w:rsidRPr="004402EC">
              <w:rPr>
                <w:rFonts w:cstheme="minorHAnsi"/>
                <w:sz w:val="20"/>
                <w:szCs w:val="20"/>
                <w:lang w:val="en-US"/>
              </w:rPr>
              <w:t>132.  Silberstein S, Goode-Sellers S, Twomey C, Saiers J, Ascher J. Randomized, double-blind, placebo-controlled, phase II trial of gabapentin enacarbil for migraine prophylaxis. Cephalalgia. 2013 Jan;33(2):101-11.</w:t>
            </w:r>
          </w:p>
        </w:tc>
        <w:tc>
          <w:tcPr>
            <w:tcW w:w="2784" w:type="dxa"/>
          </w:tcPr>
          <w:p w14:paraId="1B9FB439" w14:textId="614FBB04"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1C0BF9" w:rsidRPr="004402EC">
              <w:rPr>
                <w:rFonts w:cstheme="minorHAnsi"/>
                <w:sz w:val="20"/>
                <w:szCs w:val="20"/>
                <w:lang w:val="en-US"/>
              </w:rPr>
              <w:t xml:space="preserve"> of episodic migraine</w:t>
            </w:r>
          </w:p>
        </w:tc>
      </w:tr>
      <w:tr w:rsidR="00EB171C" w:rsidRPr="004402EC" w14:paraId="47BB19BB" w14:textId="77777777" w:rsidTr="00E458C5">
        <w:tc>
          <w:tcPr>
            <w:tcW w:w="6232" w:type="dxa"/>
          </w:tcPr>
          <w:p w14:paraId="5E9EC8BB" w14:textId="7F3D63E3" w:rsidR="00EB171C" w:rsidRPr="004402EC" w:rsidRDefault="00EB171C" w:rsidP="00EB171C">
            <w:pPr>
              <w:rPr>
                <w:rFonts w:cstheme="minorHAnsi"/>
                <w:sz w:val="20"/>
                <w:szCs w:val="20"/>
                <w:lang w:val="en-US"/>
              </w:rPr>
            </w:pPr>
            <w:r w:rsidRPr="004402EC">
              <w:rPr>
                <w:rFonts w:cstheme="minorHAnsi"/>
                <w:sz w:val="20"/>
                <w:szCs w:val="20"/>
                <w:lang w:val="en-US"/>
              </w:rPr>
              <w:t xml:space="preserve">133.  Stovner LJ, Linde M, Gravdahl GB, Tronvik E, Aamodt AH, Sand T, </w:t>
            </w:r>
            <w:r w:rsidRPr="004402EC">
              <w:rPr>
                <w:rFonts w:cstheme="minorHAnsi"/>
                <w:sz w:val="20"/>
                <w:szCs w:val="20"/>
                <w:lang w:val="en-US"/>
              </w:rPr>
              <w:lastRenderedPageBreak/>
              <w:t>Hagen K. A comparative study of candesartan versus propranolol for migraine prophylaxis: A randomised, triple-blind, placebo-controlled, double cross-over study. Cephalalgia. 2014 Jun;34(7):523-32.</w:t>
            </w:r>
          </w:p>
        </w:tc>
        <w:tc>
          <w:tcPr>
            <w:tcW w:w="2784" w:type="dxa"/>
          </w:tcPr>
          <w:p w14:paraId="0C879065" w14:textId="52843BB3" w:rsidR="00EB171C" w:rsidRPr="004402EC" w:rsidRDefault="00EB171C" w:rsidP="00EB171C">
            <w:pPr>
              <w:rPr>
                <w:rFonts w:cstheme="minorHAnsi"/>
                <w:sz w:val="20"/>
                <w:szCs w:val="20"/>
                <w:lang w:val="en-US"/>
              </w:rPr>
            </w:pPr>
            <w:r w:rsidRPr="004402EC">
              <w:rPr>
                <w:rFonts w:cstheme="minorHAnsi"/>
                <w:sz w:val="20"/>
                <w:szCs w:val="20"/>
                <w:lang w:val="en-US"/>
              </w:rPr>
              <w:lastRenderedPageBreak/>
              <w:t>Small sample size</w:t>
            </w:r>
            <w:r w:rsidR="008A3959" w:rsidRPr="004402EC">
              <w:rPr>
                <w:rFonts w:cstheme="minorHAnsi"/>
                <w:sz w:val="20"/>
                <w:szCs w:val="20"/>
                <w:lang w:val="en-US"/>
              </w:rPr>
              <w:t xml:space="preserve"> of</w:t>
            </w:r>
            <w:r w:rsidR="00A94AC9" w:rsidRPr="004402EC">
              <w:rPr>
                <w:rFonts w:cstheme="minorHAnsi"/>
                <w:sz w:val="20"/>
                <w:szCs w:val="20"/>
                <w:lang w:val="en-US"/>
              </w:rPr>
              <w:t xml:space="preserve"> episodic or </w:t>
            </w:r>
            <w:r w:rsidR="00A94AC9" w:rsidRPr="004402EC">
              <w:rPr>
                <w:rFonts w:cstheme="minorHAnsi"/>
                <w:sz w:val="20"/>
                <w:szCs w:val="20"/>
                <w:lang w:val="en-US"/>
              </w:rPr>
              <w:lastRenderedPageBreak/>
              <w:t>chronic migraine</w:t>
            </w:r>
          </w:p>
        </w:tc>
      </w:tr>
      <w:tr w:rsidR="00EB171C" w:rsidRPr="004402EC" w14:paraId="0DD6E63D" w14:textId="77777777" w:rsidTr="00E458C5">
        <w:tc>
          <w:tcPr>
            <w:tcW w:w="6232" w:type="dxa"/>
          </w:tcPr>
          <w:p w14:paraId="489B90DB" w14:textId="0AA131F1" w:rsidR="00EB171C" w:rsidRPr="004402EC" w:rsidRDefault="00EB171C" w:rsidP="00EB171C">
            <w:pPr>
              <w:rPr>
                <w:rFonts w:cstheme="minorHAnsi"/>
                <w:sz w:val="20"/>
                <w:szCs w:val="20"/>
                <w:lang w:val="en-US"/>
              </w:rPr>
            </w:pPr>
            <w:r w:rsidRPr="004402EC">
              <w:rPr>
                <w:rFonts w:cstheme="minorHAnsi"/>
                <w:sz w:val="20"/>
                <w:szCs w:val="20"/>
                <w:lang w:val="en-US"/>
              </w:rPr>
              <w:lastRenderedPageBreak/>
              <w:t>134.  Sujan MU, Rao MR, Kisan R, Abhishekh HA, Nalini A, Raju TR, Sathyaprabha TN. Influence of hydrotherapy on clinical and cardiac autonomic function in migraine patients. Journal of neurosciences in rural practice. 2016 Jan;7(01):109-13.</w:t>
            </w:r>
          </w:p>
        </w:tc>
        <w:tc>
          <w:tcPr>
            <w:tcW w:w="2784" w:type="dxa"/>
          </w:tcPr>
          <w:p w14:paraId="1310FD6C" w14:textId="6505AB83" w:rsidR="00EB171C" w:rsidRPr="004402EC" w:rsidRDefault="00EB171C" w:rsidP="00EB171C">
            <w:pPr>
              <w:rPr>
                <w:rFonts w:cstheme="minorHAnsi"/>
                <w:sz w:val="20"/>
                <w:szCs w:val="20"/>
                <w:lang w:val="en-US"/>
              </w:rPr>
            </w:pPr>
            <w:r w:rsidRPr="004402EC">
              <w:rPr>
                <w:rFonts w:cstheme="minorHAnsi"/>
                <w:sz w:val="20"/>
                <w:szCs w:val="20"/>
                <w:lang w:val="en-US"/>
              </w:rPr>
              <w:t xml:space="preserve">Not drug trial </w:t>
            </w:r>
          </w:p>
        </w:tc>
      </w:tr>
      <w:tr w:rsidR="00EB171C" w:rsidRPr="004402EC" w14:paraId="33ECB961" w14:textId="77777777" w:rsidTr="00E458C5">
        <w:tc>
          <w:tcPr>
            <w:tcW w:w="6232" w:type="dxa"/>
          </w:tcPr>
          <w:p w14:paraId="690E4DEF" w14:textId="2591ACF0" w:rsidR="00EB171C" w:rsidRPr="004402EC" w:rsidRDefault="00EB171C" w:rsidP="00EB171C">
            <w:pPr>
              <w:rPr>
                <w:rFonts w:cstheme="minorHAnsi"/>
                <w:sz w:val="20"/>
                <w:szCs w:val="20"/>
                <w:lang w:val="en-US"/>
              </w:rPr>
            </w:pPr>
            <w:r w:rsidRPr="004402EC">
              <w:rPr>
                <w:rFonts w:cstheme="minorHAnsi"/>
                <w:sz w:val="20"/>
                <w:szCs w:val="20"/>
                <w:lang w:val="en-US"/>
              </w:rPr>
              <w:t>135.  Zain S, Khan M, Alam R, Zafar I, Ahmed S. Comparison of efficacy and safety of topiramate with gabapentin in migraine prophylaxis: randomized open label control trial. J Pak Med Assoc. 2013 Jan 1;63(1):3-7.</w:t>
            </w:r>
          </w:p>
        </w:tc>
        <w:tc>
          <w:tcPr>
            <w:tcW w:w="2784" w:type="dxa"/>
          </w:tcPr>
          <w:p w14:paraId="64D0A8E8" w14:textId="7CB2493E"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1C0BF9" w:rsidRPr="004402EC">
              <w:rPr>
                <w:rFonts w:cstheme="minorHAnsi"/>
                <w:sz w:val="20"/>
                <w:szCs w:val="20"/>
                <w:lang w:val="en-US"/>
              </w:rPr>
              <w:t xml:space="preserve"> of episodic migraine</w:t>
            </w:r>
          </w:p>
        </w:tc>
      </w:tr>
      <w:tr w:rsidR="00EB171C" w:rsidRPr="004402EC" w14:paraId="302BAEA9" w14:textId="77777777" w:rsidTr="00E458C5">
        <w:tc>
          <w:tcPr>
            <w:tcW w:w="6232" w:type="dxa"/>
          </w:tcPr>
          <w:p w14:paraId="6ABE3650" w14:textId="5D7F01B3" w:rsidR="00EB171C" w:rsidRPr="004402EC" w:rsidRDefault="00EB171C" w:rsidP="00EB171C">
            <w:pPr>
              <w:rPr>
                <w:rFonts w:cstheme="minorHAnsi"/>
                <w:sz w:val="20"/>
                <w:szCs w:val="20"/>
                <w:lang w:val="en-US"/>
              </w:rPr>
            </w:pPr>
            <w:r w:rsidRPr="004402EC">
              <w:rPr>
                <w:rFonts w:cstheme="minorHAnsi"/>
                <w:sz w:val="20"/>
                <w:szCs w:val="20"/>
                <w:lang w:val="en-US"/>
              </w:rPr>
              <w:t>136.  Tatsuoka Y, Takeshima T, Ozeki A, Matsumura T. Treatment Satisfaction of Galcanezumab in Japanese Patients with Episodic Migraine: A Phase 2 Randomized Controlled Study. Neurology and therapy. 2021 Jun;10(1):265-78.</w:t>
            </w:r>
          </w:p>
        </w:tc>
        <w:tc>
          <w:tcPr>
            <w:tcW w:w="2784" w:type="dxa"/>
          </w:tcPr>
          <w:p w14:paraId="1E369CD7" w14:textId="6C710871" w:rsidR="00EB171C" w:rsidRPr="004402EC" w:rsidRDefault="00EB171C" w:rsidP="00EB171C">
            <w:pPr>
              <w:rPr>
                <w:rFonts w:cstheme="minorHAnsi"/>
                <w:sz w:val="20"/>
                <w:szCs w:val="20"/>
                <w:lang w:val="en-US"/>
              </w:rPr>
            </w:pPr>
            <w:r w:rsidRPr="004402EC">
              <w:rPr>
                <w:rFonts w:cstheme="minorHAnsi"/>
                <w:sz w:val="20"/>
                <w:szCs w:val="20"/>
                <w:lang w:val="en-US"/>
              </w:rPr>
              <w:t>No report of Adverse Events</w:t>
            </w:r>
          </w:p>
        </w:tc>
      </w:tr>
      <w:tr w:rsidR="00EB171C" w:rsidRPr="004402EC" w14:paraId="70573521" w14:textId="77777777" w:rsidTr="00E458C5">
        <w:tc>
          <w:tcPr>
            <w:tcW w:w="6232" w:type="dxa"/>
          </w:tcPr>
          <w:p w14:paraId="391317F7" w14:textId="076D70B3" w:rsidR="00EB171C" w:rsidRPr="004402EC" w:rsidRDefault="00EB171C" w:rsidP="00EB171C">
            <w:pPr>
              <w:rPr>
                <w:rFonts w:cstheme="minorHAnsi"/>
                <w:sz w:val="20"/>
                <w:szCs w:val="20"/>
                <w:lang w:val="en-US"/>
              </w:rPr>
            </w:pPr>
            <w:r w:rsidRPr="004402EC">
              <w:rPr>
                <w:rFonts w:cstheme="minorHAnsi"/>
                <w:sz w:val="20"/>
                <w:szCs w:val="20"/>
                <w:lang w:val="en-US"/>
              </w:rPr>
              <w:t xml:space="preserve">137.  Oakes TM, Skljarevski V, Zhang Q, Kielbasa W, Hodsdon ME, Detke HC, Camporeale A, Saper JR. Safety of </w:t>
            </w:r>
            <w:r w:rsidR="00780A4A" w:rsidRPr="004402EC">
              <w:rPr>
                <w:rFonts w:cstheme="minorHAnsi"/>
                <w:sz w:val="20"/>
                <w:szCs w:val="20"/>
                <w:lang w:val="en-US"/>
              </w:rPr>
              <w:t>Galcanezumab</w:t>
            </w:r>
            <w:r w:rsidRPr="004402EC">
              <w:rPr>
                <w:rFonts w:cstheme="minorHAnsi"/>
                <w:sz w:val="20"/>
                <w:szCs w:val="20"/>
                <w:lang w:val="en-US"/>
              </w:rPr>
              <w:t xml:space="preserve"> in patients with episodic migraine: a randomized placebo-controlled dose-ranging phase 2b study. Cephalalgia. 2018 May;38(6):1015-25.</w:t>
            </w:r>
          </w:p>
        </w:tc>
        <w:tc>
          <w:tcPr>
            <w:tcW w:w="2784" w:type="dxa"/>
          </w:tcPr>
          <w:p w14:paraId="2C8B1FFF" w14:textId="23EEB15E"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1C0BF9" w:rsidRPr="004402EC">
              <w:rPr>
                <w:rFonts w:cstheme="minorHAnsi"/>
                <w:sz w:val="20"/>
                <w:szCs w:val="20"/>
                <w:lang w:val="en-US"/>
              </w:rPr>
              <w:t xml:space="preserve"> of episodic migraine</w:t>
            </w:r>
          </w:p>
        </w:tc>
      </w:tr>
      <w:tr w:rsidR="00EB171C" w:rsidRPr="004402EC" w14:paraId="2FF24C0C" w14:textId="77777777" w:rsidTr="00E458C5">
        <w:tc>
          <w:tcPr>
            <w:tcW w:w="6232" w:type="dxa"/>
          </w:tcPr>
          <w:p w14:paraId="0EEF2ABD" w14:textId="0F6AC8F5" w:rsidR="00EB171C" w:rsidRPr="004402EC" w:rsidRDefault="00EB171C" w:rsidP="00EB171C">
            <w:pPr>
              <w:rPr>
                <w:rFonts w:cstheme="minorHAnsi"/>
                <w:sz w:val="20"/>
                <w:szCs w:val="20"/>
                <w:lang w:val="en-US"/>
              </w:rPr>
            </w:pPr>
            <w:r w:rsidRPr="004402EC">
              <w:rPr>
                <w:rFonts w:cstheme="minorHAnsi"/>
                <w:sz w:val="20"/>
                <w:szCs w:val="20"/>
                <w:lang w:val="en-US"/>
              </w:rPr>
              <w:t>138.  Titus F, Dávalos A, Alom J, Codina A. 5-hydroxytryptophan versus methysergide in the prophylaxis of migraine. European neurology. 1986;25(5):327-9.</w:t>
            </w:r>
          </w:p>
        </w:tc>
        <w:tc>
          <w:tcPr>
            <w:tcW w:w="2784" w:type="dxa"/>
          </w:tcPr>
          <w:p w14:paraId="08473CC0" w14:textId="37265660"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1C0BF9" w:rsidRPr="004402EC">
              <w:rPr>
                <w:rFonts w:cstheme="minorHAnsi"/>
                <w:sz w:val="20"/>
                <w:szCs w:val="20"/>
                <w:lang w:val="en-US"/>
              </w:rPr>
              <w:t xml:space="preserve"> of migraine</w:t>
            </w:r>
          </w:p>
        </w:tc>
      </w:tr>
      <w:tr w:rsidR="00EB171C" w:rsidRPr="004402EC" w14:paraId="2F426C56" w14:textId="77777777" w:rsidTr="00E458C5">
        <w:tc>
          <w:tcPr>
            <w:tcW w:w="6232" w:type="dxa"/>
          </w:tcPr>
          <w:p w14:paraId="7EEC682E" w14:textId="7BE0383F" w:rsidR="00EB171C" w:rsidRPr="004402EC" w:rsidRDefault="00EB171C" w:rsidP="00EB171C">
            <w:pPr>
              <w:rPr>
                <w:rFonts w:cstheme="minorHAnsi"/>
                <w:sz w:val="20"/>
                <w:szCs w:val="20"/>
                <w:lang w:val="en-US"/>
              </w:rPr>
            </w:pPr>
            <w:r w:rsidRPr="004402EC">
              <w:rPr>
                <w:rFonts w:cstheme="minorHAnsi"/>
                <w:sz w:val="20"/>
                <w:szCs w:val="20"/>
                <w:lang w:val="en-US"/>
              </w:rPr>
              <w:t>139.  Steiner TJ, Ahmed F, Findley LJ, MacGregor EA, Wilkinson M. S‐fluoxetine in the prophylaxis of migraine: a phase II double‐blind randomized placebo‐controlled study. Cephalalgia. 1998 Jun;18(5):283-6.</w:t>
            </w:r>
          </w:p>
        </w:tc>
        <w:tc>
          <w:tcPr>
            <w:tcW w:w="2784" w:type="dxa"/>
          </w:tcPr>
          <w:p w14:paraId="4E65B7A1" w14:textId="1378EB08"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1C0BF9" w:rsidRPr="004402EC">
              <w:rPr>
                <w:rFonts w:cstheme="minorHAnsi"/>
                <w:sz w:val="20"/>
                <w:szCs w:val="20"/>
                <w:lang w:val="en-US"/>
              </w:rPr>
              <w:t xml:space="preserve"> of migraine</w:t>
            </w:r>
          </w:p>
        </w:tc>
      </w:tr>
      <w:tr w:rsidR="00EB171C" w:rsidRPr="004402EC" w14:paraId="0F34E700" w14:textId="77777777" w:rsidTr="00E458C5">
        <w:tc>
          <w:tcPr>
            <w:tcW w:w="6232" w:type="dxa"/>
          </w:tcPr>
          <w:p w14:paraId="46998DE9" w14:textId="5B168C77" w:rsidR="00EB171C" w:rsidRPr="004402EC" w:rsidRDefault="00EB171C" w:rsidP="00EB171C">
            <w:pPr>
              <w:rPr>
                <w:rFonts w:cstheme="minorHAnsi"/>
                <w:sz w:val="20"/>
                <w:szCs w:val="20"/>
                <w:lang w:val="en-US"/>
              </w:rPr>
            </w:pPr>
            <w:r w:rsidRPr="004402EC">
              <w:rPr>
                <w:rFonts w:cstheme="minorHAnsi"/>
                <w:sz w:val="20"/>
                <w:szCs w:val="20"/>
                <w:lang w:val="en-US"/>
              </w:rPr>
              <w:t>140.  Vahedi K, Taupin P, Djomby RF, El-Amrani M, Lutz G, Filipetti V, Landais P, Massiou H, Bousser MG. Efficacy and tolerability of acetazolamide in migraine prophylaxis: a randomised placebo-controlled trial. Journal of neurology. 2002 Feb;249(2):206-11.</w:t>
            </w:r>
          </w:p>
        </w:tc>
        <w:tc>
          <w:tcPr>
            <w:tcW w:w="2784" w:type="dxa"/>
          </w:tcPr>
          <w:p w14:paraId="0BE5F000" w14:textId="79C421E2"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1C0BF9" w:rsidRPr="004402EC">
              <w:rPr>
                <w:rFonts w:cstheme="minorHAnsi"/>
                <w:sz w:val="20"/>
                <w:szCs w:val="20"/>
                <w:lang w:val="en-US"/>
              </w:rPr>
              <w:t xml:space="preserve"> of episodic migraine</w:t>
            </w:r>
          </w:p>
        </w:tc>
      </w:tr>
      <w:tr w:rsidR="00EB171C" w:rsidRPr="004402EC" w14:paraId="2A126D8E" w14:textId="77777777" w:rsidTr="00E458C5">
        <w:tc>
          <w:tcPr>
            <w:tcW w:w="6232" w:type="dxa"/>
          </w:tcPr>
          <w:p w14:paraId="447DB683" w14:textId="210865AC" w:rsidR="00EB171C" w:rsidRPr="004402EC" w:rsidRDefault="00EB171C" w:rsidP="00EB171C">
            <w:pPr>
              <w:rPr>
                <w:rFonts w:cstheme="minorHAnsi"/>
                <w:sz w:val="20"/>
                <w:szCs w:val="20"/>
                <w:lang w:val="en-US"/>
              </w:rPr>
            </w:pPr>
            <w:r w:rsidRPr="004402EC">
              <w:rPr>
                <w:rFonts w:cstheme="minorHAnsi"/>
                <w:sz w:val="20"/>
                <w:szCs w:val="20"/>
                <w:lang w:val="en-US"/>
              </w:rPr>
              <w:t>141.  Todorov V, Bogdanova D, Tonchev P, Milanov I. Repetitive transcranial magnetic stimulation over two target areas, sham stimulation and topiramate in the treatment of chronic migraine. Comptes rendus de l’Académie bulgare des Sciences. 2020 Jan 1;73(9).</w:t>
            </w:r>
          </w:p>
        </w:tc>
        <w:tc>
          <w:tcPr>
            <w:tcW w:w="2784" w:type="dxa"/>
          </w:tcPr>
          <w:p w14:paraId="25CFA5A5" w14:textId="59A0EF59"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07096A" w:rsidRPr="004402EC">
              <w:rPr>
                <w:rFonts w:cstheme="minorHAnsi"/>
                <w:sz w:val="20"/>
                <w:szCs w:val="20"/>
                <w:lang w:val="en-US"/>
              </w:rPr>
              <w:t xml:space="preserve"> of chronic migraine</w:t>
            </w:r>
            <w:r w:rsidR="004D2E94" w:rsidRPr="004402EC">
              <w:rPr>
                <w:rFonts w:cstheme="minorHAnsi"/>
                <w:sz w:val="20"/>
                <w:szCs w:val="20"/>
                <w:lang w:val="en-US"/>
              </w:rPr>
              <w:t xml:space="preserve"> compared with TMS which is not on NHS.</w:t>
            </w:r>
          </w:p>
        </w:tc>
      </w:tr>
      <w:tr w:rsidR="00EB171C" w:rsidRPr="004402EC" w14:paraId="46247CFB" w14:textId="77777777" w:rsidTr="00E458C5">
        <w:tc>
          <w:tcPr>
            <w:tcW w:w="6232" w:type="dxa"/>
          </w:tcPr>
          <w:p w14:paraId="72B4F4A5" w14:textId="2B750F1A" w:rsidR="00EB171C" w:rsidRPr="004402EC" w:rsidRDefault="00EB171C" w:rsidP="00EB171C">
            <w:pPr>
              <w:rPr>
                <w:rFonts w:cstheme="minorHAnsi"/>
                <w:sz w:val="20"/>
                <w:szCs w:val="20"/>
                <w:lang w:val="en-US"/>
              </w:rPr>
            </w:pPr>
            <w:r w:rsidRPr="004402EC">
              <w:rPr>
                <w:rFonts w:cstheme="minorHAnsi"/>
                <w:sz w:val="20"/>
                <w:szCs w:val="20"/>
                <w:lang w:val="en-US"/>
              </w:rPr>
              <w:t>142.  Villani V, Prosperini L, Palombini F, Orzi F, Sette G. Single-blind, randomized, pilot study combining shiatsu and amitriptyline in refractory primary headaches. Neurological Sciences. 2017 Jun;38(6):999-1007.</w:t>
            </w:r>
          </w:p>
        </w:tc>
        <w:tc>
          <w:tcPr>
            <w:tcW w:w="2784" w:type="dxa"/>
          </w:tcPr>
          <w:p w14:paraId="231A61BE" w14:textId="625E7295"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A94AC9" w:rsidRPr="004402EC">
              <w:rPr>
                <w:rFonts w:cstheme="minorHAnsi"/>
                <w:sz w:val="20"/>
                <w:szCs w:val="20"/>
                <w:lang w:val="en-US"/>
              </w:rPr>
              <w:t xml:space="preserve"> o</w:t>
            </w:r>
            <w:r w:rsidR="0007096A" w:rsidRPr="004402EC">
              <w:rPr>
                <w:rFonts w:cstheme="minorHAnsi"/>
                <w:sz w:val="20"/>
                <w:szCs w:val="20"/>
                <w:lang w:val="en-US"/>
              </w:rPr>
              <w:t>f</w:t>
            </w:r>
            <w:r w:rsidR="00A94AC9" w:rsidRPr="004402EC">
              <w:rPr>
                <w:rFonts w:cstheme="minorHAnsi"/>
                <w:sz w:val="20"/>
                <w:szCs w:val="20"/>
                <w:lang w:val="en-US"/>
              </w:rPr>
              <w:t xml:space="preserve"> episodic migraine</w:t>
            </w:r>
          </w:p>
        </w:tc>
      </w:tr>
      <w:tr w:rsidR="00EB171C" w:rsidRPr="004402EC" w14:paraId="4920BC36" w14:textId="77777777" w:rsidTr="00E458C5">
        <w:tc>
          <w:tcPr>
            <w:tcW w:w="6232" w:type="dxa"/>
          </w:tcPr>
          <w:p w14:paraId="7550BFD1" w14:textId="24EDF573" w:rsidR="00EB171C" w:rsidRPr="004402EC" w:rsidRDefault="00EB171C" w:rsidP="00EB171C">
            <w:pPr>
              <w:rPr>
                <w:rFonts w:cstheme="minorHAnsi"/>
                <w:sz w:val="20"/>
                <w:szCs w:val="20"/>
                <w:lang w:val="en-US"/>
              </w:rPr>
            </w:pPr>
            <w:r w:rsidRPr="004402EC">
              <w:rPr>
                <w:rFonts w:cstheme="minorHAnsi"/>
                <w:sz w:val="20"/>
                <w:szCs w:val="20"/>
                <w:lang w:val="en-US"/>
              </w:rPr>
              <w:t>143.  Wammes‐van der EA, Smidt MH, Tijssen CC, Van ‘t Hoff AR, Lenderink, PharmD AW, Egberts, PharmD AC. Effect of low‐intensity acenocoumarol on frequency and severity of migraine attacks. Headache: The Journal of Head and Face Pain. 2005 Feb;45(2):137-43.</w:t>
            </w:r>
          </w:p>
        </w:tc>
        <w:tc>
          <w:tcPr>
            <w:tcW w:w="2784" w:type="dxa"/>
          </w:tcPr>
          <w:p w14:paraId="35DBB7A3" w14:textId="6705F07B"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07096A" w:rsidRPr="004402EC">
              <w:rPr>
                <w:rFonts w:cstheme="minorHAnsi"/>
                <w:sz w:val="20"/>
                <w:szCs w:val="20"/>
                <w:lang w:val="en-US"/>
              </w:rPr>
              <w:t xml:space="preserve"> of episodic</w:t>
            </w:r>
            <w:r w:rsidR="008A3959" w:rsidRPr="004402EC">
              <w:rPr>
                <w:rFonts w:cstheme="minorHAnsi"/>
                <w:sz w:val="20"/>
                <w:szCs w:val="20"/>
                <w:lang w:val="en-US"/>
              </w:rPr>
              <w:t xml:space="preserve"> or chronic</w:t>
            </w:r>
            <w:r w:rsidR="0007096A" w:rsidRPr="004402EC">
              <w:rPr>
                <w:rFonts w:cstheme="minorHAnsi"/>
                <w:sz w:val="20"/>
                <w:szCs w:val="20"/>
                <w:lang w:val="en-US"/>
              </w:rPr>
              <w:t xml:space="preserve"> migraine</w:t>
            </w:r>
          </w:p>
        </w:tc>
      </w:tr>
      <w:tr w:rsidR="00EB171C" w:rsidRPr="004402EC" w14:paraId="038D8158" w14:textId="77777777" w:rsidTr="00E458C5">
        <w:tc>
          <w:tcPr>
            <w:tcW w:w="6232" w:type="dxa"/>
          </w:tcPr>
          <w:p w14:paraId="73B5860E" w14:textId="5F9F4E58" w:rsidR="00EB171C" w:rsidRPr="004402EC" w:rsidRDefault="00EB171C" w:rsidP="00EB171C">
            <w:pPr>
              <w:rPr>
                <w:rFonts w:cstheme="minorHAnsi"/>
                <w:sz w:val="20"/>
                <w:szCs w:val="20"/>
                <w:lang w:val="en-US"/>
              </w:rPr>
            </w:pPr>
            <w:r w:rsidRPr="004402EC">
              <w:rPr>
                <w:rFonts w:cstheme="minorHAnsi"/>
                <w:sz w:val="20"/>
                <w:szCs w:val="20"/>
                <w:lang w:val="en-US"/>
              </w:rPr>
              <w:t>144.  Xu JH, Mi HY. A randomized controlled trial of acupressure as an adjunctive therapy to sodium valproate on the prevention of chronic migraine with aura. Medicine. 2017 Jul;96(27).</w:t>
            </w:r>
          </w:p>
        </w:tc>
        <w:tc>
          <w:tcPr>
            <w:tcW w:w="2784" w:type="dxa"/>
          </w:tcPr>
          <w:p w14:paraId="15E4BF59" w14:textId="7D8D5C95" w:rsidR="00EB171C" w:rsidRPr="004402EC" w:rsidRDefault="00EB171C" w:rsidP="00EB171C">
            <w:pPr>
              <w:rPr>
                <w:rFonts w:cstheme="minorHAnsi"/>
                <w:sz w:val="20"/>
                <w:szCs w:val="20"/>
                <w:lang w:val="en-US"/>
              </w:rPr>
            </w:pPr>
            <w:r w:rsidRPr="004402EC">
              <w:rPr>
                <w:rFonts w:cstheme="minorHAnsi"/>
                <w:sz w:val="20"/>
                <w:szCs w:val="20"/>
                <w:lang w:val="en-US"/>
              </w:rPr>
              <w:t>Not a drug trial</w:t>
            </w:r>
          </w:p>
        </w:tc>
      </w:tr>
      <w:tr w:rsidR="00EB171C" w:rsidRPr="004402EC" w14:paraId="04575103" w14:textId="77777777" w:rsidTr="00E458C5">
        <w:tc>
          <w:tcPr>
            <w:tcW w:w="6232" w:type="dxa"/>
          </w:tcPr>
          <w:p w14:paraId="4F3CEB33" w14:textId="3325BF6F" w:rsidR="00EB171C" w:rsidRPr="004402EC" w:rsidRDefault="00EB171C" w:rsidP="00EB171C">
            <w:pPr>
              <w:rPr>
                <w:rFonts w:cstheme="minorHAnsi"/>
                <w:sz w:val="20"/>
                <w:szCs w:val="20"/>
                <w:lang w:val="en-US"/>
              </w:rPr>
            </w:pPr>
            <w:r w:rsidRPr="004402EC">
              <w:rPr>
                <w:rFonts w:cstheme="minorHAnsi"/>
                <w:sz w:val="20"/>
                <w:szCs w:val="20"/>
                <w:lang w:val="en-US"/>
              </w:rPr>
              <w:t>145.  Yurekli VA, Akhan G, Kutluhan S, Uzar E, Koyuncuoglu HR, Gultekin F. The effect of sodium valproate on chronic daily headache and its subgroups. The journal of headache and pain. 2008 Feb;9(1):37-41.</w:t>
            </w:r>
          </w:p>
        </w:tc>
        <w:tc>
          <w:tcPr>
            <w:tcW w:w="2784" w:type="dxa"/>
          </w:tcPr>
          <w:p w14:paraId="6F17EFCC" w14:textId="5D8FC376"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07096A" w:rsidRPr="004402EC">
              <w:rPr>
                <w:rFonts w:cstheme="minorHAnsi"/>
                <w:sz w:val="20"/>
                <w:szCs w:val="20"/>
                <w:lang w:val="en-US"/>
              </w:rPr>
              <w:t xml:space="preserve"> on chronic daily headache</w:t>
            </w:r>
          </w:p>
        </w:tc>
      </w:tr>
      <w:tr w:rsidR="00EB171C" w:rsidRPr="004402EC" w14:paraId="18CAAC6D" w14:textId="77777777" w:rsidTr="00E458C5">
        <w:tc>
          <w:tcPr>
            <w:tcW w:w="6232" w:type="dxa"/>
          </w:tcPr>
          <w:p w14:paraId="762FCF36" w14:textId="5AB8C54A" w:rsidR="00EB171C" w:rsidRPr="004402EC" w:rsidRDefault="00EB171C" w:rsidP="00EB171C">
            <w:pPr>
              <w:rPr>
                <w:rFonts w:cstheme="minorHAnsi"/>
                <w:sz w:val="20"/>
                <w:szCs w:val="20"/>
                <w:lang w:val="en-US"/>
              </w:rPr>
            </w:pPr>
            <w:r w:rsidRPr="004402EC">
              <w:rPr>
                <w:rFonts w:cstheme="minorHAnsi"/>
                <w:sz w:val="20"/>
                <w:szCs w:val="20"/>
                <w:lang w:val="en-US"/>
              </w:rPr>
              <w:t>146.  Zidan A, Hussaini S, Gibson S, Brooks G, Mejico L. Onabotulinumtoxin Type A reconstitution with preserved versus preservative‐free saline in chronic migraine (B‐RECON). A randomised, double‐blind trial. International Journal of Clinical Practice. 2020 Sep;74(9):e13522.</w:t>
            </w:r>
          </w:p>
        </w:tc>
        <w:tc>
          <w:tcPr>
            <w:tcW w:w="2784" w:type="dxa"/>
          </w:tcPr>
          <w:p w14:paraId="232D3804" w14:textId="7D7581DE" w:rsidR="00EB171C" w:rsidRPr="004402EC" w:rsidRDefault="00EB171C" w:rsidP="00EB171C">
            <w:pPr>
              <w:rPr>
                <w:rFonts w:cstheme="minorHAnsi"/>
                <w:sz w:val="20"/>
                <w:szCs w:val="20"/>
                <w:lang w:val="en-US"/>
              </w:rPr>
            </w:pPr>
            <w:r w:rsidRPr="004402EC">
              <w:rPr>
                <w:rFonts w:cstheme="minorHAnsi"/>
                <w:sz w:val="20"/>
                <w:szCs w:val="20"/>
                <w:lang w:val="en-US"/>
              </w:rPr>
              <w:t>Trial of Botox preservative on injection site pain</w:t>
            </w:r>
          </w:p>
        </w:tc>
      </w:tr>
      <w:tr w:rsidR="00EB171C" w:rsidRPr="004402EC" w14:paraId="71CB8FFB" w14:textId="77777777" w:rsidTr="00E458C5">
        <w:tc>
          <w:tcPr>
            <w:tcW w:w="6232" w:type="dxa"/>
          </w:tcPr>
          <w:p w14:paraId="04F5B887" w14:textId="2004279F" w:rsidR="00EB171C" w:rsidRPr="004402EC" w:rsidRDefault="00EB171C" w:rsidP="00EB171C">
            <w:pPr>
              <w:rPr>
                <w:rFonts w:cstheme="minorHAnsi"/>
                <w:sz w:val="20"/>
                <w:szCs w:val="20"/>
                <w:lang w:val="en-US"/>
              </w:rPr>
            </w:pPr>
            <w:r w:rsidRPr="004402EC">
              <w:rPr>
                <w:rFonts w:cstheme="minorHAnsi"/>
                <w:sz w:val="20"/>
                <w:szCs w:val="20"/>
                <w:lang w:val="en-US"/>
              </w:rPr>
              <w:t>147.  Silberstein SD, Hulihan J, Karim MR, Wu SC, Jordan D, Karvois D, Kamin M. Efficacy and tolerability of topiramate 200 mg/d in the prevention of migraine with/without aura in adults: a randomized, placebo-controlled, double-blind, 12-week pilot study. Clinical therapeutics. 2006 Jul 1;28(7):1002-11.</w:t>
            </w:r>
          </w:p>
        </w:tc>
        <w:tc>
          <w:tcPr>
            <w:tcW w:w="2784" w:type="dxa"/>
          </w:tcPr>
          <w:p w14:paraId="61B4D7E6" w14:textId="4ABEC0AA" w:rsidR="00EB171C" w:rsidRPr="004402EC" w:rsidRDefault="008A3959" w:rsidP="00EB171C">
            <w:pPr>
              <w:rPr>
                <w:rFonts w:cstheme="minorHAnsi"/>
                <w:sz w:val="20"/>
                <w:szCs w:val="20"/>
                <w:lang w:val="en-US"/>
              </w:rPr>
            </w:pPr>
            <w:r w:rsidRPr="004402EC">
              <w:rPr>
                <w:rFonts w:cstheme="minorHAnsi"/>
                <w:sz w:val="20"/>
                <w:szCs w:val="20"/>
                <w:lang w:val="en-US"/>
              </w:rPr>
              <w:t>Small sample size of episodic migraine</w:t>
            </w:r>
          </w:p>
        </w:tc>
      </w:tr>
      <w:tr w:rsidR="00EB171C" w:rsidRPr="004402EC" w14:paraId="025E21AE" w14:textId="77777777" w:rsidTr="00E458C5">
        <w:tc>
          <w:tcPr>
            <w:tcW w:w="6232" w:type="dxa"/>
          </w:tcPr>
          <w:p w14:paraId="736ABEDD" w14:textId="34E4EC9F" w:rsidR="00EB171C" w:rsidRPr="004402EC" w:rsidRDefault="00EB171C" w:rsidP="00EB171C">
            <w:pPr>
              <w:rPr>
                <w:rFonts w:cstheme="minorHAnsi"/>
                <w:sz w:val="20"/>
                <w:szCs w:val="20"/>
                <w:lang w:val="en-US"/>
              </w:rPr>
            </w:pPr>
            <w:r w:rsidRPr="004402EC">
              <w:rPr>
                <w:rFonts w:cstheme="minorHAnsi"/>
                <w:sz w:val="20"/>
                <w:szCs w:val="20"/>
                <w:lang w:val="en-US"/>
              </w:rPr>
              <w:lastRenderedPageBreak/>
              <w:t>148. Askari G, Nasiri M, Mozaffari-Khosravi H, Rezaie M, Bagheri-Bidakhavidi M, Sadeghi O. The effects of folic acid and pyridoxine supplementation on characteristics of migraine attacks in migraine patients with aura: A double-blind, randomized placebo-controlled, clinical trial. Nutrition. 2017 Jun 1;38:74-9.</w:t>
            </w:r>
          </w:p>
        </w:tc>
        <w:tc>
          <w:tcPr>
            <w:tcW w:w="2784" w:type="dxa"/>
          </w:tcPr>
          <w:p w14:paraId="61292430" w14:textId="4D565478" w:rsidR="00EB171C" w:rsidRPr="004402EC" w:rsidRDefault="00EB171C" w:rsidP="00EB171C">
            <w:pPr>
              <w:rPr>
                <w:rFonts w:cstheme="minorHAnsi"/>
                <w:sz w:val="20"/>
                <w:szCs w:val="20"/>
                <w:lang w:val="en-US"/>
              </w:rPr>
            </w:pPr>
            <w:r w:rsidRPr="004402EC">
              <w:rPr>
                <w:rFonts w:cstheme="minorHAnsi"/>
                <w:sz w:val="20"/>
                <w:szCs w:val="20"/>
                <w:lang w:val="en-US"/>
              </w:rPr>
              <w:t xml:space="preserve"> Acute migraine</w:t>
            </w:r>
          </w:p>
        </w:tc>
      </w:tr>
      <w:tr w:rsidR="00EB171C" w:rsidRPr="004402EC" w14:paraId="41F26753" w14:textId="77777777" w:rsidTr="00E458C5">
        <w:tc>
          <w:tcPr>
            <w:tcW w:w="6232" w:type="dxa"/>
          </w:tcPr>
          <w:p w14:paraId="6F826D7A" w14:textId="03F36F17" w:rsidR="00EB171C" w:rsidRPr="004402EC" w:rsidRDefault="00EB171C" w:rsidP="00EB171C">
            <w:pPr>
              <w:rPr>
                <w:rFonts w:cstheme="minorHAnsi"/>
                <w:sz w:val="20"/>
                <w:szCs w:val="20"/>
                <w:lang w:val="en-US"/>
              </w:rPr>
            </w:pPr>
            <w:r w:rsidRPr="004402EC">
              <w:rPr>
                <w:rFonts w:cstheme="minorHAnsi"/>
                <w:sz w:val="20"/>
                <w:szCs w:val="20"/>
                <w:lang w:val="en-US"/>
              </w:rPr>
              <w:t>149.  Hajihashemi P, Askari G, Khorvash F, Reza Maracy M, Nourian M. The effects of concurrent Coenzyme Q10, L-carnitine supplementation in migraine prophylaxis: A randomized, placebo-controlled, double-blind trial. Cephalalgia. 2019 Apr;39(5):648-54.</w:t>
            </w:r>
          </w:p>
        </w:tc>
        <w:tc>
          <w:tcPr>
            <w:tcW w:w="2784" w:type="dxa"/>
          </w:tcPr>
          <w:p w14:paraId="79AECCC4" w14:textId="2CF9839F" w:rsidR="00EB171C" w:rsidRPr="004402EC" w:rsidRDefault="00EB171C" w:rsidP="00EB171C">
            <w:pPr>
              <w:rPr>
                <w:rFonts w:cstheme="minorHAnsi"/>
                <w:sz w:val="20"/>
                <w:szCs w:val="20"/>
                <w:lang w:val="en-US"/>
              </w:rPr>
            </w:pPr>
            <w:r w:rsidRPr="004402EC">
              <w:rPr>
                <w:rFonts w:cstheme="minorHAnsi"/>
                <w:sz w:val="20"/>
                <w:szCs w:val="20"/>
                <w:lang w:val="en-US"/>
              </w:rPr>
              <w:t>Small sample size of episodic migraine</w:t>
            </w:r>
          </w:p>
        </w:tc>
      </w:tr>
      <w:tr w:rsidR="00EB171C" w:rsidRPr="004402EC" w14:paraId="01BB60BC" w14:textId="77777777" w:rsidTr="00E458C5">
        <w:tc>
          <w:tcPr>
            <w:tcW w:w="6232" w:type="dxa"/>
          </w:tcPr>
          <w:p w14:paraId="216D582F" w14:textId="7B3B426D" w:rsidR="00EB171C" w:rsidRPr="004402EC" w:rsidRDefault="00EB171C" w:rsidP="00EB171C">
            <w:pPr>
              <w:rPr>
                <w:rFonts w:cstheme="minorHAnsi"/>
                <w:sz w:val="20"/>
                <w:szCs w:val="20"/>
                <w:lang w:val="en-US"/>
              </w:rPr>
            </w:pPr>
            <w:r w:rsidRPr="004402EC">
              <w:rPr>
                <w:rFonts w:cstheme="minorHAnsi"/>
                <w:sz w:val="20"/>
                <w:szCs w:val="20"/>
                <w:lang w:val="en-US"/>
              </w:rPr>
              <w:t>150.  Bredfeldt RC, Sutherland JE, Kruse JE. Efficacy of transdermal clonidine for headache prophylaxis and reduction of narcotic use in migraine patients. J Fam Pract. 1989;29(2):153-6.</w:t>
            </w:r>
          </w:p>
        </w:tc>
        <w:tc>
          <w:tcPr>
            <w:tcW w:w="2784" w:type="dxa"/>
          </w:tcPr>
          <w:p w14:paraId="7ADCBFEA" w14:textId="4ED508D5" w:rsidR="00EB171C" w:rsidRPr="004402EC" w:rsidRDefault="008A3959" w:rsidP="00EB171C">
            <w:pPr>
              <w:rPr>
                <w:rFonts w:cstheme="minorHAnsi"/>
                <w:sz w:val="20"/>
                <w:szCs w:val="20"/>
                <w:lang w:val="en-US"/>
              </w:rPr>
            </w:pPr>
            <w:r w:rsidRPr="004402EC">
              <w:rPr>
                <w:rFonts w:cstheme="minorHAnsi"/>
                <w:sz w:val="20"/>
                <w:szCs w:val="20"/>
                <w:lang w:val="en-US"/>
              </w:rPr>
              <w:t xml:space="preserve">Small sample size of episodic migraine </w:t>
            </w:r>
            <w:r w:rsidR="00EB171C" w:rsidRPr="004402EC">
              <w:rPr>
                <w:rFonts w:cstheme="minorHAnsi"/>
                <w:sz w:val="20"/>
                <w:szCs w:val="20"/>
                <w:lang w:val="en-US"/>
              </w:rPr>
              <w:t>Small episodic migraine</w:t>
            </w:r>
          </w:p>
        </w:tc>
      </w:tr>
      <w:tr w:rsidR="00EB171C" w:rsidRPr="004402EC" w14:paraId="035E31F1" w14:textId="77777777" w:rsidTr="00E458C5">
        <w:tc>
          <w:tcPr>
            <w:tcW w:w="6232" w:type="dxa"/>
          </w:tcPr>
          <w:p w14:paraId="36E7BCD2" w14:textId="0BEF1D09" w:rsidR="00EB171C" w:rsidRPr="004402EC" w:rsidRDefault="00EB171C" w:rsidP="00EB171C">
            <w:pPr>
              <w:rPr>
                <w:rFonts w:cstheme="minorHAnsi"/>
                <w:sz w:val="20"/>
                <w:szCs w:val="20"/>
                <w:lang w:val="en-US"/>
              </w:rPr>
            </w:pPr>
            <w:r w:rsidRPr="004402EC">
              <w:rPr>
                <w:rFonts w:cstheme="minorHAnsi"/>
                <w:sz w:val="20"/>
                <w:szCs w:val="20"/>
                <w:lang w:val="en-US"/>
              </w:rPr>
              <w:t>151.  Centonze V, Macinagrossa G, Attolini E, Magrone D, Trizio T, Tesauro P, Campanozzi F, Altomare E, Albano O. Terapia preventiva dell'emicrania: flunarizina versus verapamil [Preventive therapy of migraine: flunarizine versus verapamil]. Clin Ter. 1985 Dec 15;115(5):333-9. Italian. PMID: 3830537.</w:t>
            </w:r>
          </w:p>
        </w:tc>
        <w:tc>
          <w:tcPr>
            <w:tcW w:w="2784" w:type="dxa"/>
          </w:tcPr>
          <w:p w14:paraId="73439954" w14:textId="12F22655" w:rsidR="00EB171C" w:rsidRPr="004402EC" w:rsidRDefault="008A3959" w:rsidP="00EB171C">
            <w:pPr>
              <w:rPr>
                <w:rFonts w:cstheme="minorHAnsi"/>
                <w:sz w:val="20"/>
                <w:szCs w:val="20"/>
                <w:lang w:val="en-US"/>
              </w:rPr>
            </w:pPr>
            <w:r w:rsidRPr="004402EC">
              <w:rPr>
                <w:rFonts w:cstheme="minorHAnsi"/>
                <w:sz w:val="20"/>
                <w:szCs w:val="20"/>
                <w:lang w:val="en-US"/>
              </w:rPr>
              <w:t>Small sample size of episodic migraine</w:t>
            </w:r>
          </w:p>
        </w:tc>
      </w:tr>
      <w:tr w:rsidR="00EB171C" w:rsidRPr="004402EC" w14:paraId="1921CE32" w14:textId="77777777" w:rsidTr="00E458C5">
        <w:tc>
          <w:tcPr>
            <w:tcW w:w="6232" w:type="dxa"/>
          </w:tcPr>
          <w:p w14:paraId="101EAACF" w14:textId="129F4A9E" w:rsidR="00EB171C" w:rsidRPr="004402EC" w:rsidRDefault="00EB171C" w:rsidP="00EB171C">
            <w:pPr>
              <w:rPr>
                <w:rFonts w:cstheme="minorHAnsi"/>
                <w:sz w:val="20"/>
                <w:szCs w:val="20"/>
                <w:lang w:val="en-US"/>
              </w:rPr>
            </w:pPr>
            <w:r w:rsidRPr="004402EC">
              <w:rPr>
                <w:rFonts w:cstheme="minorHAnsi"/>
                <w:sz w:val="20"/>
                <w:szCs w:val="20"/>
                <w:lang w:val="en-US"/>
              </w:rPr>
              <w:t>152.  Maizels M, Blumenfeld A, Burchette R. A combination of riboflavin, magnesium, and feverfew for migraine prophylaxis: a randomized trial. Headache: The Journal of Head and Face Pain. 2004 Oct;44(9):885-90.</w:t>
            </w:r>
          </w:p>
        </w:tc>
        <w:tc>
          <w:tcPr>
            <w:tcW w:w="2784" w:type="dxa"/>
          </w:tcPr>
          <w:p w14:paraId="038B7C07" w14:textId="03FE4B92" w:rsidR="00EB171C" w:rsidRPr="004402EC" w:rsidRDefault="00EB171C" w:rsidP="00EB171C">
            <w:pPr>
              <w:rPr>
                <w:rFonts w:cstheme="minorHAnsi"/>
                <w:sz w:val="20"/>
                <w:szCs w:val="20"/>
                <w:lang w:val="en-US"/>
              </w:rPr>
            </w:pPr>
            <w:r w:rsidRPr="004402EC">
              <w:rPr>
                <w:rFonts w:cstheme="minorHAnsi"/>
                <w:sz w:val="20"/>
                <w:szCs w:val="20"/>
                <w:lang w:val="en-US"/>
              </w:rPr>
              <w:t>Small sample size of episodic migraine</w:t>
            </w:r>
          </w:p>
        </w:tc>
      </w:tr>
      <w:tr w:rsidR="00EB171C" w:rsidRPr="004402EC" w14:paraId="177515EC" w14:textId="77777777" w:rsidTr="00E458C5">
        <w:tc>
          <w:tcPr>
            <w:tcW w:w="6232" w:type="dxa"/>
          </w:tcPr>
          <w:p w14:paraId="7EFE3593" w14:textId="4DA5CE0B" w:rsidR="00EB171C" w:rsidRPr="004402EC" w:rsidRDefault="00EB171C" w:rsidP="00EB171C">
            <w:pPr>
              <w:rPr>
                <w:rFonts w:cstheme="minorHAnsi"/>
                <w:sz w:val="20"/>
                <w:szCs w:val="20"/>
                <w:lang w:val="en-US"/>
              </w:rPr>
            </w:pPr>
            <w:r w:rsidRPr="004402EC">
              <w:rPr>
                <w:rFonts w:cstheme="minorHAnsi"/>
                <w:sz w:val="20"/>
                <w:szCs w:val="20"/>
                <w:lang w:val="en-US"/>
              </w:rPr>
              <w:t>153.  Chitsaz A, Ghorbani A, Hoseinzadeh H, Nazari F, Norouzi R, Tajic S. Comparison of botulinum toxin type-A and divalproex sodium for prevention of chronic and episodic migraine. Neurology Asia. 2012 Jun 1;17(2).</w:t>
            </w:r>
          </w:p>
        </w:tc>
        <w:tc>
          <w:tcPr>
            <w:tcW w:w="2784" w:type="dxa"/>
          </w:tcPr>
          <w:p w14:paraId="795A477A" w14:textId="4816D770"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07096A" w:rsidRPr="004402EC">
              <w:rPr>
                <w:rFonts w:cstheme="minorHAnsi"/>
                <w:sz w:val="20"/>
                <w:szCs w:val="20"/>
                <w:lang w:val="en-US"/>
              </w:rPr>
              <w:t xml:space="preserve"> of episodic or chronic migraine</w:t>
            </w:r>
          </w:p>
        </w:tc>
      </w:tr>
      <w:tr w:rsidR="00EB171C" w:rsidRPr="004402EC" w14:paraId="71051CCE" w14:textId="77777777" w:rsidTr="00E458C5">
        <w:tc>
          <w:tcPr>
            <w:tcW w:w="6232" w:type="dxa"/>
          </w:tcPr>
          <w:p w14:paraId="79F9BD98" w14:textId="2B97E17F" w:rsidR="00EB171C" w:rsidRPr="004402EC" w:rsidRDefault="00EB171C" w:rsidP="00EB171C">
            <w:pPr>
              <w:rPr>
                <w:rFonts w:cstheme="minorHAnsi"/>
                <w:sz w:val="20"/>
                <w:szCs w:val="20"/>
                <w:lang w:val="en-US"/>
              </w:rPr>
            </w:pPr>
            <w:r w:rsidRPr="004402EC">
              <w:rPr>
                <w:rFonts w:cstheme="minorHAnsi"/>
                <w:sz w:val="20"/>
                <w:szCs w:val="20"/>
                <w:lang w:val="en-US"/>
              </w:rPr>
              <w:t>154.  Matin H, Taghian F, Chitsaz A. Artificial intelligence analysis to explore synchronize exercise, cobalamin, and magnesium as new actors to therapeutic of migraine symptoms: a randomized, placebo-controlled trial. Neurological Sciences. 2022 Feb 3:1-2.</w:t>
            </w:r>
          </w:p>
        </w:tc>
        <w:tc>
          <w:tcPr>
            <w:tcW w:w="2784" w:type="dxa"/>
          </w:tcPr>
          <w:p w14:paraId="7CEB7C1B" w14:textId="7CB29E5F" w:rsidR="00EB171C" w:rsidRPr="004402EC" w:rsidRDefault="00EB171C" w:rsidP="00EB171C">
            <w:pPr>
              <w:rPr>
                <w:rFonts w:cstheme="minorHAnsi"/>
                <w:sz w:val="20"/>
                <w:szCs w:val="20"/>
                <w:lang w:val="en-US"/>
              </w:rPr>
            </w:pPr>
            <w:r w:rsidRPr="004402EC">
              <w:rPr>
                <w:rFonts w:cstheme="minorHAnsi"/>
                <w:sz w:val="20"/>
                <w:szCs w:val="20"/>
                <w:lang w:val="en-US"/>
              </w:rPr>
              <w:t>Small sample size of episodic migraine</w:t>
            </w:r>
          </w:p>
        </w:tc>
      </w:tr>
      <w:tr w:rsidR="00EB171C" w:rsidRPr="004402EC" w14:paraId="6383AF41" w14:textId="77777777" w:rsidTr="00E458C5">
        <w:tc>
          <w:tcPr>
            <w:tcW w:w="6232" w:type="dxa"/>
          </w:tcPr>
          <w:p w14:paraId="35DF6279" w14:textId="6B72AF86" w:rsidR="00EB171C" w:rsidRPr="004402EC" w:rsidRDefault="00EB171C" w:rsidP="00EB171C">
            <w:pPr>
              <w:rPr>
                <w:rFonts w:cstheme="minorHAnsi"/>
                <w:sz w:val="20"/>
                <w:szCs w:val="20"/>
                <w:lang w:val="en-US"/>
              </w:rPr>
            </w:pPr>
            <w:r w:rsidRPr="004402EC">
              <w:rPr>
                <w:rFonts w:cstheme="minorHAnsi"/>
                <w:sz w:val="20"/>
                <w:szCs w:val="20"/>
                <w:lang w:val="en-US"/>
              </w:rPr>
              <w:t>155.  Croop R, Lipton RB, Kudrow D, Stock DA, Kamen L, Conway CM, Stock EG, Coric V, Goadsby PJ. Oral rimegepant for preventive treatment of migraine: a phase 2/3, randomised, double-blind, placebo-controlled trial. The Lancet. 2021 Jan 2;397(10268):51-60.</w:t>
            </w:r>
          </w:p>
        </w:tc>
        <w:tc>
          <w:tcPr>
            <w:tcW w:w="2784" w:type="dxa"/>
          </w:tcPr>
          <w:p w14:paraId="55D18FBA" w14:textId="1824C0F8" w:rsidR="00EB171C" w:rsidRPr="004402EC" w:rsidRDefault="00EB171C" w:rsidP="00EB171C">
            <w:pPr>
              <w:rPr>
                <w:rFonts w:cstheme="minorHAnsi"/>
                <w:sz w:val="20"/>
                <w:szCs w:val="20"/>
                <w:lang w:val="en-US"/>
              </w:rPr>
            </w:pPr>
            <w:r w:rsidRPr="004402EC">
              <w:rPr>
                <w:rFonts w:cstheme="minorHAnsi"/>
                <w:sz w:val="20"/>
                <w:szCs w:val="20"/>
                <w:lang w:val="en-US"/>
              </w:rPr>
              <w:t>Small sample size</w:t>
            </w:r>
            <w:r w:rsidR="0007096A" w:rsidRPr="004402EC">
              <w:rPr>
                <w:rFonts w:cstheme="minorHAnsi"/>
                <w:sz w:val="20"/>
                <w:szCs w:val="20"/>
                <w:lang w:val="en-US"/>
              </w:rPr>
              <w:t xml:space="preserve"> of episodic </w:t>
            </w:r>
            <w:r w:rsidR="008A3959" w:rsidRPr="004402EC">
              <w:rPr>
                <w:rFonts w:cstheme="minorHAnsi"/>
                <w:sz w:val="20"/>
                <w:szCs w:val="20"/>
                <w:lang w:val="en-US"/>
              </w:rPr>
              <w:t>or</w:t>
            </w:r>
            <w:r w:rsidR="0007096A" w:rsidRPr="004402EC">
              <w:rPr>
                <w:rFonts w:cstheme="minorHAnsi"/>
                <w:sz w:val="20"/>
                <w:szCs w:val="20"/>
                <w:lang w:val="en-US"/>
              </w:rPr>
              <w:t xml:space="preserve"> chronic migraine</w:t>
            </w:r>
          </w:p>
        </w:tc>
      </w:tr>
      <w:tr w:rsidR="00EB171C" w:rsidRPr="004402EC" w14:paraId="486B9CA8" w14:textId="77777777" w:rsidTr="00E458C5">
        <w:tc>
          <w:tcPr>
            <w:tcW w:w="6232" w:type="dxa"/>
          </w:tcPr>
          <w:p w14:paraId="2A50895C" w14:textId="778EE4AD" w:rsidR="00EB171C" w:rsidRPr="004402EC" w:rsidRDefault="00EB171C" w:rsidP="00EB171C">
            <w:pPr>
              <w:rPr>
                <w:rFonts w:cstheme="minorHAnsi"/>
                <w:sz w:val="20"/>
                <w:szCs w:val="20"/>
                <w:lang w:val="en-US"/>
              </w:rPr>
            </w:pPr>
            <w:r w:rsidRPr="004402EC">
              <w:rPr>
                <w:rFonts w:cstheme="minorHAnsi"/>
                <w:sz w:val="20"/>
                <w:szCs w:val="20"/>
                <w:lang w:val="en-US"/>
              </w:rPr>
              <w:t>156.  Diamond S, Kudrow L, Stevens J, Shapiro DB. Long‐term study of propranolol in the treatment of migraine. Headache: The Journal of Head and Face Pain. 1982 Nov;22(6):268-71.</w:t>
            </w:r>
          </w:p>
        </w:tc>
        <w:tc>
          <w:tcPr>
            <w:tcW w:w="2784" w:type="dxa"/>
          </w:tcPr>
          <w:p w14:paraId="6EB24771" w14:textId="3FE7A780" w:rsidR="00EB171C" w:rsidRPr="004402EC" w:rsidRDefault="00EB171C" w:rsidP="00EB171C">
            <w:pPr>
              <w:rPr>
                <w:rFonts w:cstheme="minorHAnsi"/>
                <w:sz w:val="20"/>
                <w:szCs w:val="20"/>
                <w:lang w:val="en-US"/>
              </w:rPr>
            </w:pPr>
            <w:r w:rsidRPr="004402EC">
              <w:rPr>
                <w:rFonts w:cstheme="minorHAnsi"/>
                <w:sz w:val="20"/>
                <w:szCs w:val="20"/>
                <w:lang w:val="en-US"/>
              </w:rPr>
              <w:t>No outcome of interests</w:t>
            </w:r>
          </w:p>
        </w:tc>
      </w:tr>
      <w:tr w:rsidR="008A3959" w:rsidRPr="004402EC" w14:paraId="6943E322" w14:textId="77777777" w:rsidTr="00E458C5">
        <w:tc>
          <w:tcPr>
            <w:tcW w:w="6232" w:type="dxa"/>
          </w:tcPr>
          <w:p w14:paraId="629DE6C6" w14:textId="3511ADA5" w:rsidR="008A3959" w:rsidRPr="004402EC" w:rsidRDefault="008A3959" w:rsidP="008A3959">
            <w:pPr>
              <w:rPr>
                <w:rFonts w:cstheme="minorHAnsi"/>
                <w:sz w:val="20"/>
                <w:szCs w:val="20"/>
                <w:lang w:val="en-US"/>
              </w:rPr>
            </w:pPr>
            <w:r w:rsidRPr="004402EC">
              <w:rPr>
                <w:rFonts w:cstheme="minorHAnsi"/>
                <w:sz w:val="20"/>
                <w:szCs w:val="20"/>
                <w:lang w:val="en-US"/>
              </w:rPr>
              <w:t>157.  Mottaghi T, Askari G, Khorvash F, Maracy MR. Effect of Vitamin D supplementation on symptoms and C-reactive protein in migraine patients. Journal of research in medical sciences: the official journal of Isfahan University of Medical Sciences. 2015 May;20(5):477.</w:t>
            </w:r>
          </w:p>
        </w:tc>
        <w:tc>
          <w:tcPr>
            <w:tcW w:w="2784" w:type="dxa"/>
          </w:tcPr>
          <w:p w14:paraId="5EAB3602" w14:textId="6EB545EB" w:rsidR="008A3959" w:rsidRPr="004402EC" w:rsidRDefault="008A3959" w:rsidP="008A3959">
            <w:pPr>
              <w:rPr>
                <w:rFonts w:cstheme="minorHAnsi"/>
                <w:sz w:val="20"/>
                <w:szCs w:val="20"/>
                <w:lang w:val="en-US"/>
              </w:rPr>
            </w:pPr>
            <w:r w:rsidRPr="004402EC">
              <w:rPr>
                <w:rFonts w:cstheme="minorHAnsi"/>
                <w:sz w:val="20"/>
                <w:szCs w:val="20"/>
                <w:lang w:val="en-US"/>
              </w:rPr>
              <w:t>Mixed population of adults and adolescence</w:t>
            </w:r>
          </w:p>
        </w:tc>
      </w:tr>
      <w:tr w:rsidR="008A3959" w:rsidRPr="004402EC" w14:paraId="524276F6" w14:textId="77777777" w:rsidTr="00E458C5">
        <w:tc>
          <w:tcPr>
            <w:tcW w:w="6232" w:type="dxa"/>
          </w:tcPr>
          <w:p w14:paraId="67342D3C" w14:textId="5623277E" w:rsidR="008A3959" w:rsidRPr="004402EC" w:rsidRDefault="008A3959" w:rsidP="008A3959">
            <w:pPr>
              <w:rPr>
                <w:rFonts w:cstheme="minorHAnsi"/>
                <w:sz w:val="20"/>
                <w:szCs w:val="20"/>
                <w:lang w:val="en-US"/>
              </w:rPr>
            </w:pPr>
            <w:r w:rsidRPr="004402EC">
              <w:rPr>
                <w:rFonts w:cstheme="minorHAnsi"/>
                <w:sz w:val="20"/>
                <w:szCs w:val="20"/>
                <w:lang w:val="en-US"/>
              </w:rPr>
              <w:t>158.  Nattagh-Eshtivani E, Dahri M, Hashemilar M, Tarighat-Esfanjani A. The effect of coenzyme Q10 supplementation on serum levels of lactate, pyruvate, matrix metalloproteinase 9 and nitric oxide in women with migraine. A double blind, placebo, controlled randomized clinical trial. European Journal of Integrative Medicine. 2018 Aug 1;21:70-6.</w:t>
            </w:r>
          </w:p>
        </w:tc>
        <w:tc>
          <w:tcPr>
            <w:tcW w:w="2784" w:type="dxa"/>
          </w:tcPr>
          <w:p w14:paraId="57B83E7F" w14:textId="1DAEE4E5" w:rsidR="008A3959" w:rsidRPr="004402EC" w:rsidRDefault="008A3959"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7F0214BC" w14:textId="77777777" w:rsidTr="00E458C5">
        <w:tc>
          <w:tcPr>
            <w:tcW w:w="6232" w:type="dxa"/>
          </w:tcPr>
          <w:p w14:paraId="51613C09" w14:textId="598FE0AF" w:rsidR="008A3959" w:rsidRPr="004402EC" w:rsidRDefault="008A3959" w:rsidP="008A3959">
            <w:pPr>
              <w:rPr>
                <w:rFonts w:cstheme="minorHAnsi"/>
                <w:sz w:val="20"/>
                <w:szCs w:val="20"/>
                <w:lang w:val="en-US"/>
              </w:rPr>
            </w:pPr>
            <w:r w:rsidRPr="004402EC">
              <w:rPr>
                <w:rFonts w:cstheme="minorHAnsi"/>
                <w:sz w:val="20"/>
                <w:szCs w:val="20"/>
                <w:lang w:val="en-US"/>
              </w:rPr>
              <w:t>159.  Shoeibi A, Olfati N, Soltani Sabi M, Salehi M, Mali S, Akbari Oryani M. Effectiveness of coenzyme Q10 in prophylactic treatment of migraine headache: an open-label, add-on, controlled trial. Acta Neurologica Belgica. 2017 Mar;117(1):103-9.</w:t>
            </w:r>
          </w:p>
        </w:tc>
        <w:tc>
          <w:tcPr>
            <w:tcW w:w="2784" w:type="dxa"/>
          </w:tcPr>
          <w:p w14:paraId="1A49099A" w14:textId="7FAB7BF4" w:rsidR="008A3959" w:rsidRPr="004402EC" w:rsidRDefault="008A3959"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386C17CF" w14:textId="77777777" w:rsidTr="00E458C5">
        <w:tc>
          <w:tcPr>
            <w:tcW w:w="6232" w:type="dxa"/>
          </w:tcPr>
          <w:p w14:paraId="26098017" w14:textId="70BF2C6F" w:rsidR="008A3959" w:rsidRPr="004402EC" w:rsidRDefault="008A3959" w:rsidP="008A3959">
            <w:pPr>
              <w:rPr>
                <w:rFonts w:cstheme="minorHAnsi"/>
                <w:sz w:val="20"/>
                <w:szCs w:val="20"/>
                <w:lang w:val="en-US"/>
              </w:rPr>
            </w:pPr>
            <w:r w:rsidRPr="004402EC">
              <w:rPr>
                <w:rFonts w:cstheme="minorHAnsi"/>
                <w:sz w:val="20"/>
                <w:szCs w:val="20"/>
                <w:lang w:val="en-US"/>
              </w:rPr>
              <w:t>160. Tarighat Esfanjani A, Mahdavi R, Ebrahimi Mameghani M, Talebi M, Nikniaz Z, Safaiyan A. The effects of magnesium, l-carnitine, and concurrent magnesium–l-carnitine supplementation in migraine prophylaxis. Biological trace element research. 2012 Dec;150(1):42-8.</w:t>
            </w:r>
          </w:p>
        </w:tc>
        <w:tc>
          <w:tcPr>
            <w:tcW w:w="2784" w:type="dxa"/>
          </w:tcPr>
          <w:p w14:paraId="5583B2B8" w14:textId="711894A2" w:rsidR="008A3959" w:rsidRPr="004402EC" w:rsidRDefault="008A3959"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120564C4" w14:textId="77777777" w:rsidTr="00E458C5">
        <w:tc>
          <w:tcPr>
            <w:tcW w:w="6232" w:type="dxa"/>
          </w:tcPr>
          <w:p w14:paraId="79B8180E" w14:textId="570B03DC" w:rsidR="008A3959" w:rsidRPr="004402EC" w:rsidRDefault="008A3959" w:rsidP="008A3959">
            <w:pPr>
              <w:rPr>
                <w:rFonts w:cstheme="minorHAnsi"/>
                <w:sz w:val="20"/>
                <w:szCs w:val="20"/>
                <w:lang w:val="en-US"/>
              </w:rPr>
            </w:pPr>
            <w:r w:rsidRPr="004402EC">
              <w:rPr>
                <w:rFonts w:cstheme="minorHAnsi"/>
                <w:sz w:val="20"/>
                <w:szCs w:val="20"/>
                <w:lang w:val="en-US"/>
              </w:rPr>
              <w:t>161.  Hsieh LL, Liou HH, Lee LH, Chen TH, Yen AM. Effect of acupressure and trigger points in treating headache: a randomized controlled trial. The American Journal of Chinese Medicine. 2010;38(01):1-4.</w:t>
            </w:r>
          </w:p>
        </w:tc>
        <w:tc>
          <w:tcPr>
            <w:tcW w:w="2784" w:type="dxa"/>
          </w:tcPr>
          <w:p w14:paraId="267FDB1B" w14:textId="5C9FF63F" w:rsidR="008A3959" w:rsidRPr="004402EC" w:rsidRDefault="008A3959"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7680BC47" w14:textId="77777777" w:rsidTr="00E458C5">
        <w:tc>
          <w:tcPr>
            <w:tcW w:w="6232" w:type="dxa"/>
          </w:tcPr>
          <w:p w14:paraId="2509C7EF" w14:textId="7FB6BB3B" w:rsidR="008A3959" w:rsidRPr="004402EC" w:rsidRDefault="008A3959" w:rsidP="008A3959">
            <w:pPr>
              <w:rPr>
                <w:rFonts w:cstheme="minorHAnsi"/>
                <w:sz w:val="20"/>
                <w:szCs w:val="20"/>
                <w:lang w:val="en-US"/>
              </w:rPr>
            </w:pPr>
            <w:r w:rsidRPr="004402EC">
              <w:rPr>
                <w:rFonts w:cstheme="minorHAnsi"/>
                <w:sz w:val="20"/>
                <w:szCs w:val="20"/>
                <w:lang w:val="en-US"/>
              </w:rPr>
              <w:t xml:space="preserve">162.  Langohr HD, Gerber WD, Koletzki E, Mayer K, Schroth G. </w:t>
            </w:r>
            <w:r w:rsidRPr="004402EC">
              <w:rPr>
                <w:rFonts w:cstheme="minorHAnsi"/>
                <w:sz w:val="20"/>
                <w:szCs w:val="20"/>
                <w:lang w:val="en-US"/>
              </w:rPr>
              <w:lastRenderedPageBreak/>
              <w:t>Clomipramine and Metoprolol in Migraine Prophylaxis—A Double‐blind Crossover Study. Headache: The Journal of Head and Face Pain. 1985 Mar;25(2):107-12.</w:t>
            </w:r>
          </w:p>
        </w:tc>
        <w:tc>
          <w:tcPr>
            <w:tcW w:w="2784" w:type="dxa"/>
          </w:tcPr>
          <w:p w14:paraId="0347D9F2" w14:textId="3B484DAB" w:rsidR="008A3959" w:rsidRPr="004402EC" w:rsidRDefault="008A3959" w:rsidP="008A3959">
            <w:pPr>
              <w:rPr>
                <w:rFonts w:cstheme="minorHAnsi"/>
                <w:sz w:val="20"/>
                <w:szCs w:val="20"/>
                <w:lang w:val="en-US"/>
              </w:rPr>
            </w:pPr>
            <w:r w:rsidRPr="004402EC">
              <w:rPr>
                <w:rFonts w:cstheme="minorHAnsi"/>
                <w:sz w:val="20"/>
                <w:szCs w:val="20"/>
                <w:lang w:val="en-US"/>
              </w:rPr>
              <w:lastRenderedPageBreak/>
              <w:t xml:space="preserve">Small sample size of episodic </w:t>
            </w:r>
            <w:r w:rsidRPr="004402EC">
              <w:rPr>
                <w:rFonts w:cstheme="minorHAnsi"/>
                <w:sz w:val="20"/>
                <w:szCs w:val="20"/>
                <w:lang w:val="en-US"/>
              </w:rPr>
              <w:lastRenderedPageBreak/>
              <w:t>migraine</w:t>
            </w:r>
          </w:p>
        </w:tc>
      </w:tr>
      <w:tr w:rsidR="008A3959" w:rsidRPr="004402EC" w14:paraId="1F4C9AF3" w14:textId="77777777" w:rsidTr="00E458C5">
        <w:tc>
          <w:tcPr>
            <w:tcW w:w="6232" w:type="dxa"/>
          </w:tcPr>
          <w:p w14:paraId="2B267642" w14:textId="618683FB" w:rsidR="008A3959" w:rsidRPr="004402EC" w:rsidRDefault="008A3959" w:rsidP="008A3959">
            <w:pPr>
              <w:rPr>
                <w:rFonts w:cstheme="minorHAnsi"/>
                <w:sz w:val="20"/>
                <w:szCs w:val="20"/>
                <w:lang w:val="en-US"/>
              </w:rPr>
            </w:pPr>
            <w:r w:rsidRPr="004402EC">
              <w:rPr>
                <w:rFonts w:cstheme="minorHAnsi"/>
                <w:sz w:val="20"/>
                <w:szCs w:val="20"/>
                <w:lang w:val="en-US"/>
              </w:rPr>
              <w:lastRenderedPageBreak/>
              <w:t>163.  Sândor PS, Di Clemente L, Coppola G, Saenger U, Fumal A, Magis D, Seidel L, Agosti RM, Schoenen J. Efficacy of coenzyme Q10 in migraine prophylaxis: a randomized controlled trial. Neurology. 2005 Feb 22;64(4):713-5.</w:t>
            </w:r>
          </w:p>
        </w:tc>
        <w:tc>
          <w:tcPr>
            <w:tcW w:w="2784" w:type="dxa"/>
          </w:tcPr>
          <w:p w14:paraId="7D93846F" w14:textId="0E8E0FBB" w:rsidR="008A3959" w:rsidRPr="004402EC" w:rsidRDefault="008A3959"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69638E33" w14:textId="77777777" w:rsidTr="00E458C5">
        <w:tc>
          <w:tcPr>
            <w:tcW w:w="6232" w:type="dxa"/>
          </w:tcPr>
          <w:p w14:paraId="4CADF3FB" w14:textId="1A0D1A96" w:rsidR="008A3959" w:rsidRPr="004402EC" w:rsidRDefault="008A3959" w:rsidP="008A3959">
            <w:pPr>
              <w:rPr>
                <w:rFonts w:cstheme="minorHAnsi"/>
                <w:sz w:val="20"/>
                <w:szCs w:val="20"/>
                <w:lang w:val="en-US"/>
              </w:rPr>
            </w:pPr>
            <w:r w:rsidRPr="004402EC">
              <w:rPr>
                <w:rFonts w:cstheme="minorHAnsi"/>
                <w:sz w:val="20"/>
                <w:szCs w:val="20"/>
                <w:lang w:val="en-US"/>
              </w:rPr>
              <w:t>164.  Mathew NT. Prophylaxis of migraine and mixed headache. A randomized controlled study. Headache: The Journal of Head and Face Pain. 1981 May;21(3):105-9.</w:t>
            </w:r>
          </w:p>
        </w:tc>
        <w:tc>
          <w:tcPr>
            <w:tcW w:w="2784" w:type="dxa"/>
          </w:tcPr>
          <w:p w14:paraId="4875C717" w14:textId="22FC6100" w:rsidR="008A3959" w:rsidRPr="004402EC" w:rsidRDefault="008A3959" w:rsidP="008A3959">
            <w:pPr>
              <w:rPr>
                <w:rFonts w:cstheme="minorHAnsi"/>
                <w:sz w:val="20"/>
                <w:szCs w:val="20"/>
                <w:lang w:val="en-US"/>
              </w:rPr>
            </w:pPr>
            <w:r w:rsidRPr="004402EC">
              <w:rPr>
                <w:rFonts w:cstheme="minorHAnsi"/>
                <w:sz w:val="20"/>
                <w:szCs w:val="20"/>
                <w:lang w:val="en-US"/>
              </w:rPr>
              <w:t>Small sample size of migraine</w:t>
            </w:r>
          </w:p>
        </w:tc>
      </w:tr>
      <w:tr w:rsidR="008A3959" w:rsidRPr="004402EC" w14:paraId="17A44986" w14:textId="77777777" w:rsidTr="00E458C5">
        <w:tc>
          <w:tcPr>
            <w:tcW w:w="6232" w:type="dxa"/>
          </w:tcPr>
          <w:p w14:paraId="1DAEA73F" w14:textId="3608EB6F" w:rsidR="008A3959" w:rsidRPr="004402EC" w:rsidRDefault="008A3959" w:rsidP="008A3959">
            <w:pPr>
              <w:rPr>
                <w:rFonts w:cstheme="minorHAnsi"/>
                <w:sz w:val="20"/>
                <w:szCs w:val="20"/>
                <w:lang w:val="en-US"/>
              </w:rPr>
            </w:pPr>
            <w:r w:rsidRPr="004402EC">
              <w:rPr>
                <w:rFonts w:cstheme="minorHAnsi"/>
                <w:sz w:val="20"/>
                <w:szCs w:val="20"/>
                <w:lang w:val="en-US"/>
              </w:rPr>
              <w:t>165.  Schoenen J, Jacquy J, Lenaerts M. Effectiveness of high‐dose riboflavin in migraine prophylaxis A randomized controlled trial. Neurology. 1998 Feb 1;50(2):466-70.</w:t>
            </w:r>
          </w:p>
        </w:tc>
        <w:tc>
          <w:tcPr>
            <w:tcW w:w="2784" w:type="dxa"/>
          </w:tcPr>
          <w:p w14:paraId="5052E83D" w14:textId="7AFE3626" w:rsidR="008A3959" w:rsidRPr="004402EC" w:rsidRDefault="008A3959"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429F0BC2" w14:textId="77777777" w:rsidTr="00E458C5">
        <w:tc>
          <w:tcPr>
            <w:tcW w:w="6232" w:type="dxa"/>
          </w:tcPr>
          <w:p w14:paraId="70155321" w14:textId="20E0E22D" w:rsidR="008A3959" w:rsidRPr="004402EC" w:rsidRDefault="008A3959" w:rsidP="008A3959">
            <w:pPr>
              <w:rPr>
                <w:rFonts w:cstheme="minorHAnsi"/>
                <w:sz w:val="20"/>
                <w:szCs w:val="20"/>
                <w:lang w:val="en-US"/>
              </w:rPr>
            </w:pPr>
            <w:r w:rsidRPr="004402EC">
              <w:rPr>
                <w:rFonts w:cstheme="minorHAnsi"/>
                <w:sz w:val="20"/>
                <w:szCs w:val="20"/>
                <w:lang w:val="en-US"/>
              </w:rPr>
              <w:t>166. Cao K, Yu L, Gao Y, Fan Y, Zhao J, Zhang X, Xie W, Yang W, Dong M, Li T, Qiao X. Efficacy of zhengtian pill for migraine prophylaxis: a randomized, multicenter, double-blind, placebo-controlled, parallel-group study. European Journal of Integrative Medicine. 2014 Jun 1;6(3):259-67.</w:t>
            </w:r>
          </w:p>
        </w:tc>
        <w:tc>
          <w:tcPr>
            <w:tcW w:w="2784" w:type="dxa"/>
          </w:tcPr>
          <w:p w14:paraId="7D22FF0A" w14:textId="17E725DD" w:rsidR="008A3959" w:rsidRPr="004402EC" w:rsidRDefault="008A3959" w:rsidP="008A3959">
            <w:pPr>
              <w:rPr>
                <w:rFonts w:cstheme="minorHAnsi"/>
                <w:sz w:val="20"/>
                <w:szCs w:val="20"/>
                <w:lang w:val="en-US"/>
              </w:rPr>
            </w:pPr>
            <w:r w:rsidRPr="004402EC">
              <w:rPr>
                <w:rFonts w:cstheme="minorHAnsi"/>
                <w:sz w:val="20"/>
                <w:szCs w:val="20"/>
                <w:lang w:val="en-US"/>
              </w:rPr>
              <w:t>Episodic</w:t>
            </w:r>
            <w:r w:rsidR="00780A4A">
              <w:rPr>
                <w:rFonts w:cstheme="minorHAnsi"/>
                <w:sz w:val="20"/>
                <w:szCs w:val="20"/>
                <w:lang w:val="en-US"/>
              </w:rPr>
              <w:t xml:space="preserve"> migraine</w:t>
            </w:r>
          </w:p>
        </w:tc>
      </w:tr>
      <w:tr w:rsidR="008A3959" w:rsidRPr="004402EC" w14:paraId="5750B54E" w14:textId="77777777" w:rsidTr="00E458C5">
        <w:tc>
          <w:tcPr>
            <w:tcW w:w="6232" w:type="dxa"/>
          </w:tcPr>
          <w:p w14:paraId="2B580538" w14:textId="4C760C68" w:rsidR="008A3959" w:rsidRPr="004402EC" w:rsidRDefault="008A3959" w:rsidP="008A3959">
            <w:pPr>
              <w:rPr>
                <w:rFonts w:cstheme="minorHAnsi"/>
                <w:sz w:val="20"/>
                <w:szCs w:val="20"/>
                <w:lang w:val="en-US"/>
              </w:rPr>
            </w:pPr>
            <w:r w:rsidRPr="004402EC">
              <w:rPr>
                <w:rFonts w:cstheme="minorHAnsi"/>
                <w:sz w:val="20"/>
                <w:szCs w:val="20"/>
                <w:lang w:val="en-US"/>
              </w:rPr>
              <w:t>167.  Nelson CF, Bronfort G, Evans R, Boline P, Goldsmith C, Anderson AV. The efficacy of spinal manipulation, amitriptyline and the combination of both therapies for the prophylaxis of migraine headache. Journal of manipulative and physiological therapeutics. 1998 Oct 1;21(8):511-9.</w:t>
            </w:r>
          </w:p>
        </w:tc>
        <w:tc>
          <w:tcPr>
            <w:tcW w:w="2784" w:type="dxa"/>
          </w:tcPr>
          <w:p w14:paraId="6ACD0BF5" w14:textId="05703902" w:rsidR="008A3959" w:rsidRPr="004402EC" w:rsidRDefault="008A3959"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67BF4490" w14:textId="77777777" w:rsidTr="00E458C5">
        <w:tc>
          <w:tcPr>
            <w:tcW w:w="6232" w:type="dxa"/>
          </w:tcPr>
          <w:p w14:paraId="097BDA19" w14:textId="50676578" w:rsidR="008A3959" w:rsidRPr="004402EC" w:rsidRDefault="008A3959" w:rsidP="008A3959">
            <w:pPr>
              <w:rPr>
                <w:rFonts w:cstheme="minorHAnsi"/>
                <w:sz w:val="20"/>
                <w:szCs w:val="20"/>
                <w:lang w:val="en-US"/>
              </w:rPr>
            </w:pPr>
            <w:r w:rsidRPr="004402EC">
              <w:rPr>
                <w:rFonts w:cstheme="minorHAnsi"/>
                <w:sz w:val="20"/>
                <w:szCs w:val="20"/>
                <w:lang w:val="en-US"/>
              </w:rPr>
              <w:t>168.   Diener HC, Kronfeld K, Boewing G, Lungenhausen M, Maier C, Molsberger A, Tegenthoff M, Trampisch HJ, Zenz M, Meinert R, GERAC Migraine Study Group. Efficacy of acupuncture for the prophylaxis of migraine: a multicentre randomised controlled clinical trial. The Lancet Neurology. 2006 Apr 1;5(4):310-6.</w:t>
            </w:r>
          </w:p>
        </w:tc>
        <w:tc>
          <w:tcPr>
            <w:tcW w:w="2784" w:type="dxa"/>
          </w:tcPr>
          <w:p w14:paraId="6F6A9ABD" w14:textId="0321DC04" w:rsidR="008A3959" w:rsidRPr="004402EC" w:rsidRDefault="008A3959" w:rsidP="008A3959">
            <w:pPr>
              <w:rPr>
                <w:rFonts w:cstheme="minorHAnsi"/>
                <w:sz w:val="20"/>
                <w:szCs w:val="20"/>
                <w:lang w:val="en-US"/>
              </w:rPr>
            </w:pPr>
            <w:r w:rsidRPr="004402EC">
              <w:rPr>
                <w:rFonts w:cstheme="minorHAnsi"/>
                <w:sz w:val="20"/>
                <w:szCs w:val="20"/>
                <w:lang w:val="en-US"/>
              </w:rPr>
              <w:t>Episodic, Control treatment not standardized</w:t>
            </w:r>
          </w:p>
        </w:tc>
      </w:tr>
      <w:tr w:rsidR="008A3959" w:rsidRPr="004402EC" w14:paraId="3041AD38" w14:textId="77777777" w:rsidTr="00E458C5">
        <w:tc>
          <w:tcPr>
            <w:tcW w:w="6232" w:type="dxa"/>
          </w:tcPr>
          <w:p w14:paraId="49F264FF" w14:textId="59CDEC15" w:rsidR="008A3959" w:rsidRPr="004402EC" w:rsidRDefault="008A3959" w:rsidP="008A3959">
            <w:pPr>
              <w:rPr>
                <w:rFonts w:cstheme="minorHAnsi"/>
                <w:sz w:val="20"/>
                <w:szCs w:val="20"/>
                <w:lang w:val="en-US"/>
              </w:rPr>
            </w:pPr>
            <w:r w:rsidRPr="004402EC">
              <w:rPr>
                <w:rFonts w:cstheme="minorHAnsi"/>
                <w:sz w:val="20"/>
                <w:szCs w:val="20"/>
                <w:lang w:val="en-US"/>
              </w:rPr>
              <w:t>169.  Shukla R, Garg RK, Nag D, Ahuja RC. Nifedipine in migraine and tension headache: a randomised double blind crossover study. The Journal of the Association of Physicians of India. 1995 Nov 1;43(11):770-2.</w:t>
            </w:r>
          </w:p>
        </w:tc>
        <w:tc>
          <w:tcPr>
            <w:tcW w:w="2784" w:type="dxa"/>
          </w:tcPr>
          <w:p w14:paraId="731964EC" w14:textId="45022D64" w:rsidR="008A3959" w:rsidRPr="004402EC" w:rsidRDefault="008A3959"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58CF7916" w14:textId="77777777" w:rsidTr="00E458C5">
        <w:tc>
          <w:tcPr>
            <w:tcW w:w="6232" w:type="dxa"/>
          </w:tcPr>
          <w:p w14:paraId="33817884" w14:textId="4516FE99" w:rsidR="008A3959" w:rsidRPr="004402EC" w:rsidRDefault="008A3959" w:rsidP="008A3959">
            <w:pPr>
              <w:rPr>
                <w:rFonts w:cstheme="minorHAnsi"/>
                <w:sz w:val="20"/>
                <w:szCs w:val="20"/>
                <w:lang w:val="en-US"/>
              </w:rPr>
            </w:pPr>
            <w:r w:rsidRPr="004402EC">
              <w:rPr>
                <w:rFonts w:cstheme="minorHAnsi"/>
                <w:sz w:val="20"/>
                <w:szCs w:val="20"/>
                <w:lang w:val="en-US"/>
              </w:rPr>
              <w:t xml:space="preserve">170.  Silberstein SD, Stark SR, Lucas SM, Christie SN, Degryse RE, Turkel CC, BoNTA-039 Study Group. Botulinum toxin type A for the prophylactic treatment of chronic daily headache: a randomized, double-blind, placebo-controlled trial. </w:t>
            </w:r>
            <w:r w:rsidR="00713048" w:rsidRPr="004402EC">
              <w:rPr>
                <w:rFonts w:cstheme="minorHAnsi"/>
                <w:sz w:val="20"/>
                <w:szCs w:val="20"/>
                <w:lang w:val="en-US"/>
              </w:rPr>
              <w:t>In Mayo</w:t>
            </w:r>
            <w:r w:rsidRPr="004402EC">
              <w:rPr>
                <w:rFonts w:cstheme="minorHAnsi"/>
                <w:sz w:val="20"/>
                <w:szCs w:val="20"/>
                <w:lang w:val="en-US"/>
              </w:rPr>
              <w:t xml:space="preserve"> Clinic Proceedings 2005 Sep 1 (Vol. 80, No. 9, pp. 1126-1137). Elsevier.</w:t>
            </w:r>
          </w:p>
        </w:tc>
        <w:tc>
          <w:tcPr>
            <w:tcW w:w="2784" w:type="dxa"/>
          </w:tcPr>
          <w:p w14:paraId="08F92364" w14:textId="78A31989" w:rsidR="008A3959" w:rsidRPr="004402EC" w:rsidRDefault="008A3959" w:rsidP="008A3959">
            <w:pPr>
              <w:rPr>
                <w:rFonts w:cstheme="minorHAnsi"/>
                <w:sz w:val="20"/>
                <w:szCs w:val="20"/>
                <w:lang w:val="en-US"/>
              </w:rPr>
            </w:pPr>
            <w:r w:rsidRPr="004402EC">
              <w:rPr>
                <w:rFonts w:cstheme="minorHAnsi"/>
                <w:sz w:val="20"/>
                <w:szCs w:val="20"/>
                <w:lang w:val="en-US"/>
              </w:rPr>
              <w:t xml:space="preserve">Paper has included mixed patients (77% chronic migraine, 18% chronic tension type headache, 3% new daily persistent headache and 1% other headaches). Hence, not all patients were chronic migraineurs. </w:t>
            </w:r>
          </w:p>
        </w:tc>
      </w:tr>
      <w:tr w:rsidR="008A3959" w:rsidRPr="004402EC" w14:paraId="14592EE4" w14:textId="77777777" w:rsidTr="00E458C5">
        <w:tc>
          <w:tcPr>
            <w:tcW w:w="6232" w:type="dxa"/>
          </w:tcPr>
          <w:p w14:paraId="23119F1A" w14:textId="6591E1F2" w:rsidR="008A3959" w:rsidRPr="004402EC" w:rsidRDefault="008A3959" w:rsidP="008A3959">
            <w:pPr>
              <w:rPr>
                <w:rFonts w:cstheme="minorHAnsi"/>
                <w:sz w:val="20"/>
                <w:szCs w:val="20"/>
                <w:lang w:val="en-US"/>
              </w:rPr>
            </w:pPr>
            <w:r w:rsidRPr="004402EC">
              <w:rPr>
                <w:rFonts w:cstheme="minorHAnsi"/>
                <w:sz w:val="20"/>
                <w:szCs w:val="20"/>
                <w:lang w:val="en-US"/>
              </w:rPr>
              <w:t xml:space="preserve">171.  Ford JH, Stauffer VL, McAllister P, Akkala S, Sexson M, Ayer DW, Wang S. Functional impairment and disability among patients with migraine: evaluation of </w:t>
            </w:r>
            <w:r w:rsidR="00713048" w:rsidRPr="004402EC">
              <w:rPr>
                <w:rFonts w:cstheme="minorHAnsi"/>
                <w:sz w:val="20"/>
                <w:szCs w:val="20"/>
                <w:lang w:val="en-US"/>
              </w:rPr>
              <w:t>Galcanezumab</w:t>
            </w:r>
            <w:r w:rsidRPr="004402EC">
              <w:rPr>
                <w:rFonts w:cstheme="minorHAnsi"/>
                <w:sz w:val="20"/>
                <w:szCs w:val="20"/>
                <w:lang w:val="en-US"/>
              </w:rPr>
              <w:t xml:space="preserve"> in a long-term, open-label study. Quality of Life Research. 2021 Feb;30(2):455-64.</w:t>
            </w:r>
          </w:p>
        </w:tc>
        <w:tc>
          <w:tcPr>
            <w:tcW w:w="2784" w:type="dxa"/>
          </w:tcPr>
          <w:p w14:paraId="761164E9" w14:textId="7F94280C" w:rsidR="008A3959" w:rsidRPr="004402EC" w:rsidRDefault="008A3959"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5ECC8390" w14:textId="77777777" w:rsidTr="00E458C5">
        <w:tc>
          <w:tcPr>
            <w:tcW w:w="6232" w:type="dxa"/>
          </w:tcPr>
          <w:p w14:paraId="0BEE166F" w14:textId="10960F46" w:rsidR="008A3959" w:rsidRPr="004402EC" w:rsidRDefault="008A3959" w:rsidP="008A3959">
            <w:pPr>
              <w:rPr>
                <w:rFonts w:cstheme="minorHAnsi"/>
                <w:sz w:val="20"/>
                <w:szCs w:val="20"/>
                <w:lang w:val="en-US"/>
              </w:rPr>
            </w:pPr>
            <w:r w:rsidRPr="004402EC">
              <w:rPr>
                <w:rFonts w:cstheme="minorHAnsi"/>
                <w:sz w:val="20"/>
                <w:szCs w:val="20"/>
                <w:lang w:val="en-US"/>
              </w:rPr>
              <w:t>172. Anthony M. Interesting uses of beta blockers. 1. Beta blockers in migraine prevention. Australian family physician. 1981 Apr;10(4):258-62.</w:t>
            </w:r>
          </w:p>
        </w:tc>
        <w:tc>
          <w:tcPr>
            <w:tcW w:w="2784" w:type="dxa"/>
          </w:tcPr>
          <w:p w14:paraId="47DF5BAB" w14:textId="1E7EB591" w:rsidR="008A3959" w:rsidRPr="004402EC" w:rsidRDefault="008A3959" w:rsidP="008A3959">
            <w:pPr>
              <w:rPr>
                <w:rFonts w:cstheme="minorHAnsi"/>
                <w:sz w:val="20"/>
                <w:szCs w:val="20"/>
                <w:lang w:val="en-US"/>
              </w:rPr>
            </w:pPr>
            <w:r w:rsidRPr="004402EC">
              <w:rPr>
                <w:rFonts w:cstheme="minorHAnsi"/>
                <w:sz w:val="20"/>
                <w:szCs w:val="20"/>
                <w:lang w:val="en-US"/>
              </w:rPr>
              <w:t xml:space="preserve">Not </w:t>
            </w:r>
            <w:r w:rsidR="00713048">
              <w:rPr>
                <w:rFonts w:cstheme="minorHAnsi"/>
                <w:sz w:val="20"/>
                <w:szCs w:val="20"/>
                <w:lang w:val="en-US"/>
              </w:rPr>
              <w:t xml:space="preserve">an </w:t>
            </w:r>
            <w:r w:rsidRPr="004402EC">
              <w:rPr>
                <w:rFonts w:cstheme="minorHAnsi"/>
                <w:sz w:val="20"/>
                <w:szCs w:val="20"/>
                <w:lang w:val="en-US"/>
              </w:rPr>
              <w:t>RCT</w:t>
            </w:r>
          </w:p>
        </w:tc>
      </w:tr>
      <w:tr w:rsidR="008A3959" w:rsidRPr="004402EC" w14:paraId="05BC9790" w14:textId="77777777" w:rsidTr="00E458C5">
        <w:tc>
          <w:tcPr>
            <w:tcW w:w="6232" w:type="dxa"/>
          </w:tcPr>
          <w:p w14:paraId="787789CD" w14:textId="6527BB5D" w:rsidR="008A3959" w:rsidRPr="004402EC" w:rsidRDefault="008A3959" w:rsidP="008A3959">
            <w:pPr>
              <w:rPr>
                <w:rFonts w:cstheme="minorHAnsi"/>
                <w:sz w:val="20"/>
                <w:szCs w:val="20"/>
                <w:lang w:val="en-US"/>
              </w:rPr>
            </w:pPr>
            <w:r w:rsidRPr="004402EC">
              <w:rPr>
                <w:rFonts w:cstheme="minorHAnsi"/>
                <w:sz w:val="20"/>
                <w:szCs w:val="20"/>
                <w:lang w:val="en-US"/>
              </w:rPr>
              <w:t>173.  Arthur GP, Hornabrook RW. The treatment of migraine with BC 105 (pizotifen): a double blind trial. The New Zealand Medical Journal. 1971 Jan 1;73(464):5-9.</w:t>
            </w:r>
          </w:p>
        </w:tc>
        <w:tc>
          <w:tcPr>
            <w:tcW w:w="2784" w:type="dxa"/>
          </w:tcPr>
          <w:p w14:paraId="1CEE86F8" w14:textId="71D15994" w:rsidR="008A3959" w:rsidRPr="004402EC" w:rsidRDefault="008A3959"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528E3433" w14:textId="77777777" w:rsidTr="00E458C5">
        <w:tc>
          <w:tcPr>
            <w:tcW w:w="6232" w:type="dxa"/>
          </w:tcPr>
          <w:p w14:paraId="30EE25E5" w14:textId="36244AB5" w:rsidR="008A3959" w:rsidRPr="004402EC" w:rsidRDefault="008A3959" w:rsidP="008A3959">
            <w:pPr>
              <w:rPr>
                <w:rFonts w:cstheme="minorHAnsi"/>
                <w:sz w:val="20"/>
                <w:szCs w:val="20"/>
                <w:lang w:val="en-US"/>
              </w:rPr>
            </w:pPr>
            <w:r w:rsidRPr="004402EC">
              <w:rPr>
                <w:rFonts w:cstheme="minorHAnsi"/>
                <w:sz w:val="20"/>
                <w:szCs w:val="20"/>
                <w:lang w:val="en-US"/>
              </w:rPr>
              <w:t>174.  Ashkenazi A, Silberstein S. Botulinum toxin type A for the treatment of headache: why we say yes. Archives of neurology. 2008 Jan 1;65(1):146-9.</w:t>
            </w:r>
          </w:p>
        </w:tc>
        <w:tc>
          <w:tcPr>
            <w:tcW w:w="2784" w:type="dxa"/>
          </w:tcPr>
          <w:p w14:paraId="3B3099EF" w14:textId="2952E14A" w:rsidR="008A3959" w:rsidRPr="004402EC" w:rsidRDefault="008A3959" w:rsidP="008A3959">
            <w:pPr>
              <w:rPr>
                <w:rFonts w:cstheme="minorHAnsi"/>
                <w:sz w:val="20"/>
                <w:szCs w:val="20"/>
                <w:lang w:val="en-US"/>
              </w:rPr>
            </w:pPr>
            <w:r w:rsidRPr="004402EC">
              <w:rPr>
                <w:rFonts w:cstheme="minorHAnsi"/>
                <w:sz w:val="20"/>
                <w:szCs w:val="20"/>
                <w:lang w:val="en-US"/>
              </w:rPr>
              <w:t>Not an RCT</w:t>
            </w:r>
          </w:p>
        </w:tc>
      </w:tr>
      <w:tr w:rsidR="008A3959" w:rsidRPr="004402EC" w14:paraId="6C3BC0B3" w14:textId="77777777" w:rsidTr="00E458C5">
        <w:tc>
          <w:tcPr>
            <w:tcW w:w="6232" w:type="dxa"/>
          </w:tcPr>
          <w:p w14:paraId="0D335AE7" w14:textId="6B999E0F" w:rsidR="008A3959" w:rsidRPr="004402EC" w:rsidRDefault="008A3959" w:rsidP="008A3959">
            <w:pPr>
              <w:rPr>
                <w:rFonts w:cstheme="minorHAnsi"/>
                <w:sz w:val="20"/>
                <w:szCs w:val="20"/>
                <w:lang w:val="en-US"/>
              </w:rPr>
            </w:pPr>
            <w:r w:rsidRPr="004402EC">
              <w:rPr>
                <w:rFonts w:cstheme="minorHAnsi"/>
                <w:sz w:val="20"/>
                <w:szCs w:val="20"/>
                <w:lang w:val="en-US"/>
              </w:rPr>
              <w:t>175. Bademosi O, Osuntokun BO. Pizotifen in the management of migraine. The Practitioner. 1978 Feb 1;220(1316):325-7.</w:t>
            </w:r>
          </w:p>
        </w:tc>
        <w:tc>
          <w:tcPr>
            <w:tcW w:w="2784" w:type="dxa"/>
          </w:tcPr>
          <w:p w14:paraId="0632F709" w14:textId="07668179" w:rsidR="008A3959" w:rsidRPr="004402EC" w:rsidRDefault="008A3959"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24A993A0" w14:textId="77777777" w:rsidTr="00E458C5">
        <w:tc>
          <w:tcPr>
            <w:tcW w:w="6232" w:type="dxa"/>
          </w:tcPr>
          <w:p w14:paraId="07CCE746" w14:textId="794A150D" w:rsidR="008A3959" w:rsidRPr="004402EC" w:rsidRDefault="008A3959" w:rsidP="008A3959">
            <w:pPr>
              <w:rPr>
                <w:rFonts w:cstheme="minorHAnsi"/>
                <w:sz w:val="20"/>
                <w:szCs w:val="20"/>
                <w:lang w:val="en-US"/>
              </w:rPr>
            </w:pPr>
            <w:r w:rsidRPr="004402EC">
              <w:rPr>
                <w:rFonts w:cstheme="minorHAnsi"/>
                <w:sz w:val="20"/>
                <w:szCs w:val="20"/>
                <w:lang w:val="en-US"/>
              </w:rPr>
              <w:t>176. Behan PO, Reid M. Propranolol in the treatment of migraine. The Practitioner. 1980 Feb;224(1340):201-3.</w:t>
            </w:r>
          </w:p>
        </w:tc>
        <w:tc>
          <w:tcPr>
            <w:tcW w:w="2784" w:type="dxa"/>
          </w:tcPr>
          <w:p w14:paraId="5AD125F2" w14:textId="0281B86E" w:rsidR="008A3959" w:rsidRPr="004402EC" w:rsidRDefault="008A3959"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3D4FD699" w14:textId="77777777" w:rsidTr="00E458C5">
        <w:tc>
          <w:tcPr>
            <w:tcW w:w="6232" w:type="dxa"/>
          </w:tcPr>
          <w:p w14:paraId="10772A8D" w14:textId="560779D1" w:rsidR="008A3959" w:rsidRPr="004402EC" w:rsidRDefault="008A3959" w:rsidP="008A3959">
            <w:pPr>
              <w:rPr>
                <w:rFonts w:cstheme="minorHAnsi"/>
                <w:sz w:val="20"/>
                <w:szCs w:val="20"/>
                <w:lang w:val="en-US"/>
              </w:rPr>
            </w:pPr>
            <w:r w:rsidRPr="004402EC">
              <w:rPr>
                <w:rFonts w:cstheme="minorHAnsi"/>
                <w:sz w:val="20"/>
                <w:szCs w:val="20"/>
                <w:lang w:val="en-US"/>
              </w:rPr>
              <w:t>177. Chen SP, Fuh JL, Wang SJ. OnabotulinumtoxinA: preventive treatment for chronic migraine. Current pain and headache reports. 2011 Feb;15(1):4-7.</w:t>
            </w:r>
          </w:p>
        </w:tc>
        <w:tc>
          <w:tcPr>
            <w:tcW w:w="2784" w:type="dxa"/>
          </w:tcPr>
          <w:p w14:paraId="46A83040" w14:textId="77D91E6F" w:rsidR="008A3959" w:rsidRPr="004402EC" w:rsidRDefault="008A3959" w:rsidP="008A3959">
            <w:pPr>
              <w:rPr>
                <w:rFonts w:cstheme="minorHAnsi"/>
                <w:sz w:val="20"/>
                <w:szCs w:val="20"/>
                <w:lang w:val="en-US"/>
              </w:rPr>
            </w:pPr>
            <w:r w:rsidRPr="004402EC">
              <w:rPr>
                <w:rFonts w:cstheme="minorHAnsi"/>
                <w:sz w:val="20"/>
                <w:szCs w:val="20"/>
                <w:lang w:val="en-US"/>
              </w:rPr>
              <w:t>Not an RCT</w:t>
            </w:r>
          </w:p>
        </w:tc>
      </w:tr>
      <w:tr w:rsidR="008A3959" w:rsidRPr="004402EC" w14:paraId="0651A466" w14:textId="77777777" w:rsidTr="00E458C5">
        <w:tc>
          <w:tcPr>
            <w:tcW w:w="6232" w:type="dxa"/>
          </w:tcPr>
          <w:p w14:paraId="3CCFBCAA" w14:textId="5F7186E0" w:rsidR="008A3959" w:rsidRPr="004402EC" w:rsidRDefault="008A3959" w:rsidP="008A3959">
            <w:pPr>
              <w:rPr>
                <w:rFonts w:cstheme="minorHAnsi"/>
                <w:sz w:val="20"/>
                <w:szCs w:val="20"/>
                <w:lang w:val="en-US"/>
              </w:rPr>
            </w:pPr>
            <w:r w:rsidRPr="004402EC">
              <w:rPr>
                <w:rFonts w:cstheme="minorHAnsi"/>
                <w:sz w:val="20"/>
                <w:szCs w:val="20"/>
                <w:lang w:val="en-US"/>
              </w:rPr>
              <w:lastRenderedPageBreak/>
              <w:t>178. Diamond S, Freitag FG. A double-blind trial of flunarizine in migraine prophylaxis. Headache Quarterly-Current Treatment and Research. 1993 Jan 1;4(2):169-72.</w:t>
            </w:r>
          </w:p>
        </w:tc>
        <w:tc>
          <w:tcPr>
            <w:tcW w:w="2784" w:type="dxa"/>
          </w:tcPr>
          <w:p w14:paraId="08858BD2" w14:textId="5037B048" w:rsidR="008A3959" w:rsidRPr="004402EC" w:rsidRDefault="008A3959"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7BA2C568" w14:textId="77777777" w:rsidTr="00E458C5">
        <w:tc>
          <w:tcPr>
            <w:tcW w:w="6232" w:type="dxa"/>
          </w:tcPr>
          <w:p w14:paraId="1A641032" w14:textId="1D733026" w:rsidR="008A3959" w:rsidRPr="004402EC" w:rsidRDefault="008A3959" w:rsidP="008A3959">
            <w:pPr>
              <w:rPr>
                <w:rFonts w:cstheme="minorHAnsi"/>
                <w:sz w:val="20"/>
                <w:szCs w:val="20"/>
                <w:lang w:val="en-US"/>
              </w:rPr>
            </w:pPr>
            <w:r w:rsidRPr="004402EC">
              <w:rPr>
                <w:rFonts w:cstheme="minorHAnsi"/>
                <w:sz w:val="20"/>
                <w:szCs w:val="20"/>
                <w:lang w:val="en-US"/>
              </w:rPr>
              <w:t>179.  Feuerstein T, Quebe-Fehling E. A double-blind, placebo-controlled, parallel-group, multicenter study of the safety and efficacy of gabapentin (CI-945) as a prophylactic interval therapy in patients with common migraine (Protocols 879-201,-205,-206,-207,-209). Research Report No. RR 4301-00066. Freiburg: Goedecke AG Research and Development. Available at: http://dida. library. ucsf. edu/pdf/brr13j10 1990. Accessed May 26; 2015.</w:t>
            </w:r>
          </w:p>
        </w:tc>
        <w:tc>
          <w:tcPr>
            <w:tcW w:w="2784" w:type="dxa"/>
          </w:tcPr>
          <w:p w14:paraId="0BCE125A" w14:textId="5E176A22" w:rsidR="008A3959" w:rsidRPr="004402EC" w:rsidRDefault="008A3959"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75939372" w14:textId="77777777" w:rsidTr="00E458C5">
        <w:tc>
          <w:tcPr>
            <w:tcW w:w="6232" w:type="dxa"/>
          </w:tcPr>
          <w:p w14:paraId="52C83CE0" w14:textId="27CCE400" w:rsidR="008A3959" w:rsidRPr="004402EC" w:rsidRDefault="008A3959" w:rsidP="008A3959">
            <w:pPr>
              <w:rPr>
                <w:rFonts w:cstheme="minorHAnsi"/>
                <w:sz w:val="20"/>
                <w:szCs w:val="20"/>
                <w:lang w:val="en-US"/>
              </w:rPr>
            </w:pPr>
            <w:r w:rsidRPr="004402EC">
              <w:rPr>
                <w:rFonts w:cstheme="minorHAnsi"/>
                <w:sz w:val="20"/>
                <w:szCs w:val="20"/>
                <w:lang w:val="en-US"/>
              </w:rPr>
              <w:t>180. Hübbe P. Controlled clinical trials of drugs for use in the prophylaxis of migraine. Danish Medical Bulletin. 1975 Mar 1;22(3):92-6.</w:t>
            </w:r>
          </w:p>
        </w:tc>
        <w:tc>
          <w:tcPr>
            <w:tcW w:w="2784" w:type="dxa"/>
          </w:tcPr>
          <w:p w14:paraId="66D4321E" w14:textId="434F8EB7" w:rsidR="008A3959" w:rsidRPr="004402EC" w:rsidRDefault="008A3959" w:rsidP="008A3959">
            <w:pPr>
              <w:rPr>
                <w:rFonts w:cstheme="minorHAnsi"/>
                <w:sz w:val="20"/>
                <w:szCs w:val="20"/>
                <w:lang w:val="en-US"/>
              </w:rPr>
            </w:pPr>
            <w:r w:rsidRPr="004402EC">
              <w:rPr>
                <w:rFonts w:cstheme="minorHAnsi"/>
                <w:sz w:val="20"/>
                <w:szCs w:val="20"/>
                <w:lang w:val="en-US"/>
              </w:rPr>
              <w:t>Not an RCT</w:t>
            </w:r>
          </w:p>
        </w:tc>
      </w:tr>
      <w:tr w:rsidR="008A3959" w:rsidRPr="004402EC" w14:paraId="78C56250" w14:textId="77777777" w:rsidTr="00E458C5">
        <w:tc>
          <w:tcPr>
            <w:tcW w:w="6232" w:type="dxa"/>
          </w:tcPr>
          <w:p w14:paraId="5D762E61" w14:textId="7397CCEF" w:rsidR="008A3959" w:rsidRPr="004402EC" w:rsidRDefault="008A3959" w:rsidP="008A3959">
            <w:pPr>
              <w:rPr>
                <w:rFonts w:cstheme="minorHAnsi"/>
                <w:sz w:val="20"/>
                <w:szCs w:val="20"/>
                <w:lang w:val="en-US"/>
              </w:rPr>
            </w:pPr>
            <w:r w:rsidRPr="004402EC">
              <w:rPr>
                <w:rFonts w:cstheme="minorHAnsi"/>
                <w:sz w:val="20"/>
                <w:szCs w:val="20"/>
                <w:lang w:val="en-US"/>
              </w:rPr>
              <w:t>181. Lance JW, Curran DA, Anthony M. Investigations into the mechanism and treatment of chronic headache. Medical journal of Australia. 1965 Nov;2(22):909-14.</w:t>
            </w:r>
          </w:p>
        </w:tc>
        <w:tc>
          <w:tcPr>
            <w:tcW w:w="2784" w:type="dxa"/>
          </w:tcPr>
          <w:p w14:paraId="19DE1B2E" w14:textId="59D69448" w:rsidR="008A3959" w:rsidRPr="004402EC" w:rsidRDefault="008A3959" w:rsidP="008A3959">
            <w:pPr>
              <w:rPr>
                <w:rFonts w:cstheme="minorHAnsi"/>
                <w:sz w:val="20"/>
                <w:szCs w:val="20"/>
                <w:lang w:val="en-US"/>
              </w:rPr>
            </w:pPr>
            <w:r w:rsidRPr="004402EC">
              <w:rPr>
                <w:rFonts w:cstheme="minorHAnsi"/>
                <w:sz w:val="20"/>
                <w:szCs w:val="20"/>
                <w:lang w:val="en-US"/>
              </w:rPr>
              <w:t>Not an RCT</w:t>
            </w:r>
          </w:p>
        </w:tc>
      </w:tr>
      <w:tr w:rsidR="008A3959" w:rsidRPr="004402EC" w14:paraId="44F9EF45" w14:textId="77777777" w:rsidTr="00E458C5">
        <w:tc>
          <w:tcPr>
            <w:tcW w:w="6232" w:type="dxa"/>
          </w:tcPr>
          <w:p w14:paraId="2DAFF1C2" w14:textId="42A676C6" w:rsidR="008A3959" w:rsidRPr="004402EC" w:rsidRDefault="008A3959" w:rsidP="008A3959">
            <w:pPr>
              <w:rPr>
                <w:rFonts w:cstheme="minorHAnsi"/>
                <w:sz w:val="20"/>
                <w:szCs w:val="20"/>
                <w:lang w:val="en-US"/>
              </w:rPr>
            </w:pPr>
            <w:r w:rsidRPr="004402EC">
              <w:rPr>
                <w:rFonts w:cstheme="minorHAnsi"/>
                <w:sz w:val="20"/>
                <w:szCs w:val="20"/>
                <w:lang w:val="en-US"/>
              </w:rPr>
              <w:t>182.  Magnus-Miller L, Bernstein P, Caswell K. Double-blind, randomized, placebo-controlled, multicenter trial to determine the efficacy and safety of Neurontin®(gabapentin) in migraine prophylaxis administered in doses divided three times a day (TID)(protocol 945-220). Research Report No. RR 995‐00074. Morris Plains, NJ: Parke‐Davis Pharmaceutical Research Division of Warner‐Lambert Company Medical and Scientific Affairs Department; August 24, 1999. Available at: http://dida. library. ucsf. edu/pdf/arr13j10. 1999 Aug 24.</w:t>
            </w:r>
          </w:p>
        </w:tc>
        <w:tc>
          <w:tcPr>
            <w:tcW w:w="2784" w:type="dxa"/>
          </w:tcPr>
          <w:p w14:paraId="51DA7651" w14:textId="5E22DFB1" w:rsidR="008A3959" w:rsidRPr="004402EC" w:rsidRDefault="00983F2D"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0491AAFB" w14:textId="77777777" w:rsidTr="00E458C5">
        <w:tc>
          <w:tcPr>
            <w:tcW w:w="6232" w:type="dxa"/>
          </w:tcPr>
          <w:p w14:paraId="3BFF4A11" w14:textId="0BACFF71" w:rsidR="008A3959" w:rsidRPr="004402EC" w:rsidRDefault="008A3959" w:rsidP="008A3959">
            <w:pPr>
              <w:rPr>
                <w:rFonts w:cstheme="minorHAnsi"/>
                <w:sz w:val="20"/>
                <w:szCs w:val="20"/>
                <w:lang w:val="en-US"/>
              </w:rPr>
            </w:pPr>
            <w:r w:rsidRPr="004402EC">
              <w:rPr>
                <w:rFonts w:cstheme="minorHAnsi"/>
                <w:sz w:val="20"/>
                <w:szCs w:val="20"/>
                <w:lang w:val="en-US"/>
              </w:rPr>
              <w:t>183.  Magnus-Miller L, Bernstein P, Caswell K. Double-blind, randomized, placebo-controlled, multicenter trial to determine the efficacy and safety of Neurontin®(gabapentin) in migraine prophylaxis administered in doses divided three times a day (TID)(protocol 945-220). Research Report No. RR 995‐00074. Morris Plains, NJ: Parke‐Davis Pharmaceutical Research Division of Warner‐Lambert Company Medical and Scientific Affairs Department; August 24, 1999. Available at: http://dida. library. ucsf. edu/pdf/arr13j10. 1999 Aug 24.</w:t>
            </w:r>
          </w:p>
        </w:tc>
        <w:tc>
          <w:tcPr>
            <w:tcW w:w="2784" w:type="dxa"/>
          </w:tcPr>
          <w:p w14:paraId="4BC94CBC" w14:textId="596AB056" w:rsidR="008A3959" w:rsidRPr="004402EC" w:rsidRDefault="00983F2D"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73C50A83" w14:textId="77777777" w:rsidTr="00E458C5">
        <w:tc>
          <w:tcPr>
            <w:tcW w:w="6232" w:type="dxa"/>
          </w:tcPr>
          <w:p w14:paraId="3389605E" w14:textId="2B9B01CB" w:rsidR="008A3959" w:rsidRPr="004402EC" w:rsidRDefault="008A3959" w:rsidP="008A3959">
            <w:pPr>
              <w:rPr>
                <w:rFonts w:cstheme="minorHAnsi"/>
                <w:sz w:val="20"/>
                <w:szCs w:val="20"/>
                <w:lang w:val="en-US"/>
              </w:rPr>
            </w:pPr>
            <w:r w:rsidRPr="004402EC">
              <w:rPr>
                <w:rFonts w:cstheme="minorHAnsi"/>
                <w:sz w:val="20"/>
                <w:szCs w:val="20"/>
                <w:lang w:val="en-US"/>
              </w:rPr>
              <w:t>184. Linde K, Rossnagel K. WITHDRAWN: Propranolol for migraine prophylaxis. Cochrane Database Syst Rev. 2017;2(2):CD003225. Published 2017 Feb 17. doi:10.1002/14651858.CD003225.pub3</w:t>
            </w:r>
          </w:p>
        </w:tc>
        <w:tc>
          <w:tcPr>
            <w:tcW w:w="2784" w:type="dxa"/>
          </w:tcPr>
          <w:p w14:paraId="3842BFCE" w14:textId="6CFBB279" w:rsidR="008A3959" w:rsidRPr="004402EC" w:rsidRDefault="008A3959" w:rsidP="008A3959">
            <w:pPr>
              <w:rPr>
                <w:rFonts w:cstheme="minorHAnsi"/>
                <w:sz w:val="20"/>
                <w:szCs w:val="20"/>
                <w:lang w:val="en-US"/>
              </w:rPr>
            </w:pPr>
            <w:r w:rsidRPr="004402EC">
              <w:rPr>
                <w:rFonts w:cstheme="minorHAnsi"/>
                <w:sz w:val="20"/>
                <w:szCs w:val="20"/>
                <w:lang w:val="en-US"/>
              </w:rPr>
              <w:t>Not</w:t>
            </w:r>
            <w:r w:rsidR="00983F2D" w:rsidRPr="004402EC">
              <w:rPr>
                <w:rFonts w:cstheme="minorHAnsi"/>
                <w:sz w:val="20"/>
                <w:szCs w:val="20"/>
                <w:lang w:val="en-US"/>
              </w:rPr>
              <w:t xml:space="preserve"> an </w:t>
            </w:r>
            <w:r w:rsidRPr="004402EC">
              <w:rPr>
                <w:rFonts w:cstheme="minorHAnsi"/>
                <w:sz w:val="20"/>
                <w:szCs w:val="20"/>
                <w:lang w:val="en-US"/>
              </w:rPr>
              <w:t>RCT</w:t>
            </w:r>
          </w:p>
        </w:tc>
      </w:tr>
      <w:tr w:rsidR="008A3959" w:rsidRPr="004402EC" w14:paraId="479216CB" w14:textId="77777777" w:rsidTr="00E458C5">
        <w:tc>
          <w:tcPr>
            <w:tcW w:w="6232" w:type="dxa"/>
          </w:tcPr>
          <w:p w14:paraId="0EFC0F6B" w14:textId="4DA1D32B" w:rsidR="008A3959" w:rsidRPr="004402EC" w:rsidRDefault="008A3959" w:rsidP="008A3959">
            <w:pPr>
              <w:rPr>
                <w:rFonts w:cstheme="minorHAnsi"/>
                <w:sz w:val="20"/>
                <w:szCs w:val="20"/>
                <w:lang w:val="en-US"/>
              </w:rPr>
            </w:pPr>
            <w:r w:rsidRPr="004402EC">
              <w:rPr>
                <w:rFonts w:cstheme="minorHAnsi"/>
                <w:sz w:val="20"/>
                <w:szCs w:val="20"/>
                <w:lang w:val="en-US"/>
              </w:rPr>
              <w:t>185.  Nair KG. A pilot study of the value of propranolol in migraine. Journal of postgraduate medicine. 1975 Jul;21(3):111-3.</w:t>
            </w:r>
          </w:p>
        </w:tc>
        <w:tc>
          <w:tcPr>
            <w:tcW w:w="2784" w:type="dxa"/>
          </w:tcPr>
          <w:p w14:paraId="76E84453" w14:textId="0EFAC6FE" w:rsidR="008A3959" w:rsidRPr="004402EC" w:rsidRDefault="00983F2D"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2639111C" w14:textId="77777777" w:rsidTr="00E458C5">
        <w:tc>
          <w:tcPr>
            <w:tcW w:w="6232" w:type="dxa"/>
          </w:tcPr>
          <w:p w14:paraId="413AD7A7" w14:textId="2A4051B6" w:rsidR="008A3959" w:rsidRPr="004402EC" w:rsidRDefault="008A3959" w:rsidP="008A3959">
            <w:pPr>
              <w:rPr>
                <w:rFonts w:cstheme="minorHAnsi"/>
                <w:sz w:val="20"/>
                <w:szCs w:val="20"/>
                <w:lang w:val="en-US"/>
              </w:rPr>
            </w:pPr>
            <w:r w:rsidRPr="004402EC">
              <w:rPr>
                <w:rFonts w:cstheme="minorHAnsi"/>
                <w:sz w:val="20"/>
                <w:szCs w:val="20"/>
                <w:lang w:val="en-US"/>
              </w:rPr>
              <w:t>186.  Pita E, Higueras A, Bolanos J, Perez N, Mundo A. Propranolol and migraine. A clinical trial. Archivos de Farmacologia y Toxicologia. 1977 Dec 1;3(3):273-8.</w:t>
            </w:r>
          </w:p>
        </w:tc>
        <w:tc>
          <w:tcPr>
            <w:tcW w:w="2784" w:type="dxa"/>
          </w:tcPr>
          <w:p w14:paraId="096FEF39" w14:textId="45B0BBA4" w:rsidR="008A3959" w:rsidRPr="004402EC" w:rsidRDefault="00983F2D"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7D5B1E9B" w14:textId="77777777" w:rsidTr="00E458C5">
        <w:tc>
          <w:tcPr>
            <w:tcW w:w="6232" w:type="dxa"/>
          </w:tcPr>
          <w:p w14:paraId="0527F952" w14:textId="01024ED7" w:rsidR="008A3959" w:rsidRPr="004402EC" w:rsidRDefault="008A3959" w:rsidP="008A3959">
            <w:pPr>
              <w:rPr>
                <w:rFonts w:cstheme="minorHAnsi"/>
                <w:sz w:val="20"/>
                <w:szCs w:val="20"/>
                <w:lang w:val="en-US"/>
              </w:rPr>
            </w:pPr>
            <w:r w:rsidRPr="004402EC">
              <w:rPr>
                <w:rFonts w:cstheme="minorHAnsi"/>
                <w:sz w:val="20"/>
                <w:szCs w:val="20"/>
                <w:lang w:val="en-US"/>
              </w:rPr>
              <w:t>187.  Verstraete M, Verhaeghe R. 20 Drugs acting on the cerebral and peripheral. Side Effects of Drugs Annual. 1977;10:172.</w:t>
            </w:r>
          </w:p>
        </w:tc>
        <w:tc>
          <w:tcPr>
            <w:tcW w:w="2784" w:type="dxa"/>
          </w:tcPr>
          <w:p w14:paraId="699467B3" w14:textId="281B535A" w:rsidR="008A3959" w:rsidRPr="004402EC" w:rsidRDefault="00983F2D"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5B155AD9" w14:textId="77777777" w:rsidTr="00E458C5">
        <w:tc>
          <w:tcPr>
            <w:tcW w:w="6232" w:type="dxa"/>
          </w:tcPr>
          <w:p w14:paraId="30685530" w14:textId="55C74DC8" w:rsidR="008A3959" w:rsidRPr="004402EC" w:rsidRDefault="008A3959" w:rsidP="008A3959">
            <w:pPr>
              <w:rPr>
                <w:rFonts w:cstheme="minorHAnsi"/>
                <w:sz w:val="20"/>
                <w:szCs w:val="20"/>
                <w:lang w:val="en-US"/>
              </w:rPr>
            </w:pPr>
            <w:r w:rsidRPr="004402EC">
              <w:rPr>
                <w:rFonts w:cstheme="minorHAnsi"/>
                <w:sz w:val="20"/>
                <w:szCs w:val="20"/>
                <w:lang w:val="en-US"/>
              </w:rPr>
              <w:t>188. Rothrock JF. Topiramate for chronic migraine.</w:t>
            </w:r>
          </w:p>
        </w:tc>
        <w:tc>
          <w:tcPr>
            <w:tcW w:w="2784" w:type="dxa"/>
          </w:tcPr>
          <w:p w14:paraId="2D98D44D" w14:textId="4994F73C" w:rsidR="008A3959" w:rsidRPr="004402EC" w:rsidRDefault="008A3959" w:rsidP="008A3959">
            <w:pPr>
              <w:rPr>
                <w:rFonts w:cstheme="minorHAnsi"/>
                <w:sz w:val="20"/>
                <w:szCs w:val="20"/>
                <w:lang w:val="en-US"/>
              </w:rPr>
            </w:pPr>
            <w:r w:rsidRPr="004402EC">
              <w:rPr>
                <w:rFonts w:cstheme="minorHAnsi"/>
                <w:sz w:val="20"/>
                <w:szCs w:val="20"/>
                <w:lang w:val="en-US"/>
              </w:rPr>
              <w:t xml:space="preserve">Not </w:t>
            </w:r>
            <w:r w:rsidR="00983F2D" w:rsidRPr="004402EC">
              <w:rPr>
                <w:rFonts w:cstheme="minorHAnsi"/>
                <w:sz w:val="20"/>
                <w:szCs w:val="20"/>
                <w:lang w:val="en-US"/>
              </w:rPr>
              <w:t xml:space="preserve">an </w:t>
            </w:r>
            <w:r w:rsidRPr="004402EC">
              <w:rPr>
                <w:rFonts w:cstheme="minorHAnsi"/>
                <w:sz w:val="20"/>
                <w:szCs w:val="20"/>
                <w:lang w:val="en-US"/>
              </w:rPr>
              <w:t>RCT</w:t>
            </w:r>
          </w:p>
        </w:tc>
      </w:tr>
      <w:tr w:rsidR="008A3959" w:rsidRPr="004402EC" w14:paraId="5AAE99E7" w14:textId="77777777" w:rsidTr="00E458C5">
        <w:tc>
          <w:tcPr>
            <w:tcW w:w="6232" w:type="dxa"/>
          </w:tcPr>
          <w:p w14:paraId="6C908F95" w14:textId="4725A22D" w:rsidR="008A3959" w:rsidRPr="004402EC" w:rsidRDefault="008A3959" w:rsidP="008A3959">
            <w:pPr>
              <w:rPr>
                <w:rFonts w:cstheme="minorHAnsi"/>
                <w:sz w:val="20"/>
                <w:szCs w:val="20"/>
                <w:lang w:val="en-US"/>
              </w:rPr>
            </w:pPr>
            <w:r w:rsidRPr="004402EC">
              <w:rPr>
                <w:rFonts w:cstheme="minorHAnsi"/>
                <w:sz w:val="20"/>
                <w:szCs w:val="20"/>
                <w:lang w:val="en-US"/>
              </w:rPr>
              <w:t>189. Ryan Sr RE, Ryan Jr RE, Sudilovsky A. Nadolol and placebo comparison study in the prophylactic treatment of migraine. Panminerva medica. 1982;24(2):89-94.</w:t>
            </w:r>
          </w:p>
        </w:tc>
        <w:tc>
          <w:tcPr>
            <w:tcW w:w="2784" w:type="dxa"/>
          </w:tcPr>
          <w:p w14:paraId="00E134AE" w14:textId="3B597631" w:rsidR="008A3959" w:rsidRPr="004402EC" w:rsidRDefault="00983F2D"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45B771B4" w14:textId="77777777" w:rsidTr="00E458C5">
        <w:tc>
          <w:tcPr>
            <w:tcW w:w="6232" w:type="dxa"/>
          </w:tcPr>
          <w:p w14:paraId="1EF1AFFC" w14:textId="5DFF4090" w:rsidR="008A3959" w:rsidRPr="004402EC" w:rsidRDefault="008A3959" w:rsidP="008A3959">
            <w:pPr>
              <w:rPr>
                <w:rFonts w:cstheme="minorHAnsi"/>
                <w:sz w:val="20"/>
                <w:szCs w:val="20"/>
                <w:lang w:val="en-US"/>
              </w:rPr>
            </w:pPr>
            <w:r w:rsidRPr="004402EC">
              <w:rPr>
                <w:rFonts w:cstheme="minorHAnsi"/>
                <w:sz w:val="20"/>
                <w:szCs w:val="20"/>
                <w:lang w:val="en-US"/>
              </w:rPr>
              <w:t>190.  Saper JR, Good DC, Michalek J, Kaplan RJ, Xiao Y, Nadler S. Efficacy and tolerability of tizanidine as adjunctive therapy in the prophylaxis of chronic daily headache. Round Table Series-Royal Society of Medicine. 2002 Jan 1(75):13-22.</w:t>
            </w:r>
          </w:p>
        </w:tc>
        <w:tc>
          <w:tcPr>
            <w:tcW w:w="2784" w:type="dxa"/>
          </w:tcPr>
          <w:p w14:paraId="38F90EBE" w14:textId="72180F1D" w:rsidR="008A3959" w:rsidRPr="004402EC" w:rsidRDefault="00983F2D"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5B832C90" w14:textId="77777777" w:rsidTr="00E458C5">
        <w:tc>
          <w:tcPr>
            <w:tcW w:w="6232" w:type="dxa"/>
          </w:tcPr>
          <w:p w14:paraId="4C02E7D8" w14:textId="15D65A35" w:rsidR="008A3959" w:rsidRPr="004402EC" w:rsidRDefault="008A3959" w:rsidP="008A3959">
            <w:pPr>
              <w:rPr>
                <w:rFonts w:cstheme="minorHAnsi"/>
                <w:sz w:val="20"/>
                <w:szCs w:val="20"/>
                <w:lang w:val="en-US"/>
              </w:rPr>
            </w:pPr>
            <w:r w:rsidRPr="004402EC">
              <w:rPr>
                <w:rFonts w:cstheme="minorHAnsi"/>
                <w:sz w:val="20"/>
                <w:szCs w:val="20"/>
                <w:lang w:val="en-US"/>
              </w:rPr>
              <w:t>191. Yuan C, Wang JX, Yu JP, Yan F, Su SH. A double-blind trial of 5 calcium channel blockers in prophylaxis of migraine. CHINESE JOURNAL OF CLINICAL PHARMACOLOGY. 1998;14:14-7.</w:t>
            </w:r>
          </w:p>
        </w:tc>
        <w:tc>
          <w:tcPr>
            <w:tcW w:w="2784" w:type="dxa"/>
          </w:tcPr>
          <w:p w14:paraId="26851BAB" w14:textId="2008B928" w:rsidR="008A3959" w:rsidRPr="004402EC" w:rsidRDefault="00983F2D"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5D4A1B34" w14:textId="77777777" w:rsidTr="00E458C5">
        <w:tc>
          <w:tcPr>
            <w:tcW w:w="6232" w:type="dxa"/>
          </w:tcPr>
          <w:p w14:paraId="79851B8E" w14:textId="11EF455F" w:rsidR="008A3959" w:rsidRPr="004402EC" w:rsidRDefault="008A3959" w:rsidP="008A3959">
            <w:pPr>
              <w:rPr>
                <w:rFonts w:cstheme="minorHAnsi"/>
                <w:sz w:val="20"/>
                <w:szCs w:val="20"/>
                <w:lang w:val="en-US"/>
              </w:rPr>
            </w:pPr>
            <w:r w:rsidRPr="004402EC">
              <w:rPr>
                <w:rFonts w:cstheme="minorHAnsi"/>
                <w:sz w:val="20"/>
                <w:szCs w:val="20"/>
                <w:lang w:val="en-US"/>
              </w:rPr>
              <w:t>192. Mattimoe D, Newton W. High-dose riboflavin for migraine prophylaxis. The Journal of Family Practice. 1998 Jul 1;47(1):11-.</w:t>
            </w:r>
          </w:p>
        </w:tc>
        <w:tc>
          <w:tcPr>
            <w:tcW w:w="2784" w:type="dxa"/>
          </w:tcPr>
          <w:p w14:paraId="027F00B0" w14:textId="09B4037C" w:rsidR="008A3959" w:rsidRPr="004402EC" w:rsidRDefault="00983F2D"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1B4D22A9" w14:textId="77777777" w:rsidTr="00E458C5">
        <w:tc>
          <w:tcPr>
            <w:tcW w:w="6232" w:type="dxa"/>
          </w:tcPr>
          <w:p w14:paraId="5A9B7A0E" w14:textId="045F2749" w:rsidR="008A3959" w:rsidRPr="004402EC" w:rsidRDefault="008A3959" w:rsidP="008A3959">
            <w:pPr>
              <w:rPr>
                <w:rFonts w:cstheme="minorHAnsi"/>
                <w:sz w:val="20"/>
                <w:szCs w:val="20"/>
                <w:lang w:val="en-US"/>
              </w:rPr>
            </w:pPr>
            <w:r w:rsidRPr="004402EC">
              <w:rPr>
                <w:rFonts w:cstheme="minorHAnsi"/>
                <w:sz w:val="20"/>
                <w:szCs w:val="20"/>
                <w:lang w:val="en-US"/>
              </w:rPr>
              <w:t xml:space="preserve">193.  Gonçalves DA, Camparis CC, Speciali JG, et al.Treatment   of   comorbid   migraine   and   temporo-mandibular disorders: A factorial, </w:t>
            </w:r>
            <w:r w:rsidRPr="004402EC">
              <w:rPr>
                <w:rFonts w:cstheme="minorHAnsi"/>
                <w:sz w:val="20"/>
                <w:szCs w:val="20"/>
                <w:lang w:val="en-US"/>
              </w:rPr>
              <w:lastRenderedPageBreak/>
              <w:t>double-blind, randomized,  placebo-controlled  study.</w:t>
            </w:r>
            <w:r w:rsidR="00713048">
              <w:rPr>
                <w:rFonts w:cstheme="minorHAnsi"/>
                <w:sz w:val="20"/>
                <w:szCs w:val="20"/>
                <w:lang w:val="en-US"/>
              </w:rPr>
              <w:t xml:space="preserve"> </w:t>
            </w:r>
            <w:r w:rsidRPr="004402EC">
              <w:rPr>
                <w:rFonts w:cstheme="minorHAnsi"/>
                <w:sz w:val="20"/>
                <w:szCs w:val="20"/>
                <w:lang w:val="en-US"/>
              </w:rPr>
              <w:t>J Orofac Pain.</w:t>
            </w:r>
            <w:r w:rsidR="00713048">
              <w:rPr>
                <w:rFonts w:cstheme="minorHAnsi"/>
                <w:sz w:val="20"/>
                <w:szCs w:val="20"/>
                <w:lang w:val="en-US"/>
              </w:rPr>
              <w:t xml:space="preserve"> </w:t>
            </w:r>
            <w:r w:rsidRPr="004402EC">
              <w:rPr>
                <w:rFonts w:cstheme="minorHAnsi"/>
                <w:sz w:val="20"/>
                <w:szCs w:val="20"/>
                <w:lang w:val="en-US"/>
              </w:rPr>
              <w:t>2013;27:325-335</w:t>
            </w:r>
          </w:p>
        </w:tc>
        <w:tc>
          <w:tcPr>
            <w:tcW w:w="2784" w:type="dxa"/>
          </w:tcPr>
          <w:p w14:paraId="19A6490C" w14:textId="59F65841" w:rsidR="008A3959" w:rsidRPr="004402EC" w:rsidRDefault="00983F2D" w:rsidP="008A3959">
            <w:pPr>
              <w:rPr>
                <w:rFonts w:cstheme="minorHAnsi"/>
                <w:sz w:val="20"/>
                <w:szCs w:val="20"/>
                <w:lang w:val="en-US"/>
              </w:rPr>
            </w:pPr>
            <w:r w:rsidRPr="004402EC">
              <w:rPr>
                <w:rFonts w:cstheme="minorHAnsi"/>
                <w:sz w:val="20"/>
                <w:szCs w:val="20"/>
                <w:lang w:val="en-US"/>
              </w:rPr>
              <w:lastRenderedPageBreak/>
              <w:t>Small sample size of episodic migraine</w:t>
            </w:r>
          </w:p>
        </w:tc>
      </w:tr>
      <w:tr w:rsidR="008A3959" w:rsidRPr="004402EC" w14:paraId="4FED05C6" w14:textId="77777777" w:rsidTr="00E458C5">
        <w:tc>
          <w:tcPr>
            <w:tcW w:w="6232" w:type="dxa"/>
          </w:tcPr>
          <w:p w14:paraId="2F7C348F" w14:textId="5172BE23" w:rsidR="008A3959" w:rsidRPr="004402EC" w:rsidRDefault="008A3959" w:rsidP="008A3959">
            <w:pPr>
              <w:rPr>
                <w:rFonts w:cstheme="minorHAnsi"/>
                <w:sz w:val="20"/>
                <w:szCs w:val="20"/>
                <w:lang w:val="en-US"/>
              </w:rPr>
            </w:pPr>
            <w:r w:rsidRPr="004402EC">
              <w:rPr>
                <w:rFonts w:cstheme="minorHAnsi"/>
                <w:sz w:val="20"/>
                <w:szCs w:val="20"/>
                <w:lang w:val="en-US"/>
              </w:rPr>
              <w:lastRenderedPageBreak/>
              <w:t>194.  Schoenen J, Jacquy J, Lenaerts M. High-dose riboflavin is effective in migraine prophylaxis: Results from a double blind, randomized, placebo controlled trial. In</w:t>
            </w:r>
            <w:r w:rsidR="00713048">
              <w:rPr>
                <w:rFonts w:cstheme="minorHAnsi"/>
                <w:sz w:val="20"/>
                <w:szCs w:val="20"/>
                <w:lang w:val="en-US"/>
              </w:rPr>
              <w:t xml:space="preserve"> </w:t>
            </w:r>
            <w:r w:rsidRPr="004402EC">
              <w:rPr>
                <w:rFonts w:cstheme="minorHAnsi"/>
                <w:sz w:val="20"/>
                <w:szCs w:val="20"/>
                <w:lang w:val="en-US"/>
              </w:rPr>
              <w:t>Neurology 1997 Mar 1 (Vol. 48, No. 3, pp. 8005-8005). 227 EAST WASHINGTON SQ, PHILADELPHIA, PA 19106: LIPPINCOTT-RAVEN PUBL.</w:t>
            </w:r>
          </w:p>
        </w:tc>
        <w:tc>
          <w:tcPr>
            <w:tcW w:w="2784" w:type="dxa"/>
          </w:tcPr>
          <w:p w14:paraId="4AF91024" w14:textId="5AA495E5" w:rsidR="008A3959" w:rsidRPr="004402EC" w:rsidRDefault="00983F2D"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40C575FA" w14:textId="77777777" w:rsidTr="00E458C5">
        <w:tc>
          <w:tcPr>
            <w:tcW w:w="6232" w:type="dxa"/>
          </w:tcPr>
          <w:p w14:paraId="56C8E574" w14:textId="018FD3F0" w:rsidR="008A3959" w:rsidRPr="004402EC" w:rsidRDefault="008A3959" w:rsidP="008A3959">
            <w:pPr>
              <w:rPr>
                <w:rFonts w:cstheme="minorHAnsi"/>
                <w:sz w:val="20"/>
                <w:szCs w:val="20"/>
                <w:lang w:val="en-US"/>
              </w:rPr>
            </w:pPr>
            <w:r w:rsidRPr="004402EC">
              <w:rPr>
                <w:rFonts w:cstheme="minorHAnsi"/>
                <w:sz w:val="20"/>
                <w:szCs w:val="20"/>
                <w:lang w:val="en-US"/>
              </w:rPr>
              <w:t>195.  Hübbe P. The prophylactic treatment of migraine with an antiserotonin pizotifen (BC 105). Acta Neurologica Scandinavica. 1973 Mar;49(1):108-14.</w:t>
            </w:r>
          </w:p>
        </w:tc>
        <w:tc>
          <w:tcPr>
            <w:tcW w:w="2784" w:type="dxa"/>
          </w:tcPr>
          <w:p w14:paraId="74176688" w14:textId="18F05202" w:rsidR="008A3959" w:rsidRPr="004402EC" w:rsidRDefault="00983F2D"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30A3E342" w14:textId="77777777" w:rsidTr="00E458C5">
        <w:tc>
          <w:tcPr>
            <w:tcW w:w="6232" w:type="dxa"/>
          </w:tcPr>
          <w:p w14:paraId="3F24EB08" w14:textId="0B36B343" w:rsidR="008A3959" w:rsidRPr="004402EC" w:rsidRDefault="008A3959" w:rsidP="008A3959">
            <w:pPr>
              <w:rPr>
                <w:rFonts w:cstheme="minorHAnsi"/>
                <w:sz w:val="20"/>
                <w:szCs w:val="20"/>
                <w:lang w:val="en-US"/>
              </w:rPr>
            </w:pPr>
            <w:r w:rsidRPr="004402EC">
              <w:rPr>
                <w:rFonts w:cstheme="minorHAnsi"/>
                <w:sz w:val="20"/>
                <w:szCs w:val="20"/>
                <w:lang w:val="en-US"/>
              </w:rPr>
              <w:t>196.  Schoenen J, Jacquy J, Lenaerts ME, Loder E. High-dose riboflavin reduced the frequency of migraine headaches. Evidence-Based Medicine. 1998 Sep;3(5):151.</w:t>
            </w:r>
          </w:p>
        </w:tc>
        <w:tc>
          <w:tcPr>
            <w:tcW w:w="2784" w:type="dxa"/>
          </w:tcPr>
          <w:p w14:paraId="0659732B" w14:textId="5686D763" w:rsidR="008A3959" w:rsidRPr="004402EC" w:rsidRDefault="00983F2D"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395B0D31" w14:textId="77777777" w:rsidTr="00E458C5">
        <w:tc>
          <w:tcPr>
            <w:tcW w:w="6232" w:type="dxa"/>
          </w:tcPr>
          <w:p w14:paraId="1942682A" w14:textId="0F893A32" w:rsidR="008A3959" w:rsidRPr="004402EC" w:rsidRDefault="008A3959" w:rsidP="008A3959">
            <w:pPr>
              <w:rPr>
                <w:rFonts w:cstheme="minorHAnsi"/>
                <w:sz w:val="20"/>
                <w:szCs w:val="20"/>
                <w:lang w:val="en-US"/>
              </w:rPr>
            </w:pPr>
            <w:r w:rsidRPr="004402EC">
              <w:rPr>
                <w:rFonts w:cstheme="minorHAnsi"/>
                <w:sz w:val="20"/>
                <w:szCs w:val="20"/>
                <w:lang w:val="en-US"/>
              </w:rPr>
              <w:t>197. Rezaeiashtiani A, Jadidi A, Khanmohammadi-Hezaveh A, Aghaeipour SM, Pourandish Y, Malekhosseini S, Ghassami K, Mohammadbeigi A. Is the treatment of constipation can relieve the migraine symptoms? A randomized clinical trial study. Journal of Pediatric Neurosciences. 2019 Oct;14(4):186.</w:t>
            </w:r>
          </w:p>
        </w:tc>
        <w:tc>
          <w:tcPr>
            <w:tcW w:w="2784" w:type="dxa"/>
          </w:tcPr>
          <w:p w14:paraId="23A2D892" w14:textId="0E01E7CE" w:rsidR="008A3959" w:rsidRPr="004402EC" w:rsidRDefault="00983F2D"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41B4A926" w14:textId="77777777" w:rsidTr="00E458C5">
        <w:tc>
          <w:tcPr>
            <w:tcW w:w="6232" w:type="dxa"/>
          </w:tcPr>
          <w:p w14:paraId="35366C27" w14:textId="3AB34C58" w:rsidR="008A3959" w:rsidRPr="004402EC" w:rsidRDefault="008A3959" w:rsidP="008A3959">
            <w:pPr>
              <w:rPr>
                <w:rFonts w:cstheme="minorHAnsi"/>
                <w:sz w:val="20"/>
                <w:szCs w:val="20"/>
                <w:lang w:val="en-US"/>
              </w:rPr>
            </w:pPr>
            <w:r w:rsidRPr="004402EC">
              <w:rPr>
                <w:rFonts w:cstheme="minorHAnsi"/>
                <w:sz w:val="20"/>
                <w:szCs w:val="20"/>
                <w:lang w:val="en-US"/>
              </w:rPr>
              <w:t>198. Shimell CJ, Fritz VU, Levien SL. A comparative trial of flunarizine and propranolol in the prevention of migraine. South African Medical Journal, 1990 Jan 1;77(2):75-7.</w:t>
            </w:r>
          </w:p>
        </w:tc>
        <w:tc>
          <w:tcPr>
            <w:tcW w:w="2784" w:type="dxa"/>
          </w:tcPr>
          <w:p w14:paraId="03DFF488" w14:textId="7A268075" w:rsidR="008A3959" w:rsidRPr="004402EC" w:rsidRDefault="00983F2D"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112A33E2" w14:textId="77777777" w:rsidTr="00E458C5">
        <w:tc>
          <w:tcPr>
            <w:tcW w:w="6232" w:type="dxa"/>
          </w:tcPr>
          <w:p w14:paraId="14D19D70" w14:textId="798F36BE" w:rsidR="008A3959" w:rsidRPr="004402EC" w:rsidRDefault="008A3959" w:rsidP="008A3959">
            <w:pPr>
              <w:rPr>
                <w:rFonts w:cstheme="minorHAnsi"/>
                <w:sz w:val="20"/>
                <w:szCs w:val="20"/>
                <w:lang w:val="en-US"/>
              </w:rPr>
            </w:pPr>
            <w:r w:rsidRPr="004402EC">
              <w:rPr>
                <w:rFonts w:cstheme="minorHAnsi"/>
                <w:sz w:val="20"/>
                <w:szCs w:val="20"/>
                <w:lang w:val="en-US"/>
              </w:rPr>
              <w:t>199. Wang LP, Zhang XZ, Guo J, Liu HL, Zhang Y, Liu CZ, Yi JH, Wang LP, Zhao JP, Li SS. Efficacy of acupuncture for migraine prophylaxis: a single-blinded, double-dummy, randomized controlled trial. PAIN®. 2011 Aug 1;152(8):1864-71.</w:t>
            </w:r>
          </w:p>
        </w:tc>
        <w:tc>
          <w:tcPr>
            <w:tcW w:w="2784" w:type="dxa"/>
          </w:tcPr>
          <w:p w14:paraId="489181B7" w14:textId="321AF24E" w:rsidR="008A3959" w:rsidRPr="004402EC" w:rsidRDefault="00983F2D" w:rsidP="008A3959">
            <w:pPr>
              <w:rPr>
                <w:rFonts w:cstheme="minorHAnsi"/>
                <w:sz w:val="20"/>
                <w:szCs w:val="20"/>
                <w:lang w:val="en-US"/>
              </w:rPr>
            </w:pPr>
            <w:r w:rsidRPr="004402EC">
              <w:rPr>
                <w:rFonts w:cstheme="minorHAnsi"/>
                <w:sz w:val="20"/>
                <w:szCs w:val="20"/>
                <w:lang w:val="en-US"/>
              </w:rPr>
              <w:t>Small sample size of episodic migraine</w:t>
            </w:r>
          </w:p>
        </w:tc>
      </w:tr>
      <w:tr w:rsidR="008A3959" w:rsidRPr="004402EC" w14:paraId="0752A23F" w14:textId="77777777" w:rsidTr="00E458C5">
        <w:tc>
          <w:tcPr>
            <w:tcW w:w="6232" w:type="dxa"/>
          </w:tcPr>
          <w:p w14:paraId="650F3903" w14:textId="13A3297A" w:rsidR="008A3959" w:rsidRPr="004402EC" w:rsidRDefault="008A3959" w:rsidP="008A3959">
            <w:pPr>
              <w:rPr>
                <w:rFonts w:cstheme="minorHAnsi"/>
                <w:sz w:val="20"/>
                <w:szCs w:val="20"/>
                <w:lang w:val="en-US"/>
              </w:rPr>
            </w:pPr>
            <w:r w:rsidRPr="004402EC">
              <w:rPr>
                <w:rFonts w:cstheme="minorHAnsi"/>
                <w:sz w:val="20"/>
                <w:szCs w:val="20"/>
                <w:lang w:val="en-US"/>
              </w:rPr>
              <w:t>200.  Yang CP, Chang MH, Li TC, Hsieh CL, Hwang KL, Chang HH. Predicting prognostic factors in a randomized controlled trial of acupuncture versus topiramate treatment in patients with chronic migraine. The Clinical Journal of Pain. 2013 Nov 1;29(11):982-7.</w:t>
            </w:r>
          </w:p>
        </w:tc>
        <w:tc>
          <w:tcPr>
            <w:tcW w:w="2784" w:type="dxa"/>
          </w:tcPr>
          <w:p w14:paraId="140B0F32" w14:textId="460214FB" w:rsidR="008A3959" w:rsidRPr="004402EC" w:rsidRDefault="008A3959" w:rsidP="008A3959">
            <w:pPr>
              <w:rPr>
                <w:rFonts w:cstheme="minorHAnsi"/>
                <w:sz w:val="20"/>
                <w:szCs w:val="20"/>
                <w:lang w:val="en-US"/>
              </w:rPr>
            </w:pPr>
            <w:r w:rsidRPr="004402EC">
              <w:rPr>
                <w:rFonts w:cstheme="minorHAnsi"/>
                <w:sz w:val="20"/>
                <w:szCs w:val="20"/>
                <w:lang w:val="en-US"/>
              </w:rPr>
              <w:t>Small sample size of chronic migraine</w:t>
            </w:r>
            <w:r w:rsidR="004D2E94" w:rsidRPr="004402EC">
              <w:rPr>
                <w:rFonts w:cstheme="minorHAnsi"/>
                <w:sz w:val="20"/>
                <w:szCs w:val="20"/>
                <w:lang w:val="en-US"/>
              </w:rPr>
              <w:t xml:space="preserve"> compared with acupuncture. </w:t>
            </w:r>
          </w:p>
        </w:tc>
      </w:tr>
      <w:tr w:rsidR="008A3959" w:rsidRPr="004402EC" w14:paraId="547673D3" w14:textId="77777777" w:rsidTr="00E458C5">
        <w:tc>
          <w:tcPr>
            <w:tcW w:w="6232" w:type="dxa"/>
          </w:tcPr>
          <w:p w14:paraId="050C8C52" w14:textId="093C3F30" w:rsidR="008A3959" w:rsidRPr="004402EC" w:rsidRDefault="008A3959" w:rsidP="008A3959">
            <w:pPr>
              <w:rPr>
                <w:rFonts w:cstheme="minorHAnsi"/>
                <w:sz w:val="20"/>
                <w:szCs w:val="20"/>
                <w:lang w:val="en-US"/>
              </w:rPr>
            </w:pPr>
            <w:r w:rsidRPr="004402EC">
              <w:rPr>
                <w:rFonts w:cstheme="minorHAnsi"/>
                <w:sz w:val="20"/>
                <w:szCs w:val="20"/>
                <w:lang w:val="en-US"/>
              </w:rPr>
              <w:t xml:space="preserve">201. Manzoni, GC, et </w:t>
            </w:r>
            <w:proofErr w:type="gramStart"/>
            <w:r w:rsidRPr="004402EC">
              <w:rPr>
                <w:rFonts w:cstheme="minorHAnsi"/>
                <w:sz w:val="20"/>
                <w:szCs w:val="20"/>
                <w:lang w:val="en-US"/>
              </w:rPr>
              <w:t>all.,</w:t>
            </w:r>
            <w:proofErr w:type="gramEnd"/>
            <w:r w:rsidRPr="004402EC">
              <w:rPr>
                <w:rFonts w:cstheme="minorHAnsi"/>
                <w:sz w:val="20"/>
                <w:szCs w:val="20"/>
                <w:lang w:val="en-US"/>
              </w:rPr>
              <w:t xml:space="preserve"> Multicentric, double-blind, randomized study on the efficacy and tolerance of dothiepin and amitriptyline for the prophylaxis of chronic migraine.  Giornale di neuropsicofarmacologia. 1990; 12(5):179-184</w:t>
            </w:r>
          </w:p>
        </w:tc>
        <w:tc>
          <w:tcPr>
            <w:tcW w:w="2784" w:type="dxa"/>
          </w:tcPr>
          <w:p w14:paraId="4D6FC8C8" w14:textId="2AA0EF6E" w:rsidR="008A3959" w:rsidRPr="004402EC" w:rsidRDefault="008A3959" w:rsidP="008A3959">
            <w:pPr>
              <w:rPr>
                <w:rFonts w:cstheme="minorHAnsi"/>
                <w:sz w:val="20"/>
                <w:szCs w:val="20"/>
                <w:lang w:val="en-US"/>
              </w:rPr>
            </w:pPr>
            <w:r w:rsidRPr="004402EC">
              <w:rPr>
                <w:rFonts w:cstheme="minorHAnsi"/>
                <w:sz w:val="20"/>
                <w:szCs w:val="20"/>
                <w:lang w:val="en-US"/>
              </w:rPr>
              <w:t>Small sample size of chronic migraine</w:t>
            </w:r>
          </w:p>
        </w:tc>
      </w:tr>
      <w:tr w:rsidR="008A3959" w:rsidRPr="004402EC" w14:paraId="66C55DE7" w14:textId="77777777" w:rsidTr="00E458C5">
        <w:tc>
          <w:tcPr>
            <w:tcW w:w="6232" w:type="dxa"/>
          </w:tcPr>
          <w:p w14:paraId="5155F609" w14:textId="1EB688D7" w:rsidR="008A3959" w:rsidRPr="004402EC" w:rsidRDefault="008A3959" w:rsidP="008A3959">
            <w:pPr>
              <w:rPr>
                <w:rFonts w:cstheme="minorHAnsi"/>
                <w:sz w:val="20"/>
                <w:szCs w:val="20"/>
                <w:lang w:val="en-US"/>
              </w:rPr>
            </w:pPr>
            <w:r w:rsidRPr="004402EC">
              <w:rPr>
                <w:rFonts w:cstheme="minorHAnsi"/>
                <w:sz w:val="20"/>
                <w:szCs w:val="20"/>
                <w:lang w:val="en-US"/>
              </w:rPr>
              <w:t>202. Lipton RB, Croop R, Stock EG, Stock DA, Morris BA, Frost M, Dubowchik GM, Conway CM, Coric V, Goadsby PJ. Rimegepant, an oral calcitonin gene–related peptide receptor antagonist, for migraine. New England Journal of Medicine. 2019 Jul 11;381(2):142-9.</w:t>
            </w:r>
          </w:p>
        </w:tc>
        <w:tc>
          <w:tcPr>
            <w:tcW w:w="2784" w:type="dxa"/>
          </w:tcPr>
          <w:p w14:paraId="69CC898A" w14:textId="5BAC688F" w:rsidR="008A3959" w:rsidRPr="004402EC" w:rsidRDefault="008A3959" w:rsidP="008A3959">
            <w:pPr>
              <w:rPr>
                <w:rFonts w:cstheme="minorHAnsi"/>
                <w:sz w:val="20"/>
                <w:szCs w:val="20"/>
                <w:lang w:val="en-US"/>
              </w:rPr>
            </w:pPr>
            <w:r w:rsidRPr="004402EC">
              <w:rPr>
                <w:rFonts w:cstheme="minorHAnsi"/>
                <w:sz w:val="20"/>
                <w:szCs w:val="20"/>
                <w:lang w:val="en-US"/>
              </w:rPr>
              <w:t>Acute migraine</w:t>
            </w:r>
          </w:p>
        </w:tc>
      </w:tr>
      <w:tr w:rsidR="008A3959" w:rsidRPr="004402EC" w14:paraId="5B102461" w14:textId="77777777" w:rsidTr="00E458C5">
        <w:tc>
          <w:tcPr>
            <w:tcW w:w="6232" w:type="dxa"/>
          </w:tcPr>
          <w:p w14:paraId="02C4124B" w14:textId="00342898" w:rsidR="008A3959" w:rsidRPr="004402EC" w:rsidRDefault="008A3959" w:rsidP="008A3959">
            <w:pPr>
              <w:rPr>
                <w:rFonts w:cstheme="minorHAnsi"/>
                <w:sz w:val="20"/>
                <w:szCs w:val="20"/>
                <w:lang w:val="en-US"/>
              </w:rPr>
            </w:pPr>
            <w:r w:rsidRPr="004402EC">
              <w:rPr>
                <w:rFonts w:cstheme="minorHAnsi"/>
                <w:sz w:val="20"/>
                <w:szCs w:val="20"/>
                <w:lang w:val="en-US"/>
              </w:rPr>
              <w:t xml:space="preserve">203. Diener HC, Tfelt-Hansen P, Dahlöf C, et al. Topiramate in migraine prophylaxis. J Neurol 251, 943– 950 (2004). </w:t>
            </w:r>
            <w:hyperlink r:id="rId10" w:history="1">
              <w:r w:rsidRPr="004402EC">
                <w:rPr>
                  <w:sz w:val="20"/>
                  <w:szCs w:val="20"/>
                </w:rPr>
                <w:t>https://doi.org/10.1007/s00415-004-0464-</w:t>
              </w:r>
            </w:hyperlink>
            <w:r w:rsidRPr="004402EC">
              <w:rPr>
                <w:rFonts w:cstheme="minorHAnsi"/>
                <w:sz w:val="20"/>
                <w:szCs w:val="20"/>
                <w:lang w:val="en-US"/>
              </w:rPr>
              <w:t>6</w:t>
            </w:r>
          </w:p>
        </w:tc>
        <w:tc>
          <w:tcPr>
            <w:tcW w:w="2784" w:type="dxa"/>
          </w:tcPr>
          <w:p w14:paraId="36FE7660" w14:textId="6C05FF3F" w:rsidR="008A3959" w:rsidRPr="004402EC" w:rsidRDefault="008A3959" w:rsidP="008A3959">
            <w:pPr>
              <w:rPr>
                <w:rFonts w:cstheme="minorHAnsi"/>
                <w:sz w:val="20"/>
                <w:szCs w:val="20"/>
                <w:lang w:val="en-US"/>
              </w:rPr>
            </w:pPr>
            <w:r w:rsidRPr="004402EC">
              <w:rPr>
                <w:rFonts w:cstheme="minorHAnsi"/>
                <w:sz w:val="20"/>
                <w:szCs w:val="20"/>
                <w:lang w:val="en-US"/>
              </w:rPr>
              <w:t>Mixed population of adult and adolescents</w:t>
            </w:r>
          </w:p>
        </w:tc>
      </w:tr>
      <w:tr w:rsidR="008A3959" w:rsidRPr="004402EC" w14:paraId="0CAF11A3" w14:textId="77777777" w:rsidTr="00E458C5">
        <w:tc>
          <w:tcPr>
            <w:tcW w:w="6232" w:type="dxa"/>
          </w:tcPr>
          <w:p w14:paraId="33171FC4" w14:textId="3D1DFE49" w:rsidR="008A3959" w:rsidRPr="004402EC" w:rsidRDefault="008A3959" w:rsidP="008A3959">
            <w:pPr>
              <w:rPr>
                <w:rFonts w:cstheme="minorHAnsi"/>
                <w:sz w:val="20"/>
                <w:szCs w:val="20"/>
                <w:lang w:val="en-US"/>
              </w:rPr>
            </w:pPr>
            <w:r w:rsidRPr="004402EC">
              <w:rPr>
                <w:rFonts w:cstheme="minorHAnsi"/>
                <w:sz w:val="20"/>
                <w:szCs w:val="20"/>
                <w:lang w:val="en-US"/>
              </w:rPr>
              <w:t>204. Ailani J, Andrews JS, Tockhorn-Heidenreich A, Wenzel R, Rettiganti M. Effect of Galcanezumab on Total Pain Burden in Patients Who Had Previously Not Benefited from Migraine Preventive Medication (CONQUER Trial): A Post Hoc Analysis. Advances in Therapy. 2022 Oct;39(10):4544-55.</w:t>
            </w:r>
          </w:p>
        </w:tc>
        <w:tc>
          <w:tcPr>
            <w:tcW w:w="2784" w:type="dxa"/>
          </w:tcPr>
          <w:p w14:paraId="42B11C0C" w14:textId="5E4956AD" w:rsidR="008A3959" w:rsidRPr="004402EC" w:rsidRDefault="008A3959" w:rsidP="008A3959">
            <w:pPr>
              <w:autoSpaceDE w:val="0"/>
              <w:autoSpaceDN w:val="0"/>
              <w:adjustRightInd w:val="0"/>
              <w:rPr>
                <w:rFonts w:cstheme="minorHAnsi"/>
                <w:sz w:val="20"/>
                <w:szCs w:val="20"/>
                <w:lang w:val="en-US"/>
              </w:rPr>
            </w:pPr>
            <w:r w:rsidRPr="004402EC">
              <w:rPr>
                <w:rFonts w:cstheme="minorHAnsi"/>
                <w:sz w:val="20"/>
                <w:szCs w:val="20"/>
                <w:lang w:val="en-US"/>
              </w:rPr>
              <w:t xml:space="preserve">No safety data for adverse events review and </w:t>
            </w:r>
            <w:r w:rsidR="00983F2D" w:rsidRPr="004402EC">
              <w:rPr>
                <w:rFonts w:cstheme="minorHAnsi"/>
                <w:sz w:val="20"/>
                <w:szCs w:val="20"/>
                <w:lang w:val="en-US"/>
              </w:rPr>
              <w:t xml:space="preserve">a </w:t>
            </w:r>
            <w:r w:rsidRPr="004402EC">
              <w:rPr>
                <w:rFonts w:cstheme="minorHAnsi"/>
                <w:sz w:val="20"/>
                <w:szCs w:val="20"/>
                <w:lang w:val="en-US"/>
              </w:rPr>
              <w:t>small sample</w:t>
            </w:r>
            <w:r w:rsidR="00983F2D" w:rsidRPr="004402EC">
              <w:rPr>
                <w:rFonts w:cstheme="minorHAnsi"/>
                <w:sz w:val="20"/>
                <w:szCs w:val="20"/>
                <w:lang w:val="en-US"/>
              </w:rPr>
              <w:t xml:space="preserve"> size</w:t>
            </w:r>
            <w:r w:rsidRPr="004402EC">
              <w:rPr>
                <w:rFonts w:cstheme="minorHAnsi"/>
                <w:sz w:val="20"/>
                <w:szCs w:val="20"/>
                <w:lang w:val="en-US"/>
              </w:rPr>
              <w:t xml:space="preserve"> </w:t>
            </w:r>
            <w:r w:rsidR="00983F2D" w:rsidRPr="004402EC">
              <w:rPr>
                <w:rFonts w:cstheme="minorHAnsi"/>
                <w:sz w:val="20"/>
                <w:szCs w:val="20"/>
                <w:lang w:val="en-US"/>
              </w:rPr>
              <w:t>of chronic migraine</w:t>
            </w:r>
          </w:p>
          <w:p w14:paraId="1F8DD6EC" w14:textId="77777777" w:rsidR="008A3959" w:rsidRPr="004402EC" w:rsidRDefault="008A3959" w:rsidP="008A3959">
            <w:pPr>
              <w:autoSpaceDE w:val="0"/>
              <w:autoSpaceDN w:val="0"/>
              <w:adjustRightInd w:val="0"/>
              <w:rPr>
                <w:rFonts w:ascii="Segoe UI" w:hAnsi="Segoe UI" w:cs="Segoe UI"/>
              </w:rPr>
            </w:pPr>
          </w:p>
          <w:p w14:paraId="192A73F4" w14:textId="77777777" w:rsidR="008A3959" w:rsidRPr="004402EC" w:rsidRDefault="008A3959" w:rsidP="008A3959">
            <w:pPr>
              <w:rPr>
                <w:rFonts w:cstheme="minorHAnsi"/>
                <w:sz w:val="20"/>
                <w:szCs w:val="20"/>
                <w:lang w:val="en-US"/>
              </w:rPr>
            </w:pPr>
          </w:p>
        </w:tc>
      </w:tr>
      <w:tr w:rsidR="008A3959" w:rsidRPr="004402EC" w14:paraId="6EB804A3" w14:textId="77777777" w:rsidTr="00E458C5">
        <w:tc>
          <w:tcPr>
            <w:tcW w:w="6232" w:type="dxa"/>
          </w:tcPr>
          <w:p w14:paraId="06F124D5" w14:textId="1F7AD80E" w:rsidR="008A3959" w:rsidRPr="004402EC" w:rsidRDefault="008A3959" w:rsidP="008A3959">
            <w:pPr>
              <w:rPr>
                <w:rFonts w:cstheme="minorHAnsi"/>
                <w:sz w:val="20"/>
                <w:szCs w:val="20"/>
                <w:lang w:val="en-US"/>
              </w:rPr>
            </w:pPr>
            <w:r w:rsidRPr="004402EC">
              <w:rPr>
                <w:rFonts w:cstheme="minorHAnsi"/>
                <w:sz w:val="20"/>
                <w:szCs w:val="20"/>
                <w:lang w:val="en-US"/>
              </w:rPr>
              <w:t>205. Igarashi H, Shibata M, Ozeki A, Matsumura T. Galcanezumab Effects on Migraine Severity and Symptoms in Japanese Patients with Episodic Migraine: Secondary Analysis of a Phase 2 Randomized Trial. Neurology and Therapy. 2022 Oct 20:1-5.</w:t>
            </w:r>
          </w:p>
        </w:tc>
        <w:tc>
          <w:tcPr>
            <w:tcW w:w="2784" w:type="dxa"/>
          </w:tcPr>
          <w:p w14:paraId="46BF4D07" w14:textId="77777777" w:rsidR="008A3959" w:rsidRPr="004402EC" w:rsidRDefault="008A3959" w:rsidP="008A3959">
            <w:pPr>
              <w:rPr>
                <w:rFonts w:cstheme="minorHAnsi"/>
                <w:sz w:val="20"/>
                <w:szCs w:val="20"/>
                <w:lang w:val="en-US"/>
              </w:rPr>
            </w:pPr>
            <w:r w:rsidRPr="004402EC">
              <w:rPr>
                <w:rFonts w:cstheme="minorHAnsi"/>
                <w:sz w:val="20"/>
                <w:szCs w:val="20"/>
                <w:lang w:val="en-US"/>
              </w:rPr>
              <w:t>No safety data for adverse events review</w:t>
            </w:r>
          </w:p>
          <w:p w14:paraId="6C1EA54A" w14:textId="77777777" w:rsidR="008A3959" w:rsidRPr="004402EC" w:rsidRDefault="008A3959" w:rsidP="008A3959">
            <w:pPr>
              <w:rPr>
                <w:rFonts w:cstheme="minorHAnsi"/>
                <w:sz w:val="20"/>
                <w:szCs w:val="20"/>
                <w:lang w:val="en-US"/>
              </w:rPr>
            </w:pPr>
          </w:p>
        </w:tc>
      </w:tr>
      <w:tr w:rsidR="008A3959" w:rsidRPr="004402EC" w14:paraId="202CBB40" w14:textId="77777777" w:rsidTr="00E458C5">
        <w:tc>
          <w:tcPr>
            <w:tcW w:w="6232" w:type="dxa"/>
          </w:tcPr>
          <w:p w14:paraId="4ECB7477" w14:textId="0B2944B1" w:rsidR="008A3959" w:rsidRPr="004402EC" w:rsidRDefault="008A3959" w:rsidP="008A3959">
            <w:pPr>
              <w:rPr>
                <w:rFonts w:cstheme="minorHAnsi"/>
                <w:sz w:val="20"/>
                <w:szCs w:val="20"/>
                <w:lang w:val="en-US"/>
              </w:rPr>
            </w:pPr>
            <w:r w:rsidRPr="004402EC">
              <w:rPr>
                <w:rFonts w:cstheme="minorHAnsi"/>
                <w:sz w:val="20"/>
                <w:szCs w:val="20"/>
                <w:lang w:val="en-US"/>
              </w:rPr>
              <w:t xml:space="preserve">206. Chowdhury D, Chaudhuri JR, Ghosh P, Kulkarni R, Singh S, Thakur S, Thorat AV. Efficacy and tolerability of </w:t>
            </w:r>
            <w:r w:rsidR="00713048">
              <w:rPr>
                <w:rFonts w:cstheme="minorHAnsi"/>
                <w:sz w:val="20"/>
                <w:szCs w:val="20"/>
                <w:lang w:val="en-US"/>
              </w:rPr>
              <w:t>E</w:t>
            </w:r>
            <w:r w:rsidRPr="004402EC">
              <w:rPr>
                <w:rFonts w:cstheme="minorHAnsi"/>
                <w:sz w:val="20"/>
                <w:szCs w:val="20"/>
                <w:lang w:val="en-US"/>
              </w:rPr>
              <w:t>renumab for prevention of episodic migraine in India. Annals of Indian Academy of Neurology. 2022 May;25(3):433.</w:t>
            </w:r>
          </w:p>
        </w:tc>
        <w:tc>
          <w:tcPr>
            <w:tcW w:w="2784" w:type="dxa"/>
          </w:tcPr>
          <w:p w14:paraId="6E3FC9C7" w14:textId="302F3B56" w:rsidR="008A3959" w:rsidRPr="004402EC" w:rsidRDefault="008A3959" w:rsidP="008A3959">
            <w:pPr>
              <w:rPr>
                <w:rFonts w:cstheme="minorHAnsi"/>
                <w:sz w:val="20"/>
                <w:szCs w:val="20"/>
                <w:lang w:val="en-US"/>
              </w:rPr>
            </w:pPr>
            <w:r w:rsidRPr="004402EC">
              <w:rPr>
                <w:rFonts w:cstheme="minorHAnsi"/>
                <w:sz w:val="20"/>
                <w:szCs w:val="20"/>
                <w:lang w:val="en-US"/>
              </w:rPr>
              <w:t>Small sample of episodic migraine</w:t>
            </w:r>
          </w:p>
        </w:tc>
      </w:tr>
      <w:tr w:rsidR="008A3959" w:rsidRPr="004402EC" w14:paraId="17A8B45F" w14:textId="77777777" w:rsidTr="00E458C5">
        <w:tc>
          <w:tcPr>
            <w:tcW w:w="6232" w:type="dxa"/>
          </w:tcPr>
          <w:p w14:paraId="12406092" w14:textId="5CD97953" w:rsidR="008A3959" w:rsidRPr="004402EC" w:rsidRDefault="008A3959" w:rsidP="008A3959">
            <w:pPr>
              <w:rPr>
                <w:rFonts w:cstheme="minorHAnsi"/>
                <w:sz w:val="20"/>
                <w:szCs w:val="20"/>
                <w:lang w:val="en-US"/>
              </w:rPr>
            </w:pPr>
            <w:r w:rsidRPr="004402EC">
              <w:rPr>
                <w:rFonts w:cstheme="minorHAnsi"/>
                <w:sz w:val="20"/>
                <w:szCs w:val="20"/>
                <w:lang w:val="en-US"/>
              </w:rPr>
              <w:t>207. Igarashi H, Shibata M, Ozeki A, Day KA, Matsumura T. Early Onset and Maintenance Effect of Galcanezumab in Japanese Patients with Episodic Migraine. Journal of Pain Research. 2021;14:3555.</w:t>
            </w:r>
          </w:p>
        </w:tc>
        <w:tc>
          <w:tcPr>
            <w:tcW w:w="2784" w:type="dxa"/>
          </w:tcPr>
          <w:p w14:paraId="1E1048F6" w14:textId="77777777" w:rsidR="008A3959" w:rsidRPr="004402EC" w:rsidRDefault="008A3959" w:rsidP="008A3959">
            <w:pPr>
              <w:rPr>
                <w:rFonts w:cstheme="minorHAnsi"/>
                <w:sz w:val="20"/>
                <w:szCs w:val="20"/>
                <w:lang w:val="en-US"/>
              </w:rPr>
            </w:pPr>
            <w:r w:rsidRPr="004402EC">
              <w:rPr>
                <w:rFonts w:cstheme="minorHAnsi"/>
                <w:sz w:val="20"/>
                <w:szCs w:val="20"/>
                <w:lang w:val="en-US"/>
              </w:rPr>
              <w:t>No safety data for adverse events review</w:t>
            </w:r>
          </w:p>
          <w:p w14:paraId="4AC58C6B" w14:textId="77777777" w:rsidR="008A3959" w:rsidRPr="004402EC" w:rsidRDefault="008A3959" w:rsidP="008A3959">
            <w:pPr>
              <w:rPr>
                <w:rFonts w:cstheme="minorHAnsi"/>
                <w:sz w:val="20"/>
                <w:szCs w:val="20"/>
                <w:lang w:val="en-US"/>
              </w:rPr>
            </w:pPr>
          </w:p>
        </w:tc>
      </w:tr>
      <w:tr w:rsidR="008A3959" w:rsidRPr="004402EC" w14:paraId="7F361A68" w14:textId="77777777" w:rsidTr="00E458C5">
        <w:tc>
          <w:tcPr>
            <w:tcW w:w="6232" w:type="dxa"/>
          </w:tcPr>
          <w:p w14:paraId="1255E92D" w14:textId="79768C64" w:rsidR="008A3959" w:rsidRPr="004402EC" w:rsidRDefault="008A3959" w:rsidP="008A3959">
            <w:pPr>
              <w:rPr>
                <w:rFonts w:cstheme="minorHAnsi"/>
                <w:sz w:val="20"/>
                <w:szCs w:val="20"/>
                <w:lang w:val="en-US"/>
              </w:rPr>
            </w:pPr>
            <w:r w:rsidRPr="004402EC">
              <w:rPr>
                <w:rFonts w:cstheme="minorHAnsi"/>
                <w:sz w:val="20"/>
                <w:szCs w:val="20"/>
                <w:lang w:val="en-US"/>
              </w:rPr>
              <w:lastRenderedPageBreak/>
              <w:t xml:space="preserve">208. Sakai F, Takeshima T, Tatsuoka Y, Hirata K, Cheng S, Numachi Y, Peng C, Xue F, Mikol DD. Long‐term efficacy and safety during open‐label </w:t>
            </w:r>
            <w:r w:rsidR="00713048">
              <w:rPr>
                <w:rFonts w:cstheme="minorHAnsi"/>
                <w:sz w:val="20"/>
                <w:szCs w:val="20"/>
                <w:lang w:val="en-US"/>
              </w:rPr>
              <w:t>E</w:t>
            </w:r>
            <w:r w:rsidRPr="004402EC">
              <w:rPr>
                <w:rFonts w:cstheme="minorHAnsi"/>
                <w:sz w:val="20"/>
                <w:szCs w:val="20"/>
                <w:lang w:val="en-US"/>
              </w:rPr>
              <w:t>renumab treatment in Japanese patients with episodic migraine. Headache: The Journal of Head and Face Pain. 2021 Apr;61(4):653-61.</w:t>
            </w:r>
          </w:p>
        </w:tc>
        <w:tc>
          <w:tcPr>
            <w:tcW w:w="2784" w:type="dxa"/>
          </w:tcPr>
          <w:p w14:paraId="04DF225E" w14:textId="7C1F4FAB" w:rsidR="008A3959" w:rsidRPr="004402EC" w:rsidRDefault="008A3959" w:rsidP="008A3959">
            <w:pPr>
              <w:rPr>
                <w:rFonts w:cstheme="minorHAnsi"/>
                <w:sz w:val="20"/>
                <w:szCs w:val="20"/>
                <w:lang w:val="en-US"/>
              </w:rPr>
            </w:pPr>
            <w:r w:rsidRPr="004402EC">
              <w:rPr>
                <w:rFonts w:cstheme="minorHAnsi"/>
                <w:sz w:val="20"/>
                <w:szCs w:val="20"/>
                <w:lang w:val="en-US"/>
              </w:rPr>
              <w:t>Small sample of episodic migraine</w:t>
            </w:r>
          </w:p>
        </w:tc>
      </w:tr>
      <w:tr w:rsidR="008A3959" w:rsidRPr="004402EC" w14:paraId="758E9AD6" w14:textId="77777777" w:rsidTr="00E458C5">
        <w:tc>
          <w:tcPr>
            <w:tcW w:w="6232" w:type="dxa"/>
          </w:tcPr>
          <w:p w14:paraId="654944A7" w14:textId="445A9BDC" w:rsidR="008A3959" w:rsidRPr="004402EC" w:rsidRDefault="008A3959" w:rsidP="008A3959">
            <w:pPr>
              <w:rPr>
                <w:rFonts w:cstheme="minorHAnsi"/>
                <w:sz w:val="20"/>
                <w:szCs w:val="20"/>
                <w:lang w:val="en-US"/>
              </w:rPr>
            </w:pPr>
            <w:r w:rsidRPr="004402EC">
              <w:rPr>
                <w:rFonts w:cstheme="minorHAnsi"/>
                <w:sz w:val="20"/>
                <w:szCs w:val="20"/>
                <w:lang w:val="en-US"/>
              </w:rPr>
              <w:t xml:space="preserve">209. Okonkwo R, Tockhorn-Heidenreich A, Stroud C, Paget MA, Matharu MS, Tassorelli C. Efficacy of </w:t>
            </w:r>
            <w:r w:rsidR="00713048" w:rsidRPr="004402EC">
              <w:rPr>
                <w:rFonts w:cstheme="minorHAnsi"/>
                <w:sz w:val="20"/>
                <w:szCs w:val="20"/>
                <w:lang w:val="en-US"/>
              </w:rPr>
              <w:t>Galcanezumab</w:t>
            </w:r>
            <w:r w:rsidRPr="004402EC">
              <w:rPr>
                <w:rFonts w:cstheme="minorHAnsi"/>
                <w:sz w:val="20"/>
                <w:szCs w:val="20"/>
                <w:lang w:val="en-US"/>
              </w:rPr>
              <w:t xml:space="preserve"> in patients with migraine and history of failure to 3–4 preventive medication categories: subgroup analysis from CONQUER study. The journal of headache and pain. 2021 Dec;22(1):1-1.</w:t>
            </w:r>
          </w:p>
        </w:tc>
        <w:tc>
          <w:tcPr>
            <w:tcW w:w="2784" w:type="dxa"/>
          </w:tcPr>
          <w:p w14:paraId="554591E2" w14:textId="77777777" w:rsidR="008A3959" w:rsidRPr="004402EC" w:rsidRDefault="008A3959" w:rsidP="008A3959">
            <w:pPr>
              <w:rPr>
                <w:rFonts w:cstheme="minorHAnsi"/>
                <w:sz w:val="20"/>
                <w:szCs w:val="20"/>
                <w:lang w:val="en-US"/>
              </w:rPr>
            </w:pPr>
            <w:r w:rsidRPr="004402EC">
              <w:rPr>
                <w:rFonts w:cstheme="minorHAnsi"/>
                <w:sz w:val="20"/>
                <w:szCs w:val="20"/>
                <w:lang w:val="en-US"/>
              </w:rPr>
              <w:t>No safety data for adverse events review</w:t>
            </w:r>
          </w:p>
          <w:p w14:paraId="46DBB3D4" w14:textId="77777777" w:rsidR="008A3959" w:rsidRPr="004402EC" w:rsidRDefault="008A3959" w:rsidP="008A3959">
            <w:pPr>
              <w:rPr>
                <w:rFonts w:cstheme="minorHAnsi"/>
                <w:sz w:val="20"/>
                <w:szCs w:val="20"/>
                <w:lang w:val="en-US"/>
              </w:rPr>
            </w:pPr>
          </w:p>
        </w:tc>
      </w:tr>
      <w:tr w:rsidR="008A3959" w:rsidRPr="004402EC" w14:paraId="28ECA399" w14:textId="77777777" w:rsidTr="00E458C5">
        <w:tc>
          <w:tcPr>
            <w:tcW w:w="6232" w:type="dxa"/>
          </w:tcPr>
          <w:p w14:paraId="263B6305" w14:textId="73E7225B" w:rsidR="008A3959" w:rsidRPr="004402EC" w:rsidRDefault="008A3959" w:rsidP="008A3959">
            <w:pPr>
              <w:rPr>
                <w:rFonts w:cstheme="minorHAnsi"/>
                <w:sz w:val="20"/>
                <w:szCs w:val="20"/>
                <w:lang w:val="en-US"/>
              </w:rPr>
            </w:pPr>
            <w:r w:rsidRPr="004402EC">
              <w:rPr>
                <w:rFonts w:cstheme="minorHAnsi"/>
                <w:sz w:val="20"/>
                <w:szCs w:val="20"/>
                <w:lang w:val="en-US"/>
              </w:rPr>
              <w:t xml:space="preserve">210. Okonkwo R, Tockhorn-Heidenreich A, Stroud C, Paget MA, Matharu MS, Tassorelli C. Efficacy of </w:t>
            </w:r>
            <w:r w:rsidR="00713048" w:rsidRPr="004402EC">
              <w:rPr>
                <w:rFonts w:cstheme="minorHAnsi"/>
                <w:sz w:val="20"/>
                <w:szCs w:val="20"/>
                <w:lang w:val="en-US"/>
              </w:rPr>
              <w:t>Galcanezumab</w:t>
            </w:r>
            <w:r w:rsidRPr="004402EC">
              <w:rPr>
                <w:rFonts w:cstheme="minorHAnsi"/>
                <w:sz w:val="20"/>
                <w:szCs w:val="20"/>
                <w:lang w:val="en-US"/>
              </w:rPr>
              <w:t xml:space="preserve"> in patients with migraine and history of failure to 3–4 preventive medication categories: subgroup analysis from CONQUER study. The journal of headache and pain. 2021 Dec;22(1):1-1.</w:t>
            </w:r>
          </w:p>
        </w:tc>
        <w:tc>
          <w:tcPr>
            <w:tcW w:w="2784" w:type="dxa"/>
          </w:tcPr>
          <w:p w14:paraId="68EE03FF" w14:textId="77777777" w:rsidR="008A3959" w:rsidRPr="004402EC" w:rsidRDefault="008A3959" w:rsidP="008A3959">
            <w:pPr>
              <w:rPr>
                <w:rFonts w:cstheme="minorHAnsi"/>
                <w:sz w:val="20"/>
                <w:szCs w:val="20"/>
                <w:lang w:val="en-US"/>
              </w:rPr>
            </w:pPr>
            <w:r w:rsidRPr="004402EC">
              <w:rPr>
                <w:rFonts w:cstheme="minorHAnsi"/>
                <w:sz w:val="20"/>
                <w:szCs w:val="20"/>
                <w:lang w:val="en-US"/>
              </w:rPr>
              <w:t>No safety data for adverse events review</w:t>
            </w:r>
          </w:p>
          <w:p w14:paraId="4F527202" w14:textId="77777777" w:rsidR="008A3959" w:rsidRPr="004402EC" w:rsidRDefault="008A3959" w:rsidP="008A3959">
            <w:pPr>
              <w:rPr>
                <w:rFonts w:cstheme="minorHAnsi"/>
                <w:sz w:val="20"/>
                <w:szCs w:val="20"/>
                <w:lang w:val="en-US"/>
              </w:rPr>
            </w:pPr>
          </w:p>
        </w:tc>
      </w:tr>
      <w:tr w:rsidR="008A3959" w:rsidRPr="004402EC" w14:paraId="435822BE" w14:textId="77777777" w:rsidTr="00E458C5">
        <w:tc>
          <w:tcPr>
            <w:tcW w:w="6232" w:type="dxa"/>
          </w:tcPr>
          <w:p w14:paraId="3EC9895F" w14:textId="4A85D124" w:rsidR="008A3959" w:rsidRPr="004402EC" w:rsidRDefault="008A3959" w:rsidP="008A3959">
            <w:pPr>
              <w:rPr>
                <w:rFonts w:cstheme="minorHAnsi"/>
                <w:sz w:val="20"/>
                <w:szCs w:val="20"/>
                <w:lang w:val="en-US"/>
              </w:rPr>
            </w:pPr>
            <w:r w:rsidRPr="004402EC">
              <w:rPr>
                <w:rFonts w:cstheme="minorHAnsi"/>
                <w:sz w:val="20"/>
                <w:szCs w:val="20"/>
                <w:lang w:val="en-US"/>
              </w:rPr>
              <w:t>211. Ailani J, Lipton RB, Goadsby PJ, Guo H, Miceli R, Severt L, Finnegan M, Trugman JM. Atogepant for the preventive treatment of migraine. New England Journal of Medicine. 2021 Aug 19;385(8):695-706.</w:t>
            </w:r>
          </w:p>
        </w:tc>
        <w:tc>
          <w:tcPr>
            <w:tcW w:w="2784" w:type="dxa"/>
          </w:tcPr>
          <w:p w14:paraId="3BB77A95" w14:textId="77777777"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p w14:paraId="54A7C5B2" w14:textId="798D45B0" w:rsidR="008A3959" w:rsidRPr="004402EC" w:rsidRDefault="008A3959" w:rsidP="008A3959">
            <w:pPr>
              <w:rPr>
                <w:rFonts w:cstheme="minorHAnsi"/>
                <w:sz w:val="20"/>
                <w:szCs w:val="20"/>
                <w:lang w:val="en-US"/>
              </w:rPr>
            </w:pPr>
          </w:p>
        </w:tc>
      </w:tr>
      <w:tr w:rsidR="008A3959" w:rsidRPr="004402EC" w14:paraId="649ABBAA" w14:textId="77777777" w:rsidTr="00E458C5">
        <w:tc>
          <w:tcPr>
            <w:tcW w:w="6232" w:type="dxa"/>
          </w:tcPr>
          <w:p w14:paraId="4D6DBD20" w14:textId="74A95A59" w:rsidR="008A3959" w:rsidRPr="004402EC" w:rsidRDefault="008A3959" w:rsidP="008A3959">
            <w:pPr>
              <w:rPr>
                <w:rFonts w:cstheme="minorHAnsi"/>
                <w:sz w:val="20"/>
                <w:szCs w:val="20"/>
                <w:lang w:val="en-US"/>
              </w:rPr>
            </w:pPr>
            <w:r w:rsidRPr="004402EC">
              <w:rPr>
                <w:rFonts w:cstheme="minorHAnsi"/>
                <w:sz w:val="20"/>
                <w:szCs w:val="20"/>
                <w:lang w:val="en-US"/>
              </w:rPr>
              <w:t>212. Ashina M, Saper J, Cady R, Schaeffler BA, Biondi DM, Hirman J, Pederson S, Allan B, Smith J. Eptinezumab in episodic migraine: a randomized, double-blind, placebo-controlled study (PROMISE-1). Cephalalgia. 2020 Mar;40(3):241-54.</w:t>
            </w:r>
          </w:p>
        </w:tc>
        <w:tc>
          <w:tcPr>
            <w:tcW w:w="2784" w:type="dxa"/>
          </w:tcPr>
          <w:p w14:paraId="42946EC1" w14:textId="77777777"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p w14:paraId="05FD61B9" w14:textId="77777777" w:rsidR="008A3959" w:rsidRPr="004402EC" w:rsidRDefault="008A3959" w:rsidP="008A3959">
            <w:pPr>
              <w:rPr>
                <w:rFonts w:cstheme="minorHAnsi"/>
                <w:sz w:val="20"/>
                <w:szCs w:val="20"/>
                <w:lang w:val="en-US"/>
              </w:rPr>
            </w:pPr>
          </w:p>
        </w:tc>
      </w:tr>
      <w:tr w:rsidR="008A3959" w:rsidRPr="004402EC" w14:paraId="79F359A4" w14:textId="77777777" w:rsidTr="00E458C5">
        <w:tc>
          <w:tcPr>
            <w:tcW w:w="6232" w:type="dxa"/>
          </w:tcPr>
          <w:p w14:paraId="2BC74699" w14:textId="69C36E15" w:rsidR="008A3959" w:rsidRPr="004402EC" w:rsidRDefault="008A3959" w:rsidP="008A3959">
            <w:pPr>
              <w:rPr>
                <w:rFonts w:cstheme="minorHAnsi"/>
                <w:sz w:val="20"/>
                <w:szCs w:val="20"/>
                <w:lang w:val="en-US"/>
              </w:rPr>
            </w:pPr>
            <w:r w:rsidRPr="004402EC">
              <w:rPr>
                <w:rFonts w:cstheme="minorHAnsi"/>
                <w:sz w:val="20"/>
                <w:szCs w:val="20"/>
                <w:lang w:val="en-US"/>
              </w:rPr>
              <w:t xml:space="preserve">213. Ashina, M., Cohen, J.M., Galic, M., Campos, V.R., Barash, S., Ning, X., Kessler, Y., Janka, L. and Diener, H.C., 2021. Efficacy and safety of </w:t>
            </w:r>
            <w:r w:rsidR="00713048">
              <w:rPr>
                <w:rFonts w:cstheme="minorHAnsi"/>
                <w:sz w:val="20"/>
                <w:szCs w:val="20"/>
                <w:lang w:val="en-US"/>
              </w:rPr>
              <w:t>F</w:t>
            </w:r>
            <w:r w:rsidRPr="004402EC">
              <w:rPr>
                <w:rFonts w:cstheme="minorHAnsi"/>
                <w:sz w:val="20"/>
                <w:szCs w:val="20"/>
                <w:lang w:val="en-US"/>
              </w:rPr>
              <w:t>remanezumab in patients with episodic and chronic migraine with documented inadequate response to 2 to 4 classes of migraine preventive medications over 6 months of treatment in the phase 3b FOCUS study. The Journal of Headache and Pain, 22(1), pp.1-13.</w:t>
            </w:r>
          </w:p>
        </w:tc>
        <w:tc>
          <w:tcPr>
            <w:tcW w:w="2784" w:type="dxa"/>
          </w:tcPr>
          <w:p w14:paraId="16EC1521" w14:textId="0FE6D155"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10521BA9" w14:textId="77777777" w:rsidTr="00E458C5">
        <w:tc>
          <w:tcPr>
            <w:tcW w:w="6232" w:type="dxa"/>
          </w:tcPr>
          <w:p w14:paraId="76816F7C" w14:textId="38D3BBB3" w:rsidR="008A3959" w:rsidRPr="004402EC" w:rsidRDefault="008A3959" w:rsidP="008A3959">
            <w:pPr>
              <w:rPr>
                <w:rFonts w:cstheme="minorHAnsi"/>
                <w:sz w:val="20"/>
                <w:szCs w:val="20"/>
                <w:lang w:val="en-US"/>
              </w:rPr>
            </w:pPr>
            <w:r w:rsidRPr="004402EC">
              <w:rPr>
                <w:rFonts w:cstheme="minorHAnsi"/>
                <w:sz w:val="20"/>
                <w:szCs w:val="20"/>
                <w:lang w:val="en-US"/>
              </w:rPr>
              <w:t xml:space="preserve">214. Ashina M, Goadsby PJ, Reuter U, Silberstein S, Dodick DW, Xue F, Zhang F, Paiva da Silva Lima G, Cheng S, Mikol DD. Long‐term efficacy and safety of </w:t>
            </w:r>
            <w:r w:rsidR="00713048">
              <w:rPr>
                <w:rFonts w:cstheme="minorHAnsi"/>
                <w:sz w:val="20"/>
                <w:szCs w:val="20"/>
                <w:lang w:val="en-US"/>
              </w:rPr>
              <w:t>E</w:t>
            </w:r>
            <w:r w:rsidRPr="004402EC">
              <w:rPr>
                <w:rFonts w:cstheme="minorHAnsi"/>
                <w:sz w:val="20"/>
                <w:szCs w:val="20"/>
                <w:lang w:val="en-US"/>
              </w:rPr>
              <w:t>renumab in migraine prevention: results from a 5‐year, open‐label treatment phase of a randomized clinical trial. European journal of neurology. 2021 May;28(5):1716-25.</w:t>
            </w:r>
          </w:p>
        </w:tc>
        <w:tc>
          <w:tcPr>
            <w:tcW w:w="2784" w:type="dxa"/>
          </w:tcPr>
          <w:p w14:paraId="5E9EE207" w14:textId="4C2B60EA"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73EA0384" w14:textId="77777777" w:rsidTr="00E458C5">
        <w:tc>
          <w:tcPr>
            <w:tcW w:w="6232" w:type="dxa"/>
          </w:tcPr>
          <w:p w14:paraId="158DD694" w14:textId="1AF8F492" w:rsidR="008A3959" w:rsidRPr="004402EC" w:rsidRDefault="008A3959" w:rsidP="008A3959">
            <w:pPr>
              <w:rPr>
                <w:rFonts w:cstheme="minorHAnsi"/>
                <w:sz w:val="20"/>
                <w:szCs w:val="20"/>
                <w:lang w:val="en-US"/>
              </w:rPr>
            </w:pPr>
            <w:r w:rsidRPr="004402EC">
              <w:rPr>
                <w:rFonts w:cstheme="minorHAnsi"/>
                <w:sz w:val="20"/>
                <w:szCs w:val="20"/>
                <w:lang w:val="en-US"/>
              </w:rPr>
              <w:t>215. Aurora SK, Gawel M, Brandes JL, Pokta S, VanDenburgh AM, BOTOX North American Episodic Migraine Study Group. Botulinum toxin type a prophylactic treatment of episodic migraine: A randomized, double‐blind, placebo‐controlled exploratory study. Headache: The Journal of Head and Face Pain. 2007 Apr;47(4):486-99.</w:t>
            </w:r>
          </w:p>
        </w:tc>
        <w:tc>
          <w:tcPr>
            <w:tcW w:w="2784" w:type="dxa"/>
          </w:tcPr>
          <w:p w14:paraId="7D6DAF46" w14:textId="64DBDE02"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02A4D9FD" w14:textId="77777777" w:rsidTr="00E458C5">
        <w:tc>
          <w:tcPr>
            <w:tcW w:w="6232" w:type="dxa"/>
          </w:tcPr>
          <w:p w14:paraId="541B4986" w14:textId="7984EEC6" w:rsidR="008A3959" w:rsidRPr="004402EC" w:rsidRDefault="008A3959" w:rsidP="008A3959">
            <w:pPr>
              <w:rPr>
                <w:rFonts w:cstheme="minorHAnsi"/>
                <w:sz w:val="20"/>
                <w:szCs w:val="20"/>
                <w:lang w:val="en-US"/>
              </w:rPr>
            </w:pPr>
            <w:r w:rsidRPr="004402EC">
              <w:rPr>
                <w:rFonts w:cstheme="minorHAnsi"/>
                <w:sz w:val="20"/>
                <w:szCs w:val="20"/>
                <w:lang w:val="en-US"/>
              </w:rPr>
              <w:t>216. Brandes JL, Saper JR, Diamond M, Couch JR, Lewis DW, Schmitt J, Neto W, Schwabe S, Jacobs D, MIGR-002 Study Group, MIGR-002 Study Group. Topiramate for migraine prevention: a randomized controlled trial. Jama. 2004 Feb 25;291(8):965-73.</w:t>
            </w:r>
          </w:p>
        </w:tc>
        <w:tc>
          <w:tcPr>
            <w:tcW w:w="2784" w:type="dxa"/>
          </w:tcPr>
          <w:p w14:paraId="35E08D98" w14:textId="78F24E68"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14029E18" w14:textId="77777777" w:rsidTr="00E458C5">
        <w:tc>
          <w:tcPr>
            <w:tcW w:w="6232" w:type="dxa"/>
          </w:tcPr>
          <w:p w14:paraId="33ABD3DA" w14:textId="5058463A" w:rsidR="008A3959" w:rsidRPr="004402EC" w:rsidRDefault="008A3959" w:rsidP="008A3959">
            <w:pPr>
              <w:rPr>
                <w:rFonts w:cstheme="minorHAnsi"/>
                <w:sz w:val="20"/>
                <w:szCs w:val="20"/>
                <w:lang w:val="en-US"/>
              </w:rPr>
            </w:pPr>
            <w:r w:rsidRPr="004402EC">
              <w:rPr>
                <w:rFonts w:cstheme="minorHAnsi"/>
                <w:sz w:val="20"/>
                <w:szCs w:val="20"/>
                <w:lang w:val="en-US"/>
              </w:rPr>
              <w:t xml:space="preserve">217. Brandes JL, Diener HC, Dolezil D, Freeman MC, McAllister PJ, Winner P, Klatt J, Cheng S, Zhang F, Wen S, Ritter S. The spectrum of response to </w:t>
            </w:r>
            <w:r w:rsidR="00713048">
              <w:rPr>
                <w:rFonts w:cstheme="minorHAnsi"/>
                <w:sz w:val="20"/>
                <w:szCs w:val="20"/>
                <w:lang w:val="en-US"/>
              </w:rPr>
              <w:t>E</w:t>
            </w:r>
            <w:r w:rsidRPr="004402EC">
              <w:rPr>
                <w:rFonts w:cstheme="minorHAnsi"/>
                <w:sz w:val="20"/>
                <w:szCs w:val="20"/>
                <w:lang w:val="en-US"/>
              </w:rPr>
              <w:t>renumab in patients with chronic migraine and subgroup analysis of patients achieving≥ 50%,≥ 75%, and 100% response. Cephalalgia. 2020 Jan;40(1):28-38.</w:t>
            </w:r>
          </w:p>
        </w:tc>
        <w:tc>
          <w:tcPr>
            <w:tcW w:w="2784" w:type="dxa"/>
          </w:tcPr>
          <w:p w14:paraId="61EB1E9F" w14:textId="3971C7BB"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23BB82C9" w14:textId="77777777" w:rsidTr="00E458C5">
        <w:tc>
          <w:tcPr>
            <w:tcW w:w="6232" w:type="dxa"/>
          </w:tcPr>
          <w:p w14:paraId="373FD7AD" w14:textId="0689BA9F" w:rsidR="008A3959" w:rsidRPr="004402EC" w:rsidRDefault="008A3959" w:rsidP="00977A61">
            <w:pPr>
              <w:rPr>
                <w:rFonts w:cstheme="minorHAnsi"/>
                <w:sz w:val="20"/>
                <w:szCs w:val="20"/>
                <w:lang w:val="en-US"/>
              </w:rPr>
            </w:pPr>
            <w:r w:rsidRPr="004402EC">
              <w:rPr>
                <w:rFonts w:cstheme="minorHAnsi"/>
                <w:sz w:val="20"/>
                <w:szCs w:val="20"/>
                <w:lang w:val="en-US"/>
              </w:rPr>
              <w:t>218. Couch JR, Amitriptyline Versus Placebo Study Group. Amitriptyline in the prophylactic treatment of migraine and chronic daily headache. Headache: The Journal of Head and Face Pain. 2011 Jan;51(1):33-51.</w:t>
            </w:r>
          </w:p>
        </w:tc>
        <w:tc>
          <w:tcPr>
            <w:tcW w:w="2784" w:type="dxa"/>
          </w:tcPr>
          <w:p w14:paraId="2741D600" w14:textId="395DED74"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4C8763D8" w14:textId="77777777" w:rsidTr="00E458C5">
        <w:tc>
          <w:tcPr>
            <w:tcW w:w="6232" w:type="dxa"/>
          </w:tcPr>
          <w:p w14:paraId="17B8E0E9" w14:textId="36550D7D" w:rsidR="008A3959" w:rsidRPr="004402EC" w:rsidRDefault="008A3959" w:rsidP="008A3959">
            <w:pPr>
              <w:rPr>
                <w:rFonts w:cstheme="minorHAnsi"/>
                <w:sz w:val="20"/>
                <w:szCs w:val="20"/>
                <w:lang w:val="en-US"/>
              </w:rPr>
            </w:pPr>
            <w:r w:rsidRPr="004402EC">
              <w:rPr>
                <w:rFonts w:cstheme="minorHAnsi"/>
                <w:sz w:val="20"/>
                <w:szCs w:val="20"/>
                <w:lang w:val="en-US"/>
              </w:rPr>
              <w:t>219. Dodick DW, Goadsby PJ, Spierings EL, Scherer JC, Sweeney SP, Grayzel DS. Safety and efficacy of LY2951742, a monoclonal antibody to calcitonin gene-related peptide, for the prevention of migraine: a phase 2, randomised, double-blind, placebo-controlled study. The Lancet Neurology. 2014 Sep 1;13(9):885-92.</w:t>
            </w:r>
          </w:p>
        </w:tc>
        <w:tc>
          <w:tcPr>
            <w:tcW w:w="2784" w:type="dxa"/>
          </w:tcPr>
          <w:p w14:paraId="2A990CA8" w14:textId="5BBFBC06"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51AAF5E0" w14:textId="77777777" w:rsidTr="00E458C5">
        <w:tc>
          <w:tcPr>
            <w:tcW w:w="6232" w:type="dxa"/>
          </w:tcPr>
          <w:p w14:paraId="07868A3A" w14:textId="1DFD8585" w:rsidR="008A3959" w:rsidRPr="004402EC" w:rsidRDefault="008A3959" w:rsidP="008A3959">
            <w:pPr>
              <w:rPr>
                <w:rFonts w:cstheme="minorHAnsi"/>
                <w:sz w:val="20"/>
                <w:szCs w:val="20"/>
                <w:lang w:val="en-US"/>
              </w:rPr>
            </w:pPr>
            <w:r w:rsidRPr="004402EC">
              <w:rPr>
                <w:rFonts w:cstheme="minorHAnsi"/>
                <w:sz w:val="20"/>
                <w:szCs w:val="20"/>
                <w:lang w:val="en-US"/>
              </w:rPr>
              <w:t xml:space="preserve">220. Dodick DW, Ashina M, Brandes JL, Kudrow D, Lanteri-Minet M, Osipova V, Palmer K, Picard H, Mikol DD, Lenz RA. ARISE: a phase 3 </w:t>
            </w:r>
            <w:r w:rsidRPr="004402EC">
              <w:rPr>
                <w:rFonts w:cstheme="minorHAnsi"/>
                <w:sz w:val="20"/>
                <w:szCs w:val="20"/>
                <w:lang w:val="en-US"/>
              </w:rPr>
              <w:lastRenderedPageBreak/>
              <w:t xml:space="preserve">randomized trial of </w:t>
            </w:r>
            <w:r w:rsidR="00713048">
              <w:rPr>
                <w:rFonts w:cstheme="minorHAnsi"/>
                <w:sz w:val="20"/>
                <w:szCs w:val="20"/>
                <w:lang w:val="en-US"/>
              </w:rPr>
              <w:t>E</w:t>
            </w:r>
            <w:r w:rsidRPr="004402EC">
              <w:rPr>
                <w:rFonts w:cstheme="minorHAnsi"/>
                <w:sz w:val="20"/>
                <w:szCs w:val="20"/>
                <w:lang w:val="en-US"/>
              </w:rPr>
              <w:t>renumab for episodic migraine. Cephalalgia. 2018 May;38(6):1026-37.</w:t>
            </w:r>
          </w:p>
        </w:tc>
        <w:tc>
          <w:tcPr>
            <w:tcW w:w="2784" w:type="dxa"/>
          </w:tcPr>
          <w:p w14:paraId="4F71893E" w14:textId="198D2C80" w:rsidR="008A3959" w:rsidRPr="004402EC" w:rsidRDefault="008A3959" w:rsidP="008A3959">
            <w:pPr>
              <w:rPr>
                <w:rFonts w:cstheme="minorHAnsi"/>
                <w:sz w:val="20"/>
                <w:szCs w:val="20"/>
                <w:lang w:val="en-US"/>
              </w:rPr>
            </w:pPr>
            <w:r w:rsidRPr="004402EC">
              <w:rPr>
                <w:rFonts w:cstheme="minorHAnsi"/>
                <w:sz w:val="20"/>
                <w:szCs w:val="20"/>
                <w:lang w:val="en-US"/>
              </w:rPr>
              <w:lastRenderedPageBreak/>
              <w:t>Episodic migraine</w:t>
            </w:r>
          </w:p>
        </w:tc>
      </w:tr>
      <w:tr w:rsidR="008A3959" w:rsidRPr="004402EC" w14:paraId="758CD537" w14:textId="77777777" w:rsidTr="00E458C5">
        <w:tc>
          <w:tcPr>
            <w:tcW w:w="6232" w:type="dxa"/>
          </w:tcPr>
          <w:p w14:paraId="363A7D74" w14:textId="02DB79AC" w:rsidR="008A3959" w:rsidRPr="004402EC" w:rsidRDefault="008A3959" w:rsidP="008A3959">
            <w:pPr>
              <w:rPr>
                <w:rFonts w:cstheme="minorHAnsi"/>
                <w:sz w:val="20"/>
                <w:szCs w:val="20"/>
                <w:lang w:val="en-US"/>
              </w:rPr>
            </w:pPr>
            <w:r w:rsidRPr="004402EC">
              <w:rPr>
                <w:rFonts w:cstheme="minorHAnsi"/>
                <w:sz w:val="20"/>
                <w:szCs w:val="20"/>
                <w:lang w:val="en-US"/>
              </w:rPr>
              <w:lastRenderedPageBreak/>
              <w:t>221. Dodick DW, Freitag F, Banks J, Saper J, Xiang J, Rupnow M, Biondi D, Greenberg SJ, Hulihan J, CAPSS-277 Investigator Group. Topiramate versus amitriptyline in migraine prevention: a 26-week, multicenter, randomized, double-blind, double-dummy, parallel-group noninferiority trial in adult migraineurs. Clinical therapeutics. 2009 Mar 1;31(3):542-59.</w:t>
            </w:r>
          </w:p>
        </w:tc>
        <w:tc>
          <w:tcPr>
            <w:tcW w:w="2784" w:type="dxa"/>
          </w:tcPr>
          <w:p w14:paraId="7CEB9A56" w14:textId="0581AA79"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46223366" w14:textId="77777777" w:rsidTr="00E458C5">
        <w:tc>
          <w:tcPr>
            <w:tcW w:w="6232" w:type="dxa"/>
          </w:tcPr>
          <w:p w14:paraId="7319E973" w14:textId="175779A2" w:rsidR="008A3959" w:rsidRPr="004402EC" w:rsidRDefault="008A3959" w:rsidP="008A3959">
            <w:pPr>
              <w:rPr>
                <w:rFonts w:cstheme="minorHAnsi"/>
                <w:sz w:val="20"/>
                <w:szCs w:val="20"/>
                <w:lang w:val="en-US"/>
              </w:rPr>
            </w:pPr>
            <w:r w:rsidRPr="004402EC">
              <w:rPr>
                <w:rFonts w:cstheme="minorHAnsi"/>
                <w:sz w:val="20"/>
                <w:szCs w:val="20"/>
                <w:lang w:val="en-US"/>
              </w:rPr>
              <w:t>222. Diener HC, Matias-Guiu J, Hartung E, Pfaffenrath V, Ludin HP, Nappi G, De Beukelaar F, Study Group. Efficacy and tolerability in migraine prophylaxis of flunarizine in reduced doses: a comparison with propranolol 160 mg daily. Cephalalgia. 2002 Apr;22(3):209-21.</w:t>
            </w:r>
          </w:p>
        </w:tc>
        <w:tc>
          <w:tcPr>
            <w:tcW w:w="2784" w:type="dxa"/>
          </w:tcPr>
          <w:p w14:paraId="441DCBDA" w14:textId="007DAF0A"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3DE0CE97" w14:textId="77777777" w:rsidTr="00E458C5">
        <w:tc>
          <w:tcPr>
            <w:tcW w:w="6232" w:type="dxa"/>
          </w:tcPr>
          <w:p w14:paraId="31CAD6AE" w14:textId="19622968" w:rsidR="008A3959" w:rsidRPr="004402EC" w:rsidRDefault="008A3959" w:rsidP="008A3959">
            <w:pPr>
              <w:rPr>
                <w:rFonts w:cstheme="minorHAnsi"/>
                <w:sz w:val="20"/>
                <w:szCs w:val="20"/>
                <w:lang w:val="en-US"/>
              </w:rPr>
            </w:pPr>
            <w:r w:rsidRPr="004402EC">
              <w:rPr>
                <w:rFonts w:cstheme="minorHAnsi"/>
                <w:sz w:val="20"/>
                <w:szCs w:val="20"/>
                <w:lang w:val="en-US"/>
              </w:rPr>
              <w:t>223. Diener HC, Tfelt-Hansen P, Dahlöf C, Láinez MJ, Sandrini G, Wang SJ, Neto W, Vijapurkar U, Doyle A, Jacobs D, MIGR-003 Study Group. Topiramate in migraine prophylaxis: Results from a placebo–controlled trial with propranolol as an active control. Journal of neurology. 2004 Aug;251:943-50.</w:t>
            </w:r>
          </w:p>
        </w:tc>
        <w:tc>
          <w:tcPr>
            <w:tcW w:w="2784" w:type="dxa"/>
          </w:tcPr>
          <w:p w14:paraId="4D9A9206" w14:textId="4361E9EB"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3B534BB3" w14:textId="77777777" w:rsidTr="00E458C5">
        <w:tc>
          <w:tcPr>
            <w:tcW w:w="6232" w:type="dxa"/>
          </w:tcPr>
          <w:p w14:paraId="12EB4997" w14:textId="6C7B2D1D" w:rsidR="008A3959" w:rsidRPr="004402EC" w:rsidRDefault="008A3959" w:rsidP="008A3959">
            <w:pPr>
              <w:rPr>
                <w:rFonts w:cstheme="minorHAnsi"/>
                <w:sz w:val="20"/>
                <w:szCs w:val="20"/>
                <w:lang w:val="en-US"/>
              </w:rPr>
            </w:pPr>
            <w:r w:rsidRPr="004402EC">
              <w:rPr>
                <w:rFonts w:cstheme="minorHAnsi"/>
                <w:sz w:val="20"/>
                <w:szCs w:val="20"/>
                <w:lang w:val="en-US"/>
              </w:rPr>
              <w:t xml:space="preserve">224. Dodick DW, Silberstein SD, Bigal ME, Yeung PP, Goadsby PJ, Blankenbiller T, Grozinski-Wolff M, Yang R, Ma Y, Aycardi E. Effect of </w:t>
            </w:r>
            <w:r w:rsidR="00B41680">
              <w:rPr>
                <w:rFonts w:cstheme="minorHAnsi"/>
                <w:sz w:val="20"/>
                <w:szCs w:val="20"/>
                <w:lang w:val="en-US"/>
              </w:rPr>
              <w:t>F</w:t>
            </w:r>
            <w:r w:rsidRPr="004402EC">
              <w:rPr>
                <w:rFonts w:cstheme="minorHAnsi"/>
                <w:sz w:val="20"/>
                <w:szCs w:val="20"/>
                <w:lang w:val="en-US"/>
              </w:rPr>
              <w:t>remanezumab compared with placebo for prevention of episodic migraine: a randomized clinical trial. Jama. 2018 May 15;319(19):1999-2008.</w:t>
            </w:r>
          </w:p>
        </w:tc>
        <w:tc>
          <w:tcPr>
            <w:tcW w:w="2784" w:type="dxa"/>
          </w:tcPr>
          <w:p w14:paraId="6772D49C" w14:textId="70E04D0A"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6C376469" w14:textId="77777777" w:rsidTr="00E458C5">
        <w:tc>
          <w:tcPr>
            <w:tcW w:w="6232" w:type="dxa"/>
          </w:tcPr>
          <w:p w14:paraId="00451415" w14:textId="2F92DE28" w:rsidR="008A3959" w:rsidRPr="004402EC" w:rsidRDefault="008A3959" w:rsidP="008A3959">
            <w:pPr>
              <w:rPr>
                <w:rFonts w:cstheme="minorHAnsi"/>
                <w:sz w:val="20"/>
                <w:szCs w:val="20"/>
                <w:lang w:val="en-US"/>
              </w:rPr>
            </w:pPr>
            <w:r w:rsidRPr="004402EC">
              <w:rPr>
                <w:rFonts w:cstheme="minorHAnsi"/>
                <w:sz w:val="20"/>
                <w:szCs w:val="20"/>
                <w:lang w:val="en-US"/>
              </w:rPr>
              <w:t xml:space="preserve">225. Goadsby PJ, Reuter U, Hallström Y, Broessner G, Bonner JH, Zhang F, Sapra S, Picard H, Mikol DD, Lenz RA. A controlled trial of </w:t>
            </w:r>
            <w:r w:rsidR="00B41680">
              <w:rPr>
                <w:rFonts w:cstheme="minorHAnsi"/>
                <w:sz w:val="20"/>
                <w:szCs w:val="20"/>
                <w:lang w:val="en-US"/>
              </w:rPr>
              <w:t>E</w:t>
            </w:r>
            <w:r w:rsidRPr="004402EC">
              <w:rPr>
                <w:rFonts w:cstheme="minorHAnsi"/>
                <w:sz w:val="20"/>
                <w:szCs w:val="20"/>
                <w:lang w:val="en-US"/>
              </w:rPr>
              <w:t>renumab for episodic migraine. New England Journal of Medicine. 2017 Nov 30;377(22):2123-32.</w:t>
            </w:r>
          </w:p>
        </w:tc>
        <w:tc>
          <w:tcPr>
            <w:tcW w:w="2784" w:type="dxa"/>
          </w:tcPr>
          <w:p w14:paraId="75201E4D" w14:textId="7241EDDE"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4DA4F39C" w14:textId="77777777" w:rsidTr="00E458C5">
        <w:tc>
          <w:tcPr>
            <w:tcW w:w="6232" w:type="dxa"/>
          </w:tcPr>
          <w:p w14:paraId="255B09D2" w14:textId="696A0404" w:rsidR="008A3959" w:rsidRPr="004402EC" w:rsidRDefault="008A3959" w:rsidP="008A3959">
            <w:pPr>
              <w:rPr>
                <w:rFonts w:cstheme="minorHAnsi"/>
                <w:sz w:val="20"/>
                <w:szCs w:val="20"/>
                <w:lang w:val="en-US"/>
              </w:rPr>
            </w:pPr>
            <w:r w:rsidRPr="004402EC">
              <w:rPr>
                <w:rFonts w:cstheme="minorHAnsi"/>
                <w:sz w:val="20"/>
                <w:szCs w:val="20"/>
                <w:lang w:val="en-US"/>
              </w:rPr>
              <w:t>226. Sun H, Dodick DW, Silberstein S, Goadsby PJ, Reuter U, Ashina M, Saper J, Cady R, Chon Y, Dietrich J, Lenz R. Safety and efficacy of AMG 334 for prevention of episodic migraine: a randomised, double-blind, placebo-controlled, phase 2 trial. The Lancet Neurology. 2016 Apr 1;15(4):382-90.</w:t>
            </w:r>
          </w:p>
        </w:tc>
        <w:tc>
          <w:tcPr>
            <w:tcW w:w="2784" w:type="dxa"/>
          </w:tcPr>
          <w:p w14:paraId="30948AFE" w14:textId="48DB4D10"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46C8C47A" w14:textId="77777777" w:rsidTr="00E458C5">
        <w:tc>
          <w:tcPr>
            <w:tcW w:w="6232" w:type="dxa"/>
          </w:tcPr>
          <w:p w14:paraId="4A70826C" w14:textId="6743C0C6" w:rsidR="008A3959" w:rsidRPr="004402EC" w:rsidRDefault="008A3959" w:rsidP="008A3959">
            <w:pPr>
              <w:rPr>
                <w:rFonts w:cstheme="minorHAnsi"/>
                <w:sz w:val="20"/>
                <w:szCs w:val="20"/>
                <w:lang w:val="en-US"/>
              </w:rPr>
            </w:pPr>
            <w:r w:rsidRPr="004402EC">
              <w:rPr>
                <w:rFonts w:cstheme="minorHAnsi"/>
                <w:sz w:val="20"/>
                <w:szCs w:val="20"/>
                <w:lang w:val="en-US"/>
              </w:rPr>
              <w:t>227. Jedynak J, Eross E, Gendolla A, Rettiganti M, Stauffer VL. Shift from high-frequency to low-frequency episodic migraine in patients treated with Galcanezumab: results from two global randomized clinical trials. The Journal of Headache and Pain. 2021 Dec;22(1):1-0.</w:t>
            </w:r>
          </w:p>
        </w:tc>
        <w:tc>
          <w:tcPr>
            <w:tcW w:w="2784" w:type="dxa"/>
          </w:tcPr>
          <w:p w14:paraId="594853EE" w14:textId="130AF152"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3F6D5B2D" w14:textId="77777777" w:rsidTr="00E458C5">
        <w:tc>
          <w:tcPr>
            <w:tcW w:w="6232" w:type="dxa"/>
          </w:tcPr>
          <w:p w14:paraId="7A74E00F" w14:textId="1E9682C8" w:rsidR="008A3959" w:rsidRPr="004402EC" w:rsidRDefault="008A3959" w:rsidP="008A3959">
            <w:pPr>
              <w:rPr>
                <w:rFonts w:cstheme="minorHAnsi"/>
                <w:sz w:val="20"/>
                <w:szCs w:val="20"/>
                <w:lang w:val="en-US"/>
              </w:rPr>
            </w:pPr>
            <w:r w:rsidRPr="004402EC">
              <w:rPr>
                <w:rFonts w:cstheme="minorHAnsi"/>
                <w:sz w:val="20"/>
                <w:szCs w:val="20"/>
                <w:lang w:val="en-US"/>
              </w:rPr>
              <w:t>228. Kalita J, Bhoi SK, Misra UK. Amitriptyline vs divalproate in migraine prophylaxis: a randomized controlled trial. Acta Neurologica Scandinavica. 2013 Jul;128(1):65-72.</w:t>
            </w:r>
          </w:p>
        </w:tc>
        <w:tc>
          <w:tcPr>
            <w:tcW w:w="2784" w:type="dxa"/>
          </w:tcPr>
          <w:p w14:paraId="70C48D4B" w14:textId="2547F00D"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0D07D233" w14:textId="77777777" w:rsidTr="00E458C5">
        <w:tc>
          <w:tcPr>
            <w:tcW w:w="6232" w:type="dxa"/>
          </w:tcPr>
          <w:p w14:paraId="4FDA44FB" w14:textId="236B6007" w:rsidR="008A3959" w:rsidRPr="004402EC" w:rsidRDefault="008A3959" w:rsidP="008A3959">
            <w:pPr>
              <w:rPr>
                <w:rFonts w:cstheme="minorHAnsi"/>
                <w:sz w:val="20"/>
                <w:szCs w:val="20"/>
                <w:lang w:val="en-US"/>
              </w:rPr>
            </w:pPr>
            <w:r w:rsidRPr="004402EC">
              <w:rPr>
                <w:rFonts w:cstheme="minorHAnsi"/>
                <w:sz w:val="20"/>
                <w:szCs w:val="20"/>
                <w:lang w:val="en-US"/>
              </w:rPr>
              <w:t xml:space="preserve">229. Hirata K, Sakai F, Takeshima T, Imai N, Matsumori Y, Yoshida R, Numachi Y, Peng C, Mikol DD, Cheng S. Efficacy and safety of </w:t>
            </w:r>
            <w:r w:rsidR="00B41680">
              <w:rPr>
                <w:rFonts w:cstheme="minorHAnsi"/>
                <w:sz w:val="20"/>
                <w:szCs w:val="20"/>
                <w:lang w:val="en-US"/>
              </w:rPr>
              <w:t>E</w:t>
            </w:r>
            <w:r w:rsidRPr="004402EC">
              <w:rPr>
                <w:rFonts w:cstheme="minorHAnsi"/>
                <w:sz w:val="20"/>
                <w:szCs w:val="20"/>
                <w:lang w:val="en-US"/>
              </w:rPr>
              <w:t>renumab in Japanese migraine patients with prior preventive treatment failure or concomitant preventive treatment: subgroup analyses of a phase 3, randomized trial. The Journal of Headache and Pain. 2021 Dec;22(1):1-9.</w:t>
            </w:r>
          </w:p>
        </w:tc>
        <w:tc>
          <w:tcPr>
            <w:tcW w:w="2784" w:type="dxa"/>
          </w:tcPr>
          <w:p w14:paraId="03952DB9" w14:textId="70E15CEC"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554630BE" w14:textId="77777777" w:rsidTr="00E458C5">
        <w:tc>
          <w:tcPr>
            <w:tcW w:w="6232" w:type="dxa"/>
          </w:tcPr>
          <w:p w14:paraId="31C44F88" w14:textId="2C24A66D" w:rsidR="008A3959" w:rsidRPr="004402EC" w:rsidRDefault="008A3959" w:rsidP="008A3959">
            <w:pPr>
              <w:rPr>
                <w:rFonts w:cstheme="minorHAnsi"/>
                <w:sz w:val="20"/>
                <w:szCs w:val="20"/>
                <w:lang w:val="en-US"/>
              </w:rPr>
            </w:pPr>
            <w:r w:rsidRPr="004402EC">
              <w:rPr>
                <w:rFonts w:cstheme="minorHAnsi"/>
                <w:sz w:val="20"/>
                <w:szCs w:val="20"/>
                <w:lang w:val="en-US"/>
              </w:rPr>
              <w:t>230. Yang CP, Chang MH, Li TC, Hsieh CL, Hwang KL, Chang HH. Predicting prognostic factors in a randomized controlled trial of acupuncture versus topiramate treatment in patients with chronic migraine. The Clinical Journal of Pain. 2013 Nov 1;29(11):982-7.</w:t>
            </w:r>
          </w:p>
        </w:tc>
        <w:tc>
          <w:tcPr>
            <w:tcW w:w="2784" w:type="dxa"/>
          </w:tcPr>
          <w:p w14:paraId="532BE03C" w14:textId="0632F75B"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463BC441" w14:textId="77777777" w:rsidTr="00E458C5">
        <w:tc>
          <w:tcPr>
            <w:tcW w:w="6232" w:type="dxa"/>
          </w:tcPr>
          <w:p w14:paraId="29B0C1E8" w14:textId="44B3E76C" w:rsidR="008A3959" w:rsidRPr="004402EC" w:rsidRDefault="008A3959" w:rsidP="008A3959">
            <w:pPr>
              <w:rPr>
                <w:rFonts w:cstheme="minorHAnsi"/>
                <w:sz w:val="20"/>
                <w:szCs w:val="20"/>
                <w:lang w:val="en-US"/>
              </w:rPr>
            </w:pPr>
            <w:r w:rsidRPr="004402EC">
              <w:rPr>
                <w:rFonts w:cstheme="minorHAnsi"/>
                <w:sz w:val="20"/>
                <w:szCs w:val="20"/>
                <w:lang w:val="en-US"/>
              </w:rPr>
              <w:t>231. Lipton RB, Croop R, Stock EG, Stock DA, Morris BA, Frost M, Dubowchik GM, Conway CM, Coric V, Goadsby PJ. Rimegepant, an oral calcitonin gene–related peptide receptor antagonist, for migraine. New England Journal of Medicine. 2019 Jul 11;381(2):142-9.</w:t>
            </w:r>
          </w:p>
        </w:tc>
        <w:tc>
          <w:tcPr>
            <w:tcW w:w="2784" w:type="dxa"/>
          </w:tcPr>
          <w:p w14:paraId="7D0BBC17" w14:textId="40096DF1"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374E2790" w14:textId="77777777" w:rsidTr="00E458C5">
        <w:tc>
          <w:tcPr>
            <w:tcW w:w="6232" w:type="dxa"/>
          </w:tcPr>
          <w:p w14:paraId="272D1935" w14:textId="7E0AB27B" w:rsidR="008A3959" w:rsidRPr="004402EC" w:rsidRDefault="008A3959" w:rsidP="008A3959">
            <w:pPr>
              <w:rPr>
                <w:rFonts w:cstheme="minorHAnsi"/>
                <w:sz w:val="20"/>
                <w:szCs w:val="20"/>
                <w:lang w:val="en-US"/>
              </w:rPr>
            </w:pPr>
            <w:r w:rsidRPr="004402EC">
              <w:rPr>
                <w:rFonts w:cstheme="minorHAnsi"/>
                <w:sz w:val="20"/>
                <w:szCs w:val="20"/>
                <w:lang w:val="en-US"/>
              </w:rPr>
              <w:t xml:space="preserve">232. Lucking CH, Oestreich W, Schmidt R, </w:t>
            </w:r>
            <w:proofErr w:type="gramStart"/>
            <w:r w:rsidRPr="004402EC">
              <w:rPr>
                <w:rFonts w:cstheme="minorHAnsi"/>
                <w:sz w:val="20"/>
                <w:szCs w:val="20"/>
                <w:lang w:val="en-US"/>
              </w:rPr>
              <w:t>Soyka</w:t>
            </w:r>
            <w:proofErr w:type="gramEnd"/>
            <w:r w:rsidRPr="004402EC">
              <w:rPr>
                <w:rFonts w:cstheme="minorHAnsi"/>
                <w:sz w:val="20"/>
                <w:szCs w:val="20"/>
                <w:lang w:val="en-US"/>
              </w:rPr>
              <w:t xml:space="preserve"> D. Flunarizine vs. propranolol in the prophylaxis of migraine: two double-blind comparative studies in more than 400 patients. Cephalalgia. 1988 Sep;8(8_suppl):21-6.</w:t>
            </w:r>
          </w:p>
        </w:tc>
        <w:tc>
          <w:tcPr>
            <w:tcW w:w="2784" w:type="dxa"/>
          </w:tcPr>
          <w:p w14:paraId="082CBCA8" w14:textId="4B804273"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14D4780C" w14:textId="77777777" w:rsidTr="00E458C5">
        <w:tc>
          <w:tcPr>
            <w:tcW w:w="6232" w:type="dxa"/>
          </w:tcPr>
          <w:p w14:paraId="58BC227D" w14:textId="5461C8FE" w:rsidR="008A3959" w:rsidRPr="004402EC" w:rsidRDefault="008A3959" w:rsidP="008A3959">
            <w:pPr>
              <w:rPr>
                <w:rFonts w:cstheme="minorHAnsi"/>
                <w:sz w:val="20"/>
                <w:szCs w:val="20"/>
                <w:lang w:val="en-US"/>
              </w:rPr>
            </w:pPr>
            <w:r w:rsidRPr="004402EC">
              <w:rPr>
                <w:rFonts w:cstheme="minorHAnsi"/>
                <w:sz w:val="20"/>
                <w:szCs w:val="20"/>
                <w:lang w:val="en-US"/>
              </w:rPr>
              <w:t xml:space="preserve">233. Relja M, Poole AC, Schoenen J, Pascual J, Lei X, Thompson C. A multicentre, double-blind, randomized, placebo-controlled, parallel group study of multiple treatments of botulinum toxin type A (BoNTA) for the prophylaxis of episodic migraine headaches. Cephalalgia. 2007 </w:t>
            </w:r>
            <w:r w:rsidRPr="004402EC">
              <w:rPr>
                <w:rFonts w:cstheme="minorHAnsi"/>
                <w:sz w:val="20"/>
                <w:szCs w:val="20"/>
                <w:lang w:val="en-US"/>
              </w:rPr>
              <w:lastRenderedPageBreak/>
              <w:t>Jun;27(6):492-503.</w:t>
            </w:r>
          </w:p>
        </w:tc>
        <w:tc>
          <w:tcPr>
            <w:tcW w:w="2784" w:type="dxa"/>
          </w:tcPr>
          <w:p w14:paraId="4483F17F" w14:textId="167888B6" w:rsidR="008A3959" w:rsidRPr="004402EC" w:rsidRDefault="008A3959" w:rsidP="008A3959">
            <w:pPr>
              <w:rPr>
                <w:rFonts w:cstheme="minorHAnsi"/>
                <w:sz w:val="20"/>
                <w:szCs w:val="20"/>
                <w:lang w:val="en-US"/>
              </w:rPr>
            </w:pPr>
            <w:r w:rsidRPr="004402EC">
              <w:rPr>
                <w:rFonts w:cstheme="minorHAnsi"/>
                <w:sz w:val="20"/>
                <w:szCs w:val="20"/>
                <w:lang w:val="en-US"/>
              </w:rPr>
              <w:lastRenderedPageBreak/>
              <w:t>Episodic migraine</w:t>
            </w:r>
          </w:p>
        </w:tc>
      </w:tr>
      <w:tr w:rsidR="008A3959" w:rsidRPr="004402EC" w14:paraId="24EAAC9C" w14:textId="77777777" w:rsidTr="00E458C5">
        <w:tc>
          <w:tcPr>
            <w:tcW w:w="6232" w:type="dxa"/>
          </w:tcPr>
          <w:p w14:paraId="54403562" w14:textId="694FAF87" w:rsidR="008A3959" w:rsidRPr="004402EC" w:rsidRDefault="008A3959" w:rsidP="008A3959">
            <w:pPr>
              <w:rPr>
                <w:rFonts w:cstheme="minorHAnsi"/>
                <w:sz w:val="20"/>
                <w:szCs w:val="20"/>
                <w:lang w:val="en-US"/>
              </w:rPr>
            </w:pPr>
            <w:r w:rsidRPr="004402EC">
              <w:rPr>
                <w:rFonts w:cstheme="minorHAnsi"/>
                <w:sz w:val="20"/>
                <w:szCs w:val="20"/>
                <w:lang w:val="en-US"/>
              </w:rPr>
              <w:lastRenderedPageBreak/>
              <w:t>234. Janssen Pharmaceutical KK. A Dose-Finding Study of Topiramate (JNS019) in Participants with Migraine. NIH US National Library of Medicine Clinical</w:t>
            </w:r>
            <w:r w:rsidR="00B41680">
              <w:rPr>
                <w:rFonts w:cstheme="minorHAnsi"/>
                <w:sz w:val="20"/>
                <w:szCs w:val="20"/>
                <w:lang w:val="en-US"/>
              </w:rPr>
              <w:t xml:space="preserve"> </w:t>
            </w:r>
            <w:r w:rsidRPr="004402EC">
              <w:rPr>
                <w:rFonts w:cstheme="minorHAnsi"/>
                <w:sz w:val="20"/>
                <w:szCs w:val="20"/>
                <w:lang w:val="en-US"/>
              </w:rPr>
              <w:t>Trials. gov.[Revised on July 2013][Accessed 23rd November 2020] https://clinicaltrials. gov/ct2/show/NCT01081795.</w:t>
            </w:r>
          </w:p>
        </w:tc>
        <w:tc>
          <w:tcPr>
            <w:tcW w:w="2784" w:type="dxa"/>
          </w:tcPr>
          <w:p w14:paraId="3E4CD741" w14:textId="3A800DE4"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783FBCB7" w14:textId="77777777" w:rsidTr="00E458C5">
        <w:tc>
          <w:tcPr>
            <w:tcW w:w="6232" w:type="dxa"/>
          </w:tcPr>
          <w:p w14:paraId="6D094E40" w14:textId="7627812A" w:rsidR="008A3959" w:rsidRPr="004402EC" w:rsidRDefault="008A3959" w:rsidP="008A3959">
            <w:pPr>
              <w:rPr>
                <w:rFonts w:cstheme="minorHAnsi"/>
                <w:sz w:val="20"/>
                <w:szCs w:val="20"/>
                <w:lang w:val="en-US"/>
              </w:rPr>
            </w:pPr>
            <w:r w:rsidRPr="004402EC">
              <w:rPr>
                <w:rFonts w:cstheme="minorHAnsi"/>
                <w:sz w:val="20"/>
                <w:szCs w:val="20"/>
                <w:lang w:val="en-US"/>
              </w:rPr>
              <w:t xml:space="preserve">235. Goadsby PJ, Paemeleire K, Broessner G, Brandes J, Klatt J, Zhang F, Picard H, Lenz R, Mikol DD. Efficacy and safety of </w:t>
            </w:r>
            <w:r w:rsidR="00B41680">
              <w:rPr>
                <w:rFonts w:cstheme="minorHAnsi"/>
                <w:sz w:val="20"/>
                <w:szCs w:val="20"/>
                <w:lang w:val="en-US"/>
              </w:rPr>
              <w:t>E</w:t>
            </w:r>
            <w:r w:rsidRPr="004402EC">
              <w:rPr>
                <w:rFonts w:cstheme="minorHAnsi"/>
                <w:sz w:val="20"/>
                <w:szCs w:val="20"/>
                <w:lang w:val="en-US"/>
              </w:rPr>
              <w:t>renumab (AMG334) in episodic migraine patients with prior preventive treatment failure: a subgroup analysis of a randomized, double-blind, placebo-controlled study. Cephalalgia. 2019 Jun;39(7):817-26.</w:t>
            </w:r>
          </w:p>
        </w:tc>
        <w:tc>
          <w:tcPr>
            <w:tcW w:w="2784" w:type="dxa"/>
          </w:tcPr>
          <w:p w14:paraId="190BE43D" w14:textId="37E8C97D"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40547784" w14:textId="77777777" w:rsidTr="00E458C5">
        <w:tc>
          <w:tcPr>
            <w:tcW w:w="6232" w:type="dxa"/>
          </w:tcPr>
          <w:p w14:paraId="64256CE2" w14:textId="680541BA" w:rsidR="008A3959" w:rsidRPr="004402EC" w:rsidRDefault="008A3959" w:rsidP="008A3959">
            <w:pPr>
              <w:rPr>
                <w:rFonts w:cstheme="minorHAnsi"/>
                <w:sz w:val="20"/>
                <w:szCs w:val="20"/>
                <w:lang w:val="en-US"/>
              </w:rPr>
            </w:pPr>
            <w:r w:rsidRPr="004402EC">
              <w:rPr>
                <w:rFonts w:cstheme="minorHAnsi"/>
                <w:sz w:val="20"/>
                <w:szCs w:val="20"/>
                <w:lang w:val="en-US"/>
              </w:rPr>
              <w:t>236. Goadsby PJ, Dodick DW, Ailani J, Trugman JM, Finnegan M, Lu K, Szegedi A. Safety, tolerability, and efficacy of orally administered atogepant for the prevention of episodic migraine in adults: a double-blind, randomised phase 2b/3 trial. The Lancet Neurology. 2020 Sep 1;19(9):727-37.</w:t>
            </w:r>
          </w:p>
        </w:tc>
        <w:tc>
          <w:tcPr>
            <w:tcW w:w="2784" w:type="dxa"/>
          </w:tcPr>
          <w:p w14:paraId="0ACEF332" w14:textId="395B5F41"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38490AE5" w14:textId="77777777" w:rsidTr="00E458C5">
        <w:tc>
          <w:tcPr>
            <w:tcW w:w="6232" w:type="dxa"/>
          </w:tcPr>
          <w:p w14:paraId="16AFEFAD" w14:textId="1E177393" w:rsidR="008A3959" w:rsidRPr="004402EC" w:rsidRDefault="008A3959" w:rsidP="008A3959">
            <w:pPr>
              <w:rPr>
                <w:rFonts w:cstheme="minorHAnsi"/>
                <w:sz w:val="20"/>
                <w:szCs w:val="20"/>
                <w:lang w:val="en-US"/>
              </w:rPr>
            </w:pPr>
            <w:r w:rsidRPr="004402EC">
              <w:rPr>
                <w:rFonts w:cstheme="minorHAnsi"/>
                <w:sz w:val="20"/>
                <w:szCs w:val="20"/>
                <w:lang w:val="en-US"/>
              </w:rPr>
              <w:t>237. Rapoport A, Mauskop A, Diener HC, Schwalen S, Pfeil J. Long‐term migraine prevention with topiramate: open‐label extension of pivotal trials. Headache: The Journal of Head and Face Pain. 2006 Jul;46(7):1151-60.</w:t>
            </w:r>
          </w:p>
        </w:tc>
        <w:tc>
          <w:tcPr>
            <w:tcW w:w="2784" w:type="dxa"/>
          </w:tcPr>
          <w:p w14:paraId="768A721F" w14:textId="755C6336"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6D39E3AA" w14:textId="77777777" w:rsidTr="00E458C5">
        <w:tc>
          <w:tcPr>
            <w:tcW w:w="6232" w:type="dxa"/>
          </w:tcPr>
          <w:p w14:paraId="354EE91C" w14:textId="72BE1244" w:rsidR="008A3959" w:rsidRPr="004402EC" w:rsidRDefault="008A3959" w:rsidP="008A3959">
            <w:pPr>
              <w:rPr>
                <w:rFonts w:cstheme="minorHAnsi"/>
                <w:sz w:val="20"/>
                <w:szCs w:val="20"/>
                <w:lang w:val="en-US"/>
              </w:rPr>
            </w:pPr>
            <w:r w:rsidRPr="004402EC">
              <w:rPr>
                <w:rFonts w:cstheme="minorHAnsi"/>
                <w:sz w:val="20"/>
                <w:szCs w:val="20"/>
                <w:lang w:val="en-US"/>
              </w:rPr>
              <w:t>238. Lipton RB, Silberstein S, Dodick D, Cady R, Freitag F, Mathew N, Biondi DM, Ascher S, Olson WH, Hulihan J. Topiramate intervention to prevent transformation of episodic migraine: the topiramate INTREPID study. Cephalalgia. 2011 Jan;31(1):18-30.</w:t>
            </w:r>
          </w:p>
        </w:tc>
        <w:tc>
          <w:tcPr>
            <w:tcW w:w="2784" w:type="dxa"/>
          </w:tcPr>
          <w:p w14:paraId="2F51B92E" w14:textId="19F3B80B"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3B6C332B" w14:textId="77777777" w:rsidTr="00E458C5">
        <w:tc>
          <w:tcPr>
            <w:tcW w:w="6232" w:type="dxa"/>
          </w:tcPr>
          <w:p w14:paraId="53A64837" w14:textId="7AE61B3C" w:rsidR="008A3959" w:rsidRPr="004402EC" w:rsidRDefault="008A3959" w:rsidP="008A3959">
            <w:pPr>
              <w:rPr>
                <w:rFonts w:cstheme="minorHAnsi"/>
                <w:sz w:val="20"/>
                <w:szCs w:val="20"/>
                <w:lang w:val="en-US"/>
              </w:rPr>
            </w:pPr>
            <w:r w:rsidRPr="004402EC">
              <w:rPr>
                <w:rFonts w:cstheme="minorHAnsi"/>
                <w:sz w:val="20"/>
                <w:szCs w:val="20"/>
                <w:lang w:val="en-US"/>
              </w:rPr>
              <w:t xml:space="preserve">239. Ruff DD, Ford JH, Tockhorn‐Heidenreich A, Stauffer VL, Govindan S, Aurora SK, Terwindt GM, Goadsby PJ. Efficacy of </w:t>
            </w:r>
            <w:r w:rsidR="00B41680" w:rsidRPr="004402EC">
              <w:rPr>
                <w:rFonts w:cstheme="minorHAnsi"/>
                <w:sz w:val="20"/>
                <w:szCs w:val="20"/>
                <w:lang w:val="en-US"/>
              </w:rPr>
              <w:t>Galcanezumab</w:t>
            </w:r>
            <w:r w:rsidRPr="004402EC">
              <w:rPr>
                <w:rFonts w:cstheme="minorHAnsi"/>
                <w:sz w:val="20"/>
                <w:szCs w:val="20"/>
                <w:lang w:val="en-US"/>
              </w:rPr>
              <w:t xml:space="preserve"> in patients with episodic migraine and a history of preventive treatment failure: results from two global randomized clinical trials. European Journal of Neurology. 2020 Apr;27(4):609-18.</w:t>
            </w:r>
          </w:p>
        </w:tc>
        <w:tc>
          <w:tcPr>
            <w:tcW w:w="2784" w:type="dxa"/>
          </w:tcPr>
          <w:p w14:paraId="2D2D3C39" w14:textId="5134C22C"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3A16E465" w14:textId="77777777" w:rsidTr="00E458C5">
        <w:tc>
          <w:tcPr>
            <w:tcW w:w="6232" w:type="dxa"/>
          </w:tcPr>
          <w:p w14:paraId="33452A37" w14:textId="394482BF" w:rsidR="008A3959" w:rsidRPr="004402EC" w:rsidRDefault="008A3959" w:rsidP="008A3959">
            <w:pPr>
              <w:rPr>
                <w:rFonts w:cstheme="minorHAnsi"/>
                <w:sz w:val="20"/>
                <w:szCs w:val="20"/>
                <w:lang w:val="en-US"/>
              </w:rPr>
            </w:pPr>
            <w:r w:rsidRPr="004402EC">
              <w:rPr>
                <w:rFonts w:cstheme="minorHAnsi"/>
                <w:sz w:val="20"/>
                <w:szCs w:val="20"/>
                <w:lang w:val="en-US"/>
              </w:rPr>
              <w:t xml:space="preserve">240. Sakai F, Takeshima T, Tatsuoka Y, Hirata K, Lenz R, Wang Y, Cheng S, Hirama T, Mikol DD. A randomized phase 2 study of </w:t>
            </w:r>
            <w:r w:rsidR="00B41680">
              <w:rPr>
                <w:rFonts w:cstheme="minorHAnsi"/>
                <w:sz w:val="20"/>
                <w:szCs w:val="20"/>
                <w:lang w:val="en-US"/>
              </w:rPr>
              <w:t>E</w:t>
            </w:r>
            <w:r w:rsidRPr="004402EC">
              <w:rPr>
                <w:rFonts w:cstheme="minorHAnsi"/>
                <w:sz w:val="20"/>
                <w:szCs w:val="20"/>
                <w:lang w:val="en-US"/>
              </w:rPr>
              <w:t>renumab for the prevention of episodic migraine in Japanese adults. Headache: The Journal of Head and Face Pain. 2019 Nov;59(10):1731-42.</w:t>
            </w:r>
          </w:p>
        </w:tc>
        <w:tc>
          <w:tcPr>
            <w:tcW w:w="2784" w:type="dxa"/>
          </w:tcPr>
          <w:p w14:paraId="7F7156AB" w14:textId="4589F7BA"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40E07DEE" w14:textId="77777777" w:rsidTr="00E458C5">
        <w:tc>
          <w:tcPr>
            <w:tcW w:w="6232" w:type="dxa"/>
          </w:tcPr>
          <w:p w14:paraId="0C73CE15" w14:textId="2B2B1ADF" w:rsidR="008A3959" w:rsidRPr="004402EC" w:rsidRDefault="008A3959" w:rsidP="008A3959">
            <w:pPr>
              <w:rPr>
                <w:rFonts w:cstheme="minorHAnsi"/>
                <w:sz w:val="20"/>
                <w:szCs w:val="20"/>
                <w:lang w:val="en-US"/>
              </w:rPr>
            </w:pPr>
            <w:r w:rsidRPr="004402EC">
              <w:rPr>
                <w:rFonts w:cstheme="minorHAnsi"/>
                <w:sz w:val="20"/>
                <w:szCs w:val="20"/>
                <w:lang w:val="en-US"/>
              </w:rPr>
              <w:t xml:space="preserve">241. Sakai F, Ozeki A, Skljarevski V. Efficacy and safety of </w:t>
            </w:r>
            <w:r w:rsidR="00B41680" w:rsidRPr="004402EC">
              <w:rPr>
                <w:rFonts w:cstheme="minorHAnsi"/>
                <w:sz w:val="20"/>
                <w:szCs w:val="20"/>
                <w:lang w:val="en-US"/>
              </w:rPr>
              <w:t>Galcanezumab</w:t>
            </w:r>
            <w:r w:rsidRPr="004402EC">
              <w:rPr>
                <w:rFonts w:cstheme="minorHAnsi"/>
                <w:sz w:val="20"/>
                <w:szCs w:val="20"/>
                <w:lang w:val="en-US"/>
              </w:rPr>
              <w:t xml:space="preserve"> for prevention of migraine headache in Japanese patients with episodic migraine: a phase 2 randomized controlled clinical trial. Cephalalgia Reports. 2020 Jul 2;3:2515816320932573.</w:t>
            </w:r>
          </w:p>
        </w:tc>
        <w:tc>
          <w:tcPr>
            <w:tcW w:w="2784" w:type="dxa"/>
          </w:tcPr>
          <w:p w14:paraId="51B5A750" w14:textId="55B09A03"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5460D5AC" w14:textId="77777777" w:rsidTr="00E458C5">
        <w:tc>
          <w:tcPr>
            <w:tcW w:w="6232" w:type="dxa"/>
          </w:tcPr>
          <w:p w14:paraId="0DCBA86E" w14:textId="7404130C" w:rsidR="008A3959" w:rsidRPr="004402EC" w:rsidRDefault="008A3959" w:rsidP="008A3959">
            <w:pPr>
              <w:rPr>
                <w:rFonts w:cstheme="minorHAnsi"/>
                <w:sz w:val="20"/>
                <w:szCs w:val="20"/>
                <w:lang w:val="en-US"/>
              </w:rPr>
            </w:pPr>
            <w:r w:rsidRPr="004402EC">
              <w:rPr>
                <w:rFonts w:cstheme="minorHAnsi"/>
                <w:sz w:val="20"/>
                <w:szCs w:val="20"/>
                <w:lang w:val="en-US"/>
              </w:rPr>
              <w:t xml:space="preserve">242. Sakai F, Suzuki N, Kim BK, Tatsuoka Y, Imai N, Ning X, Ishida M, Nagano K, Iba K, Kondo H, Koga N. Efficacy and safety of </w:t>
            </w:r>
            <w:r w:rsidR="00B41680">
              <w:rPr>
                <w:rFonts w:cstheme="minorHAnsi"/>
                <w:sz w:val="20"/>
                <w:szCs w:val="20"/>
                <w:lang w:val="en-US"/>
              </w:rPr>
              <w:t>F</w:t>
            </w:r>
            <w:r w:rsidRPr="004402EC">
              <w:rPr>
                <w:rFonts w:cstheme="minorHAnsi"/>
                <w:sz w:val="20"/>
                <w:szCs w:val="20"/>
                <w:lang w:val="en-US"/>
              </w:rPr>
              <w:t>remanezumab for episodic migraine prevention: Multicenter, randomized, double‐blind, placebo‐controlled, parallel‐group trial in Japanese and Korean patients. Headache: The Journal of Head and Face Pain. 2021 Jul;61(7):1102-11.</w:t>
            </w:r>
          </w:p>
        </w:tc>
        <w:tc>
          <w:tcPr>
            <w:tcW w:w="2784" w:type="dxa"/>
          </w:tcPr>
          <w:p w14:paraId="590949CB" w14:textId="36C3F296"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06335EB8" w14:textId="77777777" w:rsidTr="00E458C5">
        <w:tc>
          <w:tcPr>
            <w:tcW w:w="6232" w:type="dxa"/>
          </w:tcPr>
          <w:p w14:paraId="7F8BA551" w14:textId="68748817" w:rsidR="008A3959" w:rsidRPr="004402EC" w:rsidRDefault="008A3959" w:rsidP="008A3959">
            <w:pPr>
              <w:rPr>
                <w:rFonts w:cstheme="minorHAnsi"/>
                <w:sz w:val="20"/>
                <w:szCs w:val="20"/>
                <w:lang w:val="en-US"/>
              </w:rPr>
            </w:pPr>
            <w:r w:rsidRPr="004402EC">
              <w:rPr>
                <w:rFonts w:cstheme="minorHAnsi"/>
                <w:sz w:val="20"/>
                <w:szCs w:val="20"/>
                <w:lang w:val="en-US"/>
              </w:rPr>
              <w:t xml:space="preserve">243. Sakai F, Takeshima T, Tatsuoka Y, Hirata K, Cheng S, Numachi Y, Peng C, Xue F, Mikol DD. Long‐term efficacy and safety during open‐label </w:t>
            </w:r>
            <w:r w:rsidR="00B41680">
              <w:rPr>
                <w:rFonts w:cstheme="minorHAnsi"/>
                <w:sz w:val="20"/>
                <w:szCs w:val="20"/>
                <w:lang w:val="en-US"/>
              </w:rPr>
              <w:t>E</w:t>
            </w:r>
            <w:r w:rsidRPr="004402EC">
              <w:rPr>
                <w:rFonts w:cstheme="minorHAnsi"/>
                <w:sz w:val="20"/>
                <w:szCs w:val="20"/>
                <w:lang w:val="en-US"/>
              </w:rPr>
              <w:t>renumab treatment in Japanese patients with episodic migraine. Headache: The Journal of Head and Face Pain. 2021 Apr;61(4):653-61.</w:t>
            </w:r>
          </w:p>
        </w:tc>
        <w:tc>
          <w:tcPr>
            <w:tcW w:w="2784" w:type="dxa"/>
          </w:tcPr>
          <w:p w14:paraId="2B520FC2" w14:textId="000FA451"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2072DF21" w14:textId="77777777" w:rsidTr="00E458C5">
        <w:tc>
          <w:tcPr>
            <w:tcW w:w="6232" w:type="dxa"/>
          </w:tcPr>
          <w:p w14:paraId="71DFA497" w14:textId="67223414" w:rsidR="008A3959" w:rsidRPr="004402EC" w:rsidRDefault="008A3959" w:rsidP="008A3959">
            <w:pPr>
              <w:rPr>
                <w:rFonts w:cstheme="minorHAnsi"/>
                <w:sz w:val="20"/>
                <w:szCs w:val="20"/>
                <w:lang w:val="en-US"/>
              </w:rPr>
            </w:pPr>
            <w:r w:rsidRPr="004402EC">
              <w:rPr>
                <w:rFonts w:cstheme="minorHAnsi"/>
                <w:sz w:val="20"/>
                <w:szCs w:val="20"/>
                <w:lang w:val="en-US"/>
              </w:rPr>
              <w:t>244. Smith TR, Janelidze M, Chakhava G, Cady R, Hirman J, Allan B, Pederson S, Smith J, Schaeffler B. Eptinezumab for the prevention of episodic migraine: sustained effect through 1 year of treatment in the PROMISE-1 study. Clinical therapeutics. 2020 Dec 1;42(12):2254-65.</w:t>
            </w:r>
          </w:p>
        </w:tc>
        <w:tc>
          <w:tcPr>
            <w:tcW w:w="2784" w:type="dxa"/>
          </w:tcPr>
          <w:p w14:paraId="2BBA2D91" w14:textId="02811377"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32514EFE" w14:textId="77777777" w:rsidTr="00E458C5">
        <w:tc>
          <w:tcPr>
            <w:tcW w:w="6232" w:type="dxa"/>
          </w:tcPr>
          <w:p w14:paraId="245B0354" w14:textId="601D491A" w:rsidR="008A3959" w:rsidRPr="004402EC" w:rsidRDefault="008A3959" w:rsidP="008A3959">
            <w:pPr>
              <w:rPr>
                <w:rFonts w:cstheme="minorHAnsi"/>
                <w:sz w:val="20"/>
                <w:szCs w:val="20"/>
                <w:lang w:val="en-US"/>
              </w:rPr>
            </w:pPr>
            <w:r w:rsidRPr="004402EC">
              <w:rPr>
                <w:rFonts w:cstheme="minorHAnsi"/>
                <w:sz w:val="20"/>
                <w:szCs w:val="20"/>
                <w:lang w:val="en-US"/>
              </w:rPr>
              <w:t xml:space="preserve">245. Spierings, E.L., Ning, X., Ramirez Campos, V., Cohen, J.M., Barash, S. and Buse, D.C., 2021. Improvements in quality of life and work productivity with up to 6 months of </w:t>
            </w:r>
            <w:r w:rsidR="00B41680">
              <w:rPr>
                <w:rFonts w:cstheme="minorHAnsi"/>
                <w:sz w:val="20"/>
                <w:szCs w:val="20"/>
                <w:lang w:val="en-US"/>
              </w:rPr>
              <w:t>F</w:t>
            </w:r>
            <w:r w:rsidRPr="004402EC">
              <w:rPr>
                <w:rFonts w:cstheme="minorHAnsi"/>
                <w:sz w:val="20"/>
                <w:szCs w:val="20"/>
                <w:lang w:val="en-US"/>
              </w:rPr>
              <w:t>remanezumab treatment in patients with episodic and chronic migraine and documented inadequate response to 2 to 4 classes of migraine‐preventive medications in the phase 3b FOCUS study. Headache: The Journal of Head and Face Pain, 61(9), pp.1376-1386.</w:t>
            </w:r>
          </w:p>
        </w:tc>
        <w:tc>
          <w:tcPr>
            <w:tcW w:w="2784" w:type="dxa"/>
          </w:tcPr>
          <w:p w14:paraId="529B7E83" w14:textId="54EF4596"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67E7E9D3" w14:textId="77777777" w:rsidTr="00E458C5">
        <w:tc>
          <w:tcPr>
            <w:tcW w:w="6232" w:type="dxa"/>
          </w:tcPr>
          <w:p w14:paraId="62590FAD" w14:textId="79D4D167" w:rsidR="008A3959" w:rsidRPr="004402EC" w:rsidRDefault="008A3959" w:rsidP="008A3959">
            <w:pPr>
              <w:rPr>
                <w:rFonts w:cstheme="minorHAnsi"/>
                <w:sz w:val="20"/>
                <w:szCs w:val="20"/>
                <w:lang w:val="en-US"/>
              </w:rPr>
            </w:pPr>
            <w:r w:rsidRPr="004402EC">
              <w:rPr>
                <w:rFonts w:cstheme="minorHAnsi"/>
                <w:sz w:val="20"/>
                <w:szCs w:val="20"/>
                <w:lang w:val="en-US"/>
              </w:rPr>
              <w:lastRenderedPageBreak/>
              <w:t xml:space="preserve">246. Stauffer VL, Dodick DW, Zhang Q, Carter JN, Ailani J, Conley RR. Evaluation of </w:t>
            </w:r>
            <w:r w:rsidR="00B41680" w:rsidRPr="004402EC">
              <w:rPr>
                <w:rFonts w:cstheme="minorHAnsi"/>
                <w:sz w:val="20"/>
                <w:szCs w:val="20"/>
                <w:lang w:val="en-US"/>
              </w:rPr>
              <w:t>Galcanezumab</w:t>
            </w:r>
            <w:r w:rsidRPr="004402EC">
              <w:rPr>
                <w:rFonts w:cstheme="minorHAnsi"/>
                <w:sz w:val="20"/>
                <w:szCs w:val="20"/>
                <w:lang w:val="en-US"/>
              </w:rPr>
              <w:t xml:space="preserve"> for the prevention of episodic migraine: the EVOLVE-1 randomized clinical trial. JAMA neurology. 2018 Sep 1;75(9):1080-8.</w:t>
            </w:r>
          </w:p>
        </w:tc>
        <w:tc>
          <w:tcPr>
            <w:tcW w:w="2784" w:type="dxa"/>
          </w:tcPr>
          <w:p w14:paraId="0DBB5CE8" w14:textId="06BAEC7B"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0C490DD4" w14:textId="77777777" w:rsidTr="00E458C5">
        <w:tc>
          <w:tcPr>
            <w:tcW w:w="6232" w:type="dxa"/>
          </w:tcPr>
          <w:p w14:paraId="28ACD3BE" w14:textId="626C30AD" w:rsidR="008A3959" w:rsidRPr="004402EC" w:rsidRDefault="008A3959" w:rsidP="008A3959">
            <w:pPr>
              <w:rPr>
                <w:rFonts w:cstheme="minorHAnsi"/>
                <w:sz w:val="20"/>
                <w:szCs w:val="20"/>
                <w:lang w:val="en-US"/>
              </w:rPr>
            </w:pPr>
            <w:r w:rsidRPr="004402EC">
              <w:rPr>
                <w:rFonts w:cstheme="minorHAnsi"/>
                <w:sz w:val="20"/>
                <w:szCs w:val="20"/>
                <w:lang w:val="en-US"/>
              </w:rPr>
              <w:t xml:space="preserve">247. Stauffer VL, Wang S, Voulgaropoulos M, Skljarevski V, Kovacik A, </w:t>
            </w:r>
            <w:proofErr w:type="gramStart"/>
            <w:r w:rsidRPr="004402EC">
              <w:rPr>
                <w:rFonts w:cstheme="minorHAnsi"/>
                <w:sz w:val="20"/>
                <w:szCs w:val="20"/>
                <w:lang w:val="en-US"/>
              </w:rPr>
              <w:t>Aurora</w:t>
            </w:r>
            <w:proofErr w:type="gramEnd"/>
            <w:r w:rsidRPr="004402EC">
              <w:rPr>
                <w:rFonts w:cstheme="minorHAnsi"/>
                <w:sz w:val="20"/>
                <w:szCs w:val="20"/>
                <w:lang w:val="en-US"/>
              </w:rPr>
              <w:t xml:space="preserve"> SK. Effect of </w:t>
            </w:r>
            <w:r w:rsidR="00B41680" w:rsidRPr="004402EC">
              <w:rPr>
                <w:rFonts w:cstheme="minorHAnsi"/>
                <w:sz w:val="20"/>
                <w:szCs w:val="20"/>
                <w:lang w:val="en-US"/>
              </w:rPr>
              <w:t>Galcanezumab</w:t>
            </w:r>
            <w:r w:rsidRPr="004402EC">
              <w:rPr>
                <w:rFonts w:cstheme="minorHAnsi"/>
                <w:sz w:val="20"/>
                <w:szCs w:val="20"/>
                <w:lang w:val="en-US"/>
              </w:rPr>
              <w:t xml:space="preserve"> following treatment cessation in patients with migraine: results from 2 randomized phase 3 trials. Headache: The Journal of Head and Face Pain. 2019 Jun;59(6):834-47.</w:t>
            </w:r>
          </w:p>
        </w:tc>
        <w:tc>
          <w:tcPr>
            <w:tcW w:w="2784" w:type="dxa"/>
          </w:tcPr>
          <w:p w14:paraId="0943E230" w14:textId="4C5456D1"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642D681A" w14:textId="77777777" w:rsidTr="00E458C5">
        <w:tc>
          <w:tcPr>
            <w:tcW w:w="6232" w:type="dxa"/>
          </w:tcPr>
          <w:p w14:paraId="1CC27B5F" w14:textId="18F0A0CA" w:rsidR="008A3959" w:rsidRPr="004402EC" w:rsidRDefault="008A3959" w:rsidP="008A3959">
            <w:pPr>
              <w:rPr>
                <w:rFonts w:cstheme="minorHAnsi"/>
                <w:sz w:val="20"/>
                <w:szCs w:val="20"/>
                <w:lang w:val="en-US"/>
              </w:rPr>
            </w:pPr>
            <w:r w:rsidRPr="004402EC">
              <w:rPr>
                <w:rFonts w:cstheme="minorHAnsi"/>
                <w:sz w:val="20"/>
                <w:szCs w:val="20"/>
                <w:lang w:val="en-US"/>
              </w:rPr>
              <w:t>248. Silberstein SD, Loder E, Forde G, Papadopoulos G, Fairclough D, Greenberg S. The impact of migraine on daily activities: effect of topiramate compared with placebo. Current medical research and opinion. 2006 Jun 1;22(6):1021-9.</w:t>
            </w:r>
          </w:p>
        </w:tc>
        <w:tc>
          <w:tcPr>
            <w:tcW w:w="2784" w:type="dxa"/>
          </w:tcPr>
          <w:p w14:paraId="6C03ADBF" w14:textId="2085E04E"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36321796" w14:textId="77777777" w:rsidTr="00E458C5">
        <w:tc>
          <w:tcPr>
            <w:tcW w:w="6232" w:type="dxa"/>
          </w:tcPr>
          <w:p w14:paraId="39F5F32C" w14:textId="3C6F9118" w:rsidR="008A3959" w:rsidRPr="004402EC" w:rsidRDefault="008A3959" w:rsidP="008A3959">
            <w:pPr>
              <w:rPr>
                <w:rFonts w:cstheme="minorHAnsi"/>
                <w:sz w:val="20"/>
                <w:szCs w:val="20"/>
                <w:lang w:val="en-US"/>
              </w:rPr>
            </w:pPr>
            <w:r w:rsidRPr="004402EC">
              <w:rPr>
                <w:rFonts w:cstheme="minorHAnsi"/>
                <w:sz w:val="20"/>
                <w:szCs w:val="20"/>
                <w:lang w:val="en-US"/>
              </w:rPr>
              <w:t>249. Silberstein S, Goode-Sellers S, Twomey C, Saiers J, Ascher J. Randomized, double-blind, placebo-controlled, phase II trial of gabapentin enacarbil for migraine prophylaxis. Cephalalgia. 2013 Jan;33(2):101-11.</w:t>
            </w:r>
          </w:p>
        </w:tc>
        <w:tc>
          <w:tcPr>
            <w:tcW w:w="2784" w:type="dxa"/>
          </w:tcPr>
          <w:p w14:paraId="2B7EAFFC" w14:textId="5A18E654"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1356A12A" w14:textId="77777777" w:rsidTr="00E458C5">
        <w:tc>
          <w:tcPr>
            <w:tcW w:w="6232" w:type="dxa"/>
          </w:tcPr>
          <w:p w14:paraId="4E17F2FD" w14:textId="337827C7" w:rsidR="008A3959" w:rsidRPr="004402EC" w:rsidRDefault="008A3959" w:rsidP="008A3959">
            <w:pPr>
              <w:rPr>
                <w:rFonts w:cstheme="minorHAnsi"/>
                <w:sz w:val="20"/>
                <w:szCs w:val="20"/>
                <w:lang w:val="en-US"/>
              </w:rPr>
            </w:pPr>
            <w:r w:rsidRPr="004402EC">
              <w:rPr>
                <w:rFonts w:cstheme="minorHAnsi"/>
                <w:sz w:val="20"/>
                <w:szCs w:val="20"/>
                <w:lang w:val="en-US"/>
              </w:rPr>
              <w:t xml:space="preserve">250. Tatsuoka Y, Takeshima T, Ozeki A, Matsumura T. Treatment satisfaction of </w:t>
            </w:r>
            <w:r w:rsidR="00B41680" w:rsidRPr="004402EC">
              <w:rPr>
                <w:rFonts w:cstheme="minorHAnsi"/>
                <w:sz w:val="20"/>
                <w:szCs w:val="20"/>
                <w:lang w:val="en-US"/>
              </w:rPr>
              <w:t>Galcanezumab</w:t>
            </w:r>
            <w:r w:rsidRPr="004402EC">
              <w:rPr>
                <w:rFonts w:cstheme="minorHAnsi"/>
                <w:sz w:val="20"/>
                <w:szCs w:val="20"/>
                <w:lang w:val="en-US"/>
              </w:rPr>
              <w:t xml:space="preserve"> in Japanese patients with episodic migraine: a phase 2 randomized controlled study. Neurology and Therapy. 2021 Jun;10:265-78.</w:t>
            </w:r>
          </w:p>
        </w:tc>
        <w:tc>
          <w:tcPr>
            <w:tcW w:w="2784" w:type="dxa"/>
          </w:tcPr>
          <w:p w14:paraId="07D1B698" w14:textId="60AC9B37"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2436341D" w14:textId="77777777" w:rsidTr="00E458C5">
        <w:tc>
          <w:tcPr>
            <w:tcW w:w="6232" w:type="dxa"/>
          </w:tcPr>
          <w:p w14:paraId="55DB467B" w14:textId="05B20B3C" w:rsidR="008A3959" w:rsidRPr="004402EC" w:rsidRDefault="008A3959" w:rsidP="008A3959">
            <w:pPr>
              <w:rPr>
                <w:rFonts w:cstheme="minorHAnsi"/>
                <w:sz w:val="20"/>
                <w:szCs w:val="20"/>
                <w:lang w:val="en-US"/>
              </w:rPr>
            </w:pPr>
            <w:r w:rsidRPr="004402EC">
              <w:rPr>
                <w:rFonts w:cstheme="minorHAnsi"/>
                <w:sz w:val="20"/>
                <w:szCs w:val="20"/>
                <w:lang w:val="en-US"/>
              </w:rPr>
              <w:t xml:space="preserve">251. Oakes, T.M., Kovacs, R., Rosen, N., Doty, E., Kemmer, P., Aurora, S.K. and Camporeale, A., 2020. Evaluation of cardiovascular outcomes in adult patients with episodic or chronic migraine treated with </w:t>
            </w:r>
            <w:r w:rsidR="00B41680" w:rsidRPr="004402EC">
              <w:rPr>
                <w:rFonts w:cstheme="minorHAnsi"/>
                <w:sz w:val="20"/>
                <w:szCs w:val="20"/>
                <w:lang w:val="en-US"/>
              </w:rPr>
              <w:t>Galcanezumab</w:t>
            </w:r>
            <w:r w:rsidRPr="004402EC">
              <w:rPr>
                <w:rFonts w:cstheme="minorHAnsi"/>
                <w:sz w:val="20"/>
                <w:szCs w:val="20"/>
                <w:lang w:val="en-US"/>
              </w:rPr>
              <w:t>: data from three phase 3, randomized, double‐blind, placebo‐controlled EVOLVE‐1, EVOLVE‐2, and REGAIN studies. Headache: The Journal of Head and Face Pain, 60(1), pp.110-123.</w:t>
            </w:r>
          </w:p>
        </w:tc>
        <w:tc>
          <w:tcPr>
            <w:tcW w:w="2784" w:type="dxa"/>
          </w:tcPr>
          <w:p w14:paraId="582BD278" w14:textId="2556C4F8"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558390E7" w14:textId="77777777" w:rsidTr="00E458C5">
        <w:tc>
          <w:tcPr>
            <w:tcW w:w="6232" w:type="dxa"/>
          </w:tcPr>
          <w:p w14:paraId="6C7AFB90" w14:textId="4AFCF588" w:rsidR="008A3959" w:rsidRPr="004402EC" w:rsidRDefault="008A3959" w:rsidP="008A3959">
            <w:pPr>
              <w:rPr>
                <w:rFonts w:cstheme="minorHAnsi"/>
                <w:sz w:val="20"/>
                <w:szCs w:val="20"/>
                <w:lang w:val="en-US"/>
              </w:rPr>
            </w:pPr>
            <w:r w:rsidRPr="004402EC">
              <w:rPr>
                <w:rFonts w:cstheme="minorHAnsi"/>
                <w:sz w:val="20"/>
                <w:szCs w:val="20"/>
                <w:lang w:val="en-US"/>
              </w:rPr>
              <w:t xml:space="preserve">252. Oakes TM, Skljarevski V, Zhang Q, Kielbasa W, Hodsdon ME, Detke HC, Camporeale A, Saper JR. Safety of </w:t>
            </w:r>
            <w:r w:rsidR="00B41680" w:rsidRPr="004402EC">
              <w:rPr>
                <w:rFonts w:cstheme="minorHAnsi"/>
                <w:sz w:val="20"/>
                <w:szCs w:val="20"/>
                <w:lang w:val="en-US"/>
              </w:rPr>
              <w:t>Galcanezumab</w:t>
            </w:r>
            <w:r w:rsidRPr="004402EC">
              <w:rPr>
                <w:rFonts w:cstheme="minorHAnsi"/>
                <w:sz w:val="20"/>
                <w:szCs w:val="20"/>
                <w:lang w:val="en-US"/>
              </w:rPr>
              <w:t xml:space="preserve"> in patients with episodic migraine: a randomized placebo-controlled dose-ranging phase 2b study. Cephalalgia. 2018 May;38(6):1015-25.</w:t>
            </w:r>
          </w:p>
        </w:tc>
        <w:tc>
          <w:tcPr>
            <w:tcW w:w="2784" w:type="dxa"/>
          </w:tcPr>
          <w:p w14:paraId="4511C371" w14:textId="325DE691"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61563FD2" w14:textId="77777777" w:rsidTr="00E458C5">
        <w:tc>
          <w:tcPr>
            <w:tcW w:w="6232" w:type="dxa"/>
          </w:tcPr>
          <w:p w14:paraId="058249E2" w14:textId="638B1271" w:rsidR="008A3959" w:rsidRPr="004402EC" w:rsidRDefault="008A3959" w:rsidP="008A3959">
            <w:pPr>
              <w:rPr>
                <w:rFonts w:cstheme="minorHAnsi"/>
                <w:sz w:val="20"/>
                <w:szCs w:val="20"/>
                <w:lang w:val="en-US"/>
              </w:rPr>
            </w:pPr>
            <w:r w:rsidRPr="004402EC">
              <w:rPr>
                <w:rFonts w:cstheme="minorHAnsi"/>
                <w:sz w:val="20"/>
                <w:szCs w:val="20"/>
                <w:lang w:val="en-US"/>
              </w:rPr>
              <w:t>253. Schwedt TJ, Lipton RB, Ailani J, Silberstein SD, Tassorelli C, Guo H, Lu K, Dabruzzo B, Miceli R, Severt L, Finnegan M. Time course of efficacy of atogepant for the preventive treatment of migraine: results from the randomized, double-blind ADVANCE trial. Cephalalgia. 2022 Jan;42(1):3-11.</w:t>
            </w:r>
          </w:p>
        </w:tc>
        <w:tc>
          <w:tcPr>
            <w:tcW w:w="2784" w:type="dxa"/>
          </w:tcPr>
          <w:p w14:paraId="725927BC" w14:textId="5ED3132B"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7490C8BB" w14:textId="77777777" w:rsidTr="00E458C5">
        <w:tc>
          <w:tcPr>
            <w:tcW w:w="6232" w:type="dxa"/>
          </w:tcPr>
          <w:p w14:paraId="71AA4413" w14:textId="51A18BF9" w:rsidR="008A3959" w:rsidRPr="004402EC" w:rsidRDefault="008A3959" w:rsidP="008A3959">
            <w:pPr>
              <w:rPr>
                <w:rFonts w:cstheme="minorHAnsi"/>
                <w:sz w:val="20"/>
                <w:szCs w:val="20"/>
                <w:lang w:val="en-US"/>
              </w:rPr>
            </w:pPr>
            <w:r w:rsidRPr="004402EC">
              <w:rPr>
                <w:rFonts w:cstheme="minorHAnsi"/>
                <w:sz w:val="20"/>
                <w:szCs w:val="20"/>
                <w:lang w:val="en-US"/>
              </w:rPr>
              <w:t xml:space="preserve">254. Reuter U, Goadsby PJ, Lanteri-Minet M, Wen S, Hours-Zesiger P, Ferrari MD, Klatt J. Efficacy and tolerability of </w:t>
            </w:r>
            <w:r w:rsidR="00B41680">
              <w:rPr>
                <w:rFonts w:cstheme="minorHAnsi"/>
                <w:sz w:val="20"/>
                <w:szCs w:val="20"/>
                <w:lang w:val="en-US"/>
              </w:rPr>
              <w:t>E</w:t>
            </w:r>
            <w:r w:rsidRPr="004402EC">
              <w:rPr>
                <w:rFonts w:cstheme="minorHAnsi"/>
                <w:sz w:val="20"/>
                <w:szCs w:val="20"/>
                <w:lang w:val="en-US"/>
              </w:rPr>
              <w:t>renumab in patients with episodic migraine in whom two-to-four previous preventive treatments were unsuccessful: a randomised, double-blind, placebo-controlled, phase 3b study. The Lancet. 2018 Nov 24;392(10161):2280-7.</w:t>
            </w:r>
          </w:p>
        </w:tc>
        <w:tc>
          <w:tcPr>
            <w:tcW w:w="2784" w:type="dxa"/>
          </w:tcPr>
          <w:p w14:paraId="2C027009" w14:textId="78D2A3EA"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10C291F7" w14:textId="77777777" w:rsidTr="00E458C5">
        <w:tc>
          <w:tcPr>
            <w:tcW w:w="6232" w:type="dxa"/>
          </w:tcPr>
          <w:p w14:paraId="6287EDFD" w14:textId="66A36111" w:rsidR="008A3959" w:rsidRPr="004402EC" w:rsidRDefault="008A3959" w:rsidP="008A3959">
            <w:pPr>
              <w:rPr>
                <w:rFonts w:cstheme="minorHAnsi"/>
                <w:sz w:val="20"/>
                <w:szCs w:val="20"/>
                <w:lang w:val="en-US"/>
              </w:rPr>
            </w:pPr>
            <w:r w:rsidRPr="004402EC">
              <w:rPr>
                <w:rFonts w:cstheme="minorHAnsi"/>
                <w:sz w:val="20"/>
                <w:szCs w:val="20"/>
                <w:lang w:val="en-US"/>
              </w:rPr>
              <w:t>255. Reuter U, Ehrlich M, Gendolla A, Heinze A, Klatt J, Wen S, Hours-Zesiger P, Nickisch J, Sieder C, Hentschke C, Maier-Peuschel M. Erenumab versus topiramate for the prevention of migraine–a randomised, double-blind, active-controlled phase 4 trial. Cephalalgia. 2022 Feb;42(2):108-18.</w:t>
            </w:r>
          </w:p>
        </w:tc>
        <w:tc>
          <w:tcPr>
            <w:tcW w:w="2784" w:type="dxa"/>
          </w:tcPr>
          <w:p w14:paraId="13C1E6DE" w14:textId="7B6EA032"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52C9AF26" w14:textId="77777777" w:rsidTr="00E458C5">
        <w:tc>
          <w:tcPr>
            <w:tcW w:w="6232" w:type="dxa"/>
          </w:tcPr>
          <w:p w14:paraId="15E6C76D" w14:textId="7E16E4E2" w:rsidR="008A3959" w:rsidRPr="004402EC" w:rsidRDefault="008A3959" w:rsidP="008A3959">
            <w:pPr>
              <w:rPr>
                <w:rFonts w:cstheme="minorHAnsi"/>
                <w:sz w:val="20"/>
                <w:szCs w:val="20"/>
                <w:lang w:val="en-US"/>
              </w:rPr>
            </w:pPr>
            <w:r w:rsidRPr="004402EC">
              <w:rPr>
                <w:rFonts w:cstheme="minorHAnsi"/>
                <w:sz w:val="20"/>
                <w:szCs w:val="20"/>
                <w:lang w:val="en-US"/>
              </w:rPr>
              <w:t xml:space="preserve">256. Skljarevski V, Matharu M, Millen BA, Ossipov MH, Kim BK, Yang JY. Efficacy and safety of </w:t>
            </w:r>
            <w:r w:rsidR="00B41680" w:rsidRPr="004402EC">
              <w:rPr>
                <w:rFonts w:cstheme="minorHAnsi"/>
                <w:sz w:val="20"/>
                <w:szCs w:val="20"/>
                <w:lang w:val="en-US"/>
              </w:rPr>
              <w:t>Galcanezumab</w:t>
            </w:r>
            <w:r w:rsidRPr="004402EC">
              <w:rPr>
                <w:rFonts w:cstheme="minorHAnsi"/>
                <w:sz w:val="20"/>
                <w:szCs w:val="20"/>
                <w:lang w:val="en-US"/>
              </w:rPr>
              <w:t xml:space="preserve"> for the prevention of episodic migraine: results of the EVOLVE-2 phase 3 randomized controlled clinical trial. Cephalalgia. 2018 Jul;38(8):1442-54.</w:t>
            </w:r>
          </w:p>
        </w:tc>
        <w:tc>
          <w:tcPr>
            <w:tcW w:w="2784" w:type="dxa"/>
          </w:tcPr>
          <w:p w14:paraId="517D6648" w14:textId="11B1E4A3"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6F2AEDAB" w14:textId="77777777" w:rsidTr="00E458C5">
        <w:tc>
          <w:tcPr>
            <w:tcW w:w="6232" w:type="dxa"/>
          </w:tcPr>
          <w:p w14:paraId="402B94A1" w14:textId="71353988" w:rsidR="008A3959" w:rsidRPr="004402EC" w:rsidRDefault="008A3959" w:rsidP="008A3959">
            <w:pPr>
              <w:rPr>
                <w:rFonts w:cstheme="minorHAnsi"/>
                <w:sz w:val="20"/>
                <w:szCs w:val="20"/>
                <w:lang w:val="en-US"/>
              </w:rPr>
            </w:pPr>
            <w:r w:rsidRPr="004402EC">
              <w:rPr>
                <w:rFonts w:cstheme="minorHAnsi"/>
                <w:sz w:val="20"/>
                <w:szCs w:val="20"/>
                <w:lang w:val="en-US"/>
              </w:rPr>
              <w:t xml:space="preserve">257. Wang SJ, Roxas Jr AA, Saravia B, Kim BK, Chowdhury D, Riachi N, Tai ML, Tanprawate S, Ngoc TT, Zhao YJ, Mikol DD. Randomised, controlled trial of </w:t>
            </w:r>
            <w:r w:rsidR="00B41680">
              <w:rPr>
                <w:rFonts w:cstheme="minorHAnsi"/>
                <w:sz w:val="20"/>
                <w:szCs w:val="20"/>
                <w:lang w:val="en-US"/>
              </w:rPr>
              <w:t>E</w:t>
            </w:r>
            <w:r w:rsidRPr="004402EC">
              <w:rPr>
                <w:rFonts w:cstheme="minorHAnsi"/>
                <w:sz w:val="20"/>
                <w:szCs w:val="20"/>
                <w:lang w:val="en-US"/>
              </w:rPr>
              <w:t>renumab for the prevention of episodic migraine in patients from Asia, the Middle East, and Latin America: The EMPOwER study. Cephalalgia. 2021 Nov;41(13):1285-97.</w:t>
            </w:r>
          </w:p>
        </w:tc>
        <w:tc>
          <w:tcPr>
            <w:tcW w:w="2784" w:type="dxa"/>
          </w:tcPr>
          <w:p w14:paraId="62F1BEA0" w14:textId="0B99751B"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0CC3CDEA" w14:textId="77777777" w:rsidTr="00E458C5">
        <w:tc>
          <w:tcPr>
            <w:tcW w:w="6232" w:type="dxa"/>
          </w:tcPr>
          <w:p w14:paraId="670F5587" w14:textId="735261F1" w:rsidR="008A3959" w:rsidRPr="004402EC" w:rsidRDefault="008A3959" w:rsidP="008A3959">
            <w:pPr>
              <w:rPr>
                <w:rFonts w:cstheme="minorHAnsi"/>
                <w:sz w:val="20"/>
                <w:szCs w:val="20"/>
                <w:lang w:val="en-US"/>
              </w:rPr>
            </w:pPr>
            <w:r w:rsidRPr="004402EC">
              <w:rPr>
                <w:rFonts w:cstheme="minorHAnsi"/>
                <w:sz w:val="20"/>
                <w:szCs w:val="20"/>
                <w:lang w:val="en-US"/>
              </w:rPr>
              <w:t xml:space="preserve">258. Yang CP, Chang MH, Li TC, Hsieh CL, Hwang KL, Chang HH. Predicting prognostic factors in a randomized controlled trial of acupuncture versus topiramate treatment in patients with chronic migraine. The Clinical </w:t>
            </w:r>
            <w:r w:rsidRPr="004402EC">
              <w:rPr>
                <w:rFonts w:cstheme="minorHAnsi"/>
                <w:sz w:val="20"/>
                <w:szCs w:val="20"/>
                <w:lang w:val="en-US"/>
              </w:rPr>
              <w:lastRenderedPageBreak/>
              <w:t>Journal of Pain. 2013 Nov 1;29(11):982-7.</w:t>
            </w:r>
          </w:p>
        </w:tc>
        <w:tc>
          <w:tcPr>
            <w:tcW w:w="2784" w:type="dxa"/>
          </w:tcPr>
          <w:p w14:paraId="52511C9E" w14:textId="6BF7E19C" w:rsidR="008A3959" w:rsidRPr="004402EC" w:rsidRDefault="008A3959" w:rsidP="008A3959">
            <w:pPr>
              <w:rPr>
                <w:rFonts w:cstheme="minorHAnsi"/>
                <w:sz w:val="20"/>
                <w:szCs w:val="20"/>
                <w:lang w:val="en-US"/>
              </w:rPr>
            </w:pPr>
            <w:r w:rsidRPr="004402EC">
              <w:rPr>
                <w:rFonts w:cstheme="minorHAnsi"/>
                <w:sz w:val="20"/>
                <w:szCs w:val="20"/>
                <w:lang w:val="en-US"/>
              </w:rPr>
              <w:lastRenderedPageBreak/>
              <w:t>Episodic migraine</w:t>
            </w:r>
          </w:p>
        </w:tc>
      </w:tr>
      <w:tr w:rsidR="008A3959" w:rsidRPr="004402EC" w14:paraId="155EF747" w14:textId="77777777" w:rsidTr="00E458C5">
        <w:tc>
          <w:tcPr>
            <w:tcW w:w="6232" w:type="dxa"/>
          </w:tcPr>
          <w:p w14:paraId="23CF9A58" w14:textId="18D7A7D6" w:rsidR="008A3959" w:rsidRPr="004402EC" w:rsidRDefault="008A3959" w:rsidP="008A3959">
            <w:pPr>
              <w:rPr>
                <w:rFonts w:cstheme="minorHAnsi"/>
                <w:sz w:val="20"/>
                <w:szCs w:val="20"/>
                <w:lang w:val="en-US"/>
              </w:rPr>
            </w:pPr>
            <w:r w:rsidRPr="004402EC">
              <w:rPr>
                <w:rFonts w:cstheme="minorHAnsi"/>
                <w:sz w:val="20"/>
                <w:szCs w:val="20"/>
                <w:lang w:val="en-US"/>
              </w:rPr>
              <w:lastRenderedPageBreak/>
              <w:t>259. Fazlalizadeh H, Khamseh F, Soleimani B, Tajik A. Comparative study of topiramate versus sodium valproate in the prevention of migraine headaches. Medical Sciences Journal of Islamic Azad University. 2009;19(2).</w:t>
            </w:r>
          </w:p>
        </w:tc>
        <w:tc>
          <w:tcPr>
            <w:tcW w:w="2784" w:type="dxa"/>
          </w:tcPr>
          <w:p w14:paraId="6E60DF2F" w14:textId="40B19757"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1D295EB9" w14:textId="77777777" w:rsidTr="00E458C5">
        <w:tc>
          <w:tcPr>
            <w:tcW w:w="6232" w:type="dxa"/>
          </w:tcPr>
          <w:p w14:paraId="67EA70F6" w14:textId="21ECFD5C" w:rsidR="008A3959" w:rsidRPr="004402EC" w:rsidRDefault="008A3959" w:rsidP="008A3959">
            <w:pPr>
              <w:rPr>
                <w:rFonts w:cstheme="minorHAnsi"/>
                <w:sz w:val="20"/>
                <w:szCs w:val="20"/>
                <w:lang w:val="en-US"/>
              </w:rPr>
            </w:pPr>
            <w:r w:rsidRPr="004402EC">
              <w:rPr>
                <w:rFonts w:cstheme="minorHAnsi"/>
                <w:sz w:val="20"/>
                <w:szCs w:val="20"/>
                <w:lang w:val="en-US"/>
              </w:rPr>
              <w:t>260. Brandes JL, Kudrow DB, Rothrock JF, Rupnow MF, Fairclough DL, Greenberg SJ. Assessing the ability of topiramate to improve the daily activities of patients with migraine. In</w:t>
            </w:r>
            <w:r w:rsidR="00B41680">
              <w:rPr>
                <w:rFonts w:cstheme="minorHAnsi"/>
                <w:sz w:val="20"/>
                <w:szCs w:val="20"/>
                <w:lang w:val="en-US"/>
              </w:rPr>
              <w:t xml:space="preserve"> </w:t>
            </w:r>
            <w:r w:rsidRPr="004402EC">
              <w:rPr>
                <w:rFonts w:cstheme="minorHAnsi"/>
                <w:sz w:val="20"/>
                <w:szCs w:val="20"/>
                <w:lang w:val="en-US"/>
              </w:rPr>
              <w:t>Mayo Clinic Proceedings 2006 Oct 1 (Vol. 81, No. 10, pp. 1311-1319). Elsevier.</w:t>
            </w:r>
          </w:p>
        </w:tc>
        <w:tc>
          <w:tcPr>
            <w:tcW w:w="2784" w:type="dxa"/>
          </w:tcPr>
          <w:p w14:paraId="27FC828F" w14:textId="51E340A1"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292D6BDA" w14:textId="77777777" w:rsidTr="00E458C5">
        <w:tc>
          <w:tcPr>
            <w:tcW w:w="6232" w:type="dxa"/>
          </w:tcPr>
          <w:p w14:paraId="6CE6B6BA" w14:textId="00AC1AA8" w:rsidR="008A3959" w:rsidRPr="004402EC" w:rsidRDefault="008A3959" w:rsidP="008A3959">
            <w:pPr>
              <w:rPr>
                <w:rFonts w:cstheme="minorHAnsi"/>
                <w:sz w:val="20"/>
                <w:szCs w:val="20"/>
                <w:lang w:val="en-US"/>
              </w:rPr>
            </w:pPr>
            <w:r w:rsidRPr="004402EC">
              <w:rPr>
                <w:rFonts w:cstheme="minorHAnsi"/>
                <w:sz w:val="20"/>
                <w:szCs w:val="20"/>
                <w:lang w:val="en-US"/>
              </w:rPr>
              <w:t>261. Diamond S, Kudrow L, Stevens J, Shapiro DB. Long‐term study of propranolol in the treatment of migraine. Headache: The Journal of Head and Face Pain. 1982 Nov;22(6):268-71.</w:t>
            </w:r>
          </w:p>
        </w:tc>
        <w:tc>
          <w:tcPr>
            <w:tcW w:w="2784" w:type="dxa"/>
          </w:tcPr>
          <w:p w14:paraId="69FCFAC6" w14:textId="7A940F2C"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3D7E62F8" w14:textId="77777777" w:rsidTr="00E458C5">
        <w:tc>
          <w:tcPr>
            <w:tcW w:w="6232" w:type="dxa"/>
          </w:tcPr>
          <w:p w14:paraId="17855BE3" w14:textId="29CC673F" w:rsidR="008A3959" w:rsidRPr="004402EC" w:rsidRDefault="008A3959" w:rsidP="008A3959">
            <w:pPr>
              <w:rPr>
                <w:rFonts w:cstheme="minorHAnsi"/>
                <w:sz w:val="20"/>
                <w:szCs w:val="20"/>
                <w:lang w:val="en-US"/>
              </w:rPr>
            </w:pPr>
            <w:r w:rsidRPr="004402EC">
              <w:rPr>
                <w:rFonts w:cstheme="minorHAnsi"/>
                <w:sz w:val="20"/>
                <w:szCs w:val="20"/>
                <w:lang w:val="en-US"/>
              </w:rPr>
              <w:t>262. Diener HC, Agosti R, Allais G, Bergmans P, Bussone G, Davies B, Ertas M, Lanteri-Minet M, Reuter U, Del Río MS, Schoenen J. Cessation versus continuation of 6-month migraine preventive therapy with topiramate (PROMPT): a randomised, double-blind, placebo-controlled trial. The Lancet Neurology. 2007 Dec 1;6(12):1054-62.</w:t>
            </w:r>
          </w:p>
        </w:tc>
        <w:tc>
          <w:tcPr>
            <w:tcW w:w="2784" w:type="dxa"/>
          </w:tcPr>
          <w:p w14:paraId="7222D626" w14:textId="5A549AEF"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1CB5FF8A" w14:textId="77777777" w:rsidTr="00E458C5">
        <w:tc>
          <w:tcPr>
            <w:tcW w:w="6232" w:type="dxa"/>
          </w:tcPr>
          <w:p w14:paraId="50CF94FB" w14:textId="638317BF" w:rsidR="008A3959" w:rsidRPr="004402EC" w:rsidRDefault="008A3959" w:rsidP="008A3959">
            <w:pPr>
              <w:rPr>
                <w:rFonts w:cstheme="minorHAnsi"/>
                <w:sz w:val="20"/>
                <w:szCs w:val="20"/>
                <w:lang w:val="en-US"/>
              </w:rPr>
            </w:pPr>
            <w:r w:rsidRPr="004402EC">
              <w:rPr>
                <w:rFonts w:cstheme="minorHAnsi"/>
                <w:sz w:val="20"/>
                <w:szCs w:val="20"/>
                <w:lang w:val="en-US"/>
              </w:rPr>
              <w:t>263. Elkind AH, O’Carroll P, Blumenfeld A, DeGryse R, Dimitrova R. A series of three sequential, randomized, controlled studies of repeated treatments with botulinum toxin type A for migraine prophylaxis. The Journal of Pain. 2006 Oct 1;7(10):688-96.</w:t>
            </w:r>
          </w:p>
        </w:tc>
        <w:tc>
          <w:tcPr>
            <w:tcW w:w="2784" w:type="dxa"/>
          </w:tcPr>
          <w:p w14:paraId="469351CD" w14:textId="47CAA415"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0E968CCB" w14:textId="77777777" w:rsidTr="00E458C5">
        <w:tc>
          <w:tcPr>
            <w:tcW w:w="6232" w:type="dxa"/>
          </w:tcPr>
          <w:p w14:paraId="0444D46B" w14:textId="6E15B224" w:rsidR="008A3959" w:rsidRPr="004402EC" w:rsidRDefault="008A3959" w:rsidP="008A3959">
            <w:pPr>
              <w:rPr>
                <w:rFonts w:cstheme="minorHAnsi"/>
                <w:sz w:val="20"/>
                <w:szCs w:val="20"/>
                <w:lang w:val="en-US"/>
              </w:rPr>
            </w:pPr>
            <w:r w:rsidRPr="004402EC">
              <w:rPr>
                <w:rFonts w:cstheme="minorHAnsi"/>
                <w:sz w:val="20"/>
                <w:szCs w:val="20"/>
                <w:lang w:val="en-US"/>
              </w:rPr>
              <w:t>264. Ho TW, Connor KM, Zhang Y, Pearlman E, Koppenhaver J, Fan X, Lines C, Edvinsson L, Goadsby PJ, Michelson D. Randomized controlled trial of the CGRP receptor antagonist telcagepant for migraine prevention. Neurology. 2014 Sep 9;83(11):958-66.</w:t>
            </w:r>
          </w:p>
        </w:tc>
        <w:tc>
          <w:tcPr>
            <w:tcW w:w="2784" w:type="dxa"/>
          </w:tcPr>
          <w:p w14:paraId="5F95BD93" w14:textId="0793C0B3"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5FEED981" w14:textId="77777777" w:rsidTr="00E458C5">
        <w:tc>
          <w:tcPr>
            <w:tcW w:w="6232" w:type="dxa"/>
          </w:tcPr>
          <w:p w14:paraId="516C0D8B" w14:textId="4264D3F2" w:rsidR="008A3959" w:rsidRPr="004402EC" w:rsidRDefault="008A3959" w:rsidP="008A3959">
            <w:pPr>
              <w:rPr>
                <w:rFonts w:cstheme="minorHAnsi"/>
                <w:sz w:val="20"/>
                <w:szCs w:val="20"/>
                <w:lang w:val="en-US"/>
              </w:rPr>
            </w:pPr>
            <w:r w:rsidRPr="004402EC">
              <w:rPr>
                <w:rFonts w:cstheme="minorHAnsi"/>
                <w:sz w:val="20"/>
                <w:szCs w:val="20"/>
                <w:lang w:val="en-US"/>
              </w:rPr>
              <w:t xml:space="preserve">265. Mulleners, W.M., Kim, B.K., Láinez, M.J., Lanteri-Minet, M., Pozo-Rosich, P., Wang, S., Tockhorn-Heidenreich, A., Aurora, S.K., Nichols, R.M., Yunes-Medina, L. and Detke, H.C., 2020. Safety and efficacy of </w:t>
            </w:r>
            <w:r w:rsidR="00B41680" w:rsidRPr="004402EC">
              <w:rPr>
                <w:rFonts w:cstheme="minorHAnsi"/>
                <w:sz w:val="20"/>
                <w:szCs w:val="20"/>
                <w:lang w:val="en-US"/>
              </w:rPr>
              <w:t>Galcanezumab</w:t>
            </w:r>
            <w:r w:rsidRPr="004402EC">
              <w:rPr>
                <w:rFonts w:cstheme="minorHAnsi"/>
                <w:sz w:val="20"/>
                <w:szCs w:val="20"/>
                <w:lang w:val="en-US"/>
              </w:rPr>
              <w:t xml:space="preserve"> in patients for whom previous migraine preventive medication from two to four categories had failed (CONQUER): a multicentre, randomised, double-blind, placebo-controlled, phase 3b trial. The Lancet Neurology, 19(10), pp.814-825.</w:t>
            </w:r>
          </w:p>
        </w:tc>
        <w:tc>
          <w:tcPr>
            <w:tcW w:w="2784" w:type="dxa"/>
          </w:tcPr>
          <w:p w14:paraId="39507D97" w14:textId="2D7E88CB"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13E82C8C" w14:textId="77777777" w:rsidTr="00E458C5">
        <w:tc>
          <w:tcPr>
            <w:tcW w:w="6232" w:type="dxa"/>
          </w:tcPr>
          <w:p w14:paraId="788EAD76" w14:textId="4559A51C" w:rsidR="008A3959" w:rsidRPr="004402EC" w:rsidRDefault="008A3959" w:rsidP="008A3959">
            <w:pPr>
              <w:rPr>
                <w:rFonts w:cstheme="minorHAnsi"/>
                <w:sz w:val="20"/>
                <w:szCs w:val="20"/>
                <w:lang w:val="en-US"/>
              </w:rPr>
            </w:pPr>
            <w:r w:rsidRPr="004402EC">
              <w:rPr>
                <w:rFonts w:cstheme="minorHAnsi"/>
                <w:sz w:val="20"/>
                <w:szCs w:val="20"/>
                <w:lang w:val="en-US"/>
              </w:rPr>
              <w:t xml:space="preserve">266. Ashina, M., Lanteri-Minet, M., Pozo-Rosich, P., Ettrup, A., Christoffersen, C.L., Josiassen, M.K., Phul, R. and Sperling, B., 2022. Safety and efficacy of </w:t>
            </w:r>
            <w:r w:rsidR="00B41680">
              <w:rPr>
                <w:rFonts w:cstheme="minorHAnsi"/>
                <w:sz w:val="20"/>
                <w:szCs w:val="20"/>
                <w:lang w:val="en-US"/>
              </w:rPr>
              <w:t>E</w:t>
            </w:r>
            <w:r w:rsidRPr="004402EC">
              <w:rPr>
                <w:rFonts w:cstheme="minorHAnsi"/>
                <w:sz w:val="20"/>
                <w:szCs w:val="20"/>
                <w:lang w:val="en-US"/>
              </w:rPr>
              <w:t>ptinezumab for migraine prevention in patients with two-to-four previous preventive treatment failures (DELIVER): a multi-arm, randomised, double-blind, placebo-controlled, phase 3b trial. The Lancet Neurology, 21(7), pp.597-607.</w:t>
            </w:r>
          </w:p>
        </w:tc>
        <w:tc>
          <w:tcPr>
            <w:tcW w:w="2784" w:type="dxa"/>
          </w:tcPr>
          <w:p w14:paraId="14A187EC" w14:textId="5B59C9A4"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21F3BCC7" w14:textId="77777777" w:rsidTr="00E458C5">
        <w:tc>
          <w:tcPr>
            <w:tcW w:w="6232" w:type="dxa"/>
          </w:tcPr>
          <w:p w14:paraId="1123A56C" w14:textId="4E3C6812" w:rsidR="008A3959" w:rsidRPr="004402EC" w:rsidRDefault="008A3959" w:rsidP="008A3959">
            <w:pPr>
              <w:rPr>
                <w:rFonts w:cstheme="minorHAnsi"/>
                <w:sz w:val="20"/>
                <w:szCs w:val="20"/>
                <w:lang w:val="en-US"/>
              </w:rPr>
            </w:pPr>
            <w:r w:rsidRPr="004402EC">
              <w:rPr>
                <w:rFonts w:cstheme="minorHAnsi"/>
                <w:sz w:val="20"/>
                <w:szCs w:val="20"/>
                <w:lang w:val="en-US"/>
              </w:rPr>
              <w:t>267. Hu B, Li G, Li X, Wu S, Yu T, Li X, Zhao H, Jia Z, Zhuang J, Yu S. Galcanezumab in episodic migraine: the phase 3, randomized, double-blind, placebo-controlled PERSIST study. The Journal of Headache and Pain. 2022 Dec;23(1):1-1.</w:t>
            </w:r>
          </w:p>
        </w:tc>
        <w:tc>
          <w:tcPr>
            <w:tcW w:w="2784" w:type="dxa"/>
          </w:tcPr>
          <w:p w14:paraId="1F8DE76B" w14:textId="5D596BC7"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700DC4FF" w14:textId="77777777" w:rsidTr="00E458C5">
        <w:tc>
          <w:tcPr>
            <w:tcW w:w="6232" w:type="dxa"/>
          </w:tcPr>
          <w:p w14:paraId="32256522" w14:textId="37E08F3E" w:rsidR="008A3959" w:rsidRPr="004402EC" w:rsidRDefault="008A3959" w:rsidP="008A3959">
            <w:pPr>
              <w:rPr>
                <w:rFonts w:cstheme="minorHAnsi"/>
                <w:sz w:val="20"/>
                <w:szCs w:val="20"/>
                <w:lang w:val="en-US"/>
              </w:rPr>
            </w:pPr>
            <w:r w:rsidRPr="004402EC">
              <w:rPr>
                <w:rFonts w:cstheme="minorHAnsi"/>
                <w:sz w:val="20"/>
                <w:szCs w:val="20"/>
                <w:lang w:val="en-US"/>
              </w:rPr>
              <w:t xml:space="preserve">268. Rapid resolution of migraine symptoms after initiating the preventive treatment </w:t>
            </w:r>
            <w:r w:rsidR="00B41680">
              <w:rPr>
                <w:rFonts w:cstheme="minorHAnsi"/>
                <w:sz w:val="20"/>
                <w:szCs w:val="20"/>
                <w:lang w:val="en-US"/>
              </w:rPr>
              <w:t>E</w:t>
            </w:r>
            <w:r w:rsidRPr="004402EC">
              <w:rPr>
                <w:rFonts w:cstheme="minorHAnsi"/>
                <w:sz w:val="20"/>
                <w:szCs w:val="20"/>
                <w:lang w:val="en-US"/>
              </w:rPr>
              <w:t xml:space="preserve">ptinezumab during a migraine attack: results from the randomized RELIEF trial. </w:t>
            </w:r>
          </w:p>
        </w:tc>
        <w:tc>
          <w:tcPr>
            <w:tcW w:w="2784" w:type="dxa"/>
          </w:tcPr>
          <w:p w14:paraId="5FA5A091" w14:textId="2284C0BF"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40E914CD" w14:textId="77777777" w:rsidTr="00E458C5">
        <w:tc>
          <w:tcPr>
            <w:tcW w:w="6232" w:type="dxa"/>
          </w:tcPr>
          <w:p w14:paraId="38E99775" w14:textId="134A7484" w:rsidR="008A3959" w:rsidRPr="004402EC" w:rsidRDefault="008A3959" w:rsidP="008A3959">
            <w:pPr>
              <w:rPr>
                <w:rFonts w:cstheme="minorHAnsi"/>
                <w:sz w:val="20"/>
                <w:szCs w:val="20"/>
                <w:lang w:val="en-US"/>
              </w:rPr>
            </w:pPr>
            <w:r w:rsidRPr="004402EC">
              <w:rPr>
                <w:rFonts w:cstheme="minorHAnsi"/>
                <w:sz w:val="20"/>
                <w:szCs w:val="20"/>
                <w:lang w:val="en-US"/>
              </w:rPr>
              <w:t xml:space="preserve">269. Winner PK, McAllister P, Chakhava G, Ailani J, Ettrup A, Josiassen MK, Lindsten A, Mehta L, Cady R. Effects of intravenous </w:t>
            </w:r>
            <w:r w:rsidR="00B41680">
              <w:rPr>
                <w:rFonts w:cstheme="minorHAnsi"/>
                <w:sz w:val="20"/>
                <w:szCs w:val="20"/>
                <w:lang w:val="en-US"/>
              </w:rPr>
              <w:t>E</w:t>
            </w:r>
            <w:r w:rsidRPr="004402EC">
              <w:rPr>
                <w:rFonts w:cstheme="minorHAnsi"/>
                <w:sz w:val="20"/>
                <w:szCs w:val="20"/>
                <w:lang w:val="en-US"/>
              </w:rPr>
              <w:t>ptinezumab vs placebo on headache pain and most bothersome symptom when initiated during a migraine attack: a randomized clinical trial. Jama. 2021 Jun 15;325(23):2348-56.</w:t>
            </w:r>
          </w:p>
        </w:tc>
        <w:tc>
          <w:tcPr>
            <w:tcW w:w="2784" w:type="dxa"/>
          </w:tcPr>
          <w:p w14:paraId="746424EA" w14:textId="0218AC40"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4402EC" w14:paraId="0453D7BC" w14:textId="77777777" w:rsidTr="00E458C5">
        <w:tc>
          <w:tcPr>
            <w:tcW w:w="6232" w:type="dxa"/>
          </w:tcPr>
          <w:p w14:paraId="2506739E" w14:textId="77E7DB97" w:rsidR="008A3959" w:rsidRPr="004402EC" w:rsidRDefault="008A3959" w:rsidP="008A3959">
            <w:pPr>
              <w:rPr>
                <w:rFonts w:cstheme="minorHAnsi"/>
                <w:sz w:val="20"/>
                <w:szCs w:val="20"/>
                <w:lang w:val="en-US"/>
              </w:rPr>
            </w:pPr>
            <w:r w:rsidRPr="004402EC">
              <w:rPr>
                <w:rFonts w:cstheme="minorHAnsi"/>
                <w:sz w:val="20"/>
                <w:szCs w:val="20"/>
                <w:lang w:val="en-US"/>
              </w:rPr>
              <w:t>270. Reuter U, Lucas C, Dolezil D, Hand AL, Port MD, Nichols RM, Stroud C, Tockhorn-Heidenreich A, Detke HC. Galcanezumab in patients with multiple previous migraine preventive medication category failures: results from the open-label period of the CONQUER trial. Advances in therapy. 2021 Nov;38:5465-83.</w:t>
            </w:r>
          </w:p>
        </w:tc>
        <w:tc>
          <w:tcPr>
            <w:tcW w:w="2784" w:type="dxa"/>
          </w:tcPr>
          <w:p w14:paraId="038E4759" w14:textId="50816511" w:rsidR="008A3959" w:rsidRPr="004402EC" w:rsidRDefault="008A3959" w:rsidP="008A3959">
            <w:pPr>
              <w:rPr>
                <w:rFonts w:cstheme="minorHAnsi"/>
                <w:sz w:val="20"/>
                <w:szCs w:val="20"/>
                <w:lang w:val="en-US"/>
              </w:rPr>
            </w:pPr>
            <w:r w:rsidRPr="004402EC">
              <w:rPr>
                <w:rFonts w:cstheme="minorHAnsi"/>
                <w:sz w:val="20"/>
                <w:szCs w:val="20"/>
                <w:lang w:val="en-US"/>
              </w:rPr>
              <w:t>Episodic migraine</w:t>
            </w:r>
          </w:p>
        </w:tc>
      </w:tr>
      <w:tr w:rsidR="008A3959" w:rsidRPr="00BC2A67" w14:paraId="2258ED7B" w14:textId="77777777" w:rsidTr="00E458C5">
        <w:tc>
          <w:tcPr>
            <w:tcW w:w="6232" w:type="dxa"/>
          </w:tcPr>
          <w:p w14:paraId="4D6D9740" w14:textId="711712B3" w:rsidR="008A3959" w:rsidRPr="004402EC" w:rsidRDefault="008A3959" w:rsidP="008A3959">
            <w:pPr>
              <w:rPr>
                <w:rFonts w:cstheme="minorHAnsi"/>
                <w:sz w:val="20"/>
                <w:szCs w:val="20"/>
                <w:lang w:val="en-US"/>
              </w:rPr>
            </w:pPr>
            <w:r w:rsidRPr="004402EC">
              <w:rPr>
                <w:rFonts w:cstheme="minorHAnsi"/>
                <w:sz w:val="20"/>
                <w:szCs w:val="20"/>
                <w:lang w:val="en-US"/>
              </w:rPr>
              <w:t xml:space="preserve">271. Ferrari MD, Reuter U, Goadsby PJ, da Silva Lima GP, Mondal S, Wen </w:t>
            </w:r>
            <w:r w:rsidRPr="004402EC">
              <w:rPr>
                <w:rFonts w:cstheme="minorHAnsi"/>
                <w:sz w:val="20"/>
                <w:szCs w:val="20"/>
                <w:lang w:val="en-US"/>
              </w:rPr>
              <w:lastRenderedPageBreak/>
              <w:t xml:space="preserve">S, Tenenbaum N, Pandhi S, Lanteri-Minet M, Stites T. Two-year efficacy and safety of </w:t>
            </w:r>
            <w:r w:rsidR="00B41680">
              <w:rPr>
                <w:rFonts w:cstheme="minorHAnsi"/>
                <w:sz w:val="20"/>
                <w:szCs w:val="20"/>
                <w:lang w:val="en-US"/>
              </w:rPr>
              <w:t>E</w:t>
            </w:r>
            <w:r w:rsidRPr="004402EC">
              <w:rPr>
                <w:rFonts w:cstheme="minorHAnsi"/>
                <w:sz w:val="20"/>
                <w:szCs w:val="20"/>
                <w:lang w:val="en-US"/>
              </w:rPr>
              <w:t>renumab in participants with episodic migraine and 2–4 prior preventive treatment failures: results from the LIBERTY study. Journal of Neurology, Neurosurgery &amp; Psychiatry. 2022 Mar 1;93(3):254-62.</w:t>
            </w:r>
          </w:p>
        </w:tc>
        <w:tc>
          <w:tcPr>
            <w:tcW w:w="2784" w:type="dxa"/>
          </w:tcPr>
          <w:p w14:paraId="0050444D" w14:textId="5CA50B61" w:rsidR="008A3959" w:rsidRDefault="008A3959" w:rsidP="008A3959">
            <w:pPr>
              <w:rPr>
                <w:rFonts w:cstheme="minorHAnsi"/>
                <w:sz w:val="20"/>
                <w:szCs w:val="20"/>
                <w:lang w:val="en-US"/>
              </w:rPr>
            </w:pPr>
            <w:r w:rsidRPr="004402EC">
              <w:rPr>
                <w:rFonts w:cstheme="minorHAnsi"/>
                <w:sz w:val="20"/>
                <w:szCs w:val="20"/>
                <w:lang w:val="en-US"/>
              </w:rPr>
              <w:lastRenderedPageBreak/>
              <w:t>Episodic migraine</w:t>
            </w:r>
          </w:p>
        </w:tc>
      </w:tr>
    </w:tbl>
    <w:p w14:paraId="2A933026" w14:textId="4F31B11E" w:rsidR="001D58B3" w:rsidRPr="00977A61" w:rsidRDefault="001D58B3">
      <w:pPr>
        <w:rPr>
          <w:rFonts w:cstheme="minorHAnsi"/>
          <w:sz w:val="20"/>
          <w:szCs w:val="20"/>
          <w:lang w:val="en-US"/>
        </w:rPr>
      </w:pPr>
    </w:p>
    <w:p w14:paraId="01B11FFA" w14:textId="77777777" w:rsidR="00342EFD" w:rsidRDefault="00342EFD"/>
    <w:p w14:paraId="1701C1DF" w14:textId="3AD0E5AF" w:rsidR="006835A1" w:rsidRDefault="006835A1">
      <w:pPr>
        <w:sectPr w:rsidR="006835A1">
          <w:footerReference w:type="default" r:id="rId11"/>
          <w:pgSz w:w="11906" w:h="16838"/>
          <w:pgMar w:top="1440" w:right="1440" w:bottom="1440" w:left="1440" w:header="708" w:footer="708" w:gutter="0"/>
          <w:cols w:space="708"/>
          <w:docGrid w:linePitch="360"/>
        </w:sectPr>
      </w:pPr>
    </w:p>
    <w:p w14:paraId="08A557A1" w14:textId="5D03E5EC" w:rsidR="006835A1" w:rsidRDefault="004C1709" w:rsidP="006835A1">
      <w:pPr>
        <w:pStyle w:val="Caption"/>
        <w:keepNext/>
      </w:pPr>
      <w:bookmarkStart w:id="6" w:name="_Ref114559903"/>
      <w:bookmarkStart w:id="7" w:name="_Toc125986383"/>
      <w:r w:rsidRPr="004C1709">
        <w:rPr>
          <w:bCs/>
        </w:rPr>
        <w:lastRenderedPageBreak/>
        <w:t xml:space="preserve">Additional file </w:t>
      </w:r>
      <w:r>
        <w:rPr>
          <w:b w:val="0"/>
          <w:bCs/>
        </w:rPr>
        <w:t>2</w:t>
      </w:r>
      <w:r w:rsidRPr="004C1709">
        <w:rPr>
          <w:bCs/>
        </w:rPr>
        <w:t>:</w:t>
      </w:r>
      <w:r>
        <w:rPr>
          <w:b w:val="0"/>
          <w:bCs/>
        </w:rPr>
        <w:t xml:space="preserve"> </w:t>
      </w:r>
      <w:r w:rsidR="006835A1">
        <w:t>Appendix 4</w:t>
      </w:r>
      <w:r w:rsidR="003A2284">
        <w:t>.</w:t>
      </w:r>
      <w:r w:rsidR="006835A1">
        <w:t xml:space="preserve"> Baseline </w:t>
      </w:r>
      <w:bookmarkEnd w:id="6"/>
      <w:r w:rsidR="006835A1">
        <w:t>characteristics of the 11 RCTs presented in 51 included studies</w:t>
      </w:r>
      <w:bookmarkEnd w:id="7"/>
      <w:r w:rsidR="006B2281">
        <w:t>- part 1</w:t>
      </w:r>
    </w:p>
    <w:tbl>
      <w:tblPr>
        <w:tblStyle w:val="GridTable1Light1"/>
        <w:tblW w:w="5000" w:type="pct"/>
        <w:tblLook w:val="04A0" w:firstRow="1" w:lastRow="0" w:firstColumn="1" w:lastColumn="0" w:noHBand="0" w:noVBand="1"/>
      </w:tblPr>
      <w:tblGrid>
        <w:gridCol w:w="985"/>
        <w:gridCol w:w="2203"/>
        <w:gridCol w:w="1962"/>
        <w:gridCol w:w="479"/>
        <w:gridCol w:w="451"/>
        <w:gridCol w:w="2181"/>
        <w:gridCol w:w="1062"/>
        <w:gridCol w:w="390"/>
        <w:gridCol w:w="681"/>
        <w:gridCol w:w="331"/>
        <w:gridCol w:w="378"/>
        <w:gridCol w:w="378"/>
        <w:gridCol w:w="378"/>
        <w:gridCol w:w="378"/>
        <w:gridCol w:w="378"/>
        <w:gridCol w:w="468"/>
        <w:gridCol w:w="468"/>
        <w:gridCol w:w="465"/>
      </w:tblGrid>
      <w:tr w:rsidR="006B2281" w:rsidRPr="001303D6" w14:paraId="761D7CB0" w14:textId="77777777" w:rsidTr="005A68A6">
        <w:trPr>
          <w:cnfStyle w:val="100000000000" w:firstRow="1" w:lastRow="0" w:firstColumn="0" w:lastColumn="0" w:oddVBand="0" w:evenVBand="0" w:oddHBand="0" w:evenHBand="0" w:firstRowFirstColumn="0" w:firstRowLastColumn="0" w:lastRowFirstColumn="0" w:lastRowLastColumn="0"/>
          <w:trHeight w:val="344"/>
          <w:tblHeader/>
        </w:trPr>
        <w:tc>
          <w:tcPr>
            <w:cnfStyle w:val="001000000000" w:firstRow="0" w:lastRow="0" w:firstColumn="1" w:lastColumn="0" w:oddVBand="0" w:evenVBand="0" w:oddHBand="0" w:evenHBand="0" w:firstRowFirstColumn="0" w:firstRowLastColumn="0" w:lastRowFirstColumn="0" w:lastRowLastColumn="0"/>
            <w:tcW w:w="351" w:type="pct"/>
            <w:vMerge w:val="restart"/>
            <w:textDirection w:val="tbRl"/>
            <w:vAlign w:val="center"/>
          </w:tcPr>
          <w:p w14:paraId="3C6AF8FA" w14:textId="77777777" w:rsidR="009642E2" w:rsidRPr="007E778F" w:rsidRDefault="009642E2" w:rsidP="00F60C3E">
            <w:pPr>
              <w:ind w:left="113" w:right="113"/>
              <w:rPr>
                <w:rFonts w:eastAsia="Calibri" w:cstheme="minorHAnsi"/>
                <w:sz w:val="18"/>
                <w:szCs w:val="18"/>
              </w:rPr>
            </w:pPr>
            <w:r w:rsidRPr="007E778F">
              <w:rPr>
                <w:rFonts w:eastAsia="Calibri" w:cstheme="minorHAnsi"/>
                <w:sz w:val="18"/>
                <w:szCs w:val="18"/>
              </w:rPr>
              <w:t>Aut</w:t>
            </w:r>
            <w:r>
              <w:rPr>
                <w:rFonts w:eastAsia="Calibri" w:cstheme="minorHAnsi"/>
                <w:sz w:val="18"/>
                <w:szCs w:val="18"/>
              </w:rPr>
              <w:t>h</w:t>
            </w:r>
            <w:r w:rsidRPr="007E778F">
              <w:rPr>
                <w:rFonts w:eastAsia="Calibri" w:cstheme="minorHAnsi"/>
                <w:sz w:val="18"/>
                <w:szCs w:val="18"/>
              </w:rPr>
              <w:t>or, Year</w:t>
            </w:r>
          </w:p>
          <w:p w14:paraId="6EDE52C7" w14:textId="77777777" w:rsidR="009642E2" w:rsidRPr="007E778F" w:rsidRDefault="009642E2" w:rsidP="00F60C3E">
            <w:pPr>
              <w:ind w:left="113" w:right="113"/>
              <w:rPr>
                <w:rFonts w:eastAsia="Calibri" w:cstheme="minorHAnsi"/>
                <w:sz w:val="18"/>
                <w:szCs w:val="18"/>
              </w:rPr>
            </w:pPr>
            <w:r w:rsidRPr="007E778F">
              <w:rPr>
                <w:rFonts w:eastAsia="Calibri" w:cstheme="minorHAnsi"/>
                <w:sz w:val="18"/>
                <w:szCs w:val="18"/>
              </w:rPr>
              <w:t>(Primary study) [Trial Name]</w:t>
            </w:r>
          </w:p>
        </w:tc>
        <w:tc>
          <w:tcPr>
            <w:tcW w:w="786" w:type="pct"/>
            <w:vMerge w:val="restart"/>
            <w:textDirection w:val="tbRl"/>
            <w:vAlign w:val="center"/>
          </w:tcPr>
          <w:p w14:paraId="621A92D4" w14:textId="77777777" w:rsidR="009642E2" w:rsidRPr="007E778F" w:rsidRDefault="009642E2" w:rsidP="00F60C3E">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Author, Year (Secondary publications)</w:t>
            </w:r>
          </w:p>
        </w:tc>
        <w:tc>
          <w:tcPr>
            <w:tcW w:w="700" w:type="pct"/>
            <w:vMerge w:val="restart"/>
            <w:textDirection w:val="tbRl"/>
            <w:vAlign w:val="center"/>
          </w:tcPr>
          <w:p w14:paraId="307FB6A5" w14:textId="77777777" w:rsidR="009642E2" w:rsidRPr="007E778F" w:rsidRDefault="009642E2" w:rsidP="00F60C3E">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 xml:space="preserve">Country </w:t>
            </w:r>
          </w:p>
        </w:tc>
        <w:tc>
          <w:tcPr>
            <w:tcW w:w="171" w:type="pct"/>
            <w:vMerge w:val="restart"/>
            <w:textDirection w:val="tbRl"/>
            <w:vAlign w:val="center"/>
          </w:tcPr>
          <w:p w14:paraId="2E8E9370" w14:textId="77777777" w:rsidR="009642E2" w:rsidRPr="007E778F" w:rsidRDefault="009642E2" w:rsidP="00F60C3E">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Definition criteria</w:t>
            </w:r>
          </w:p>
        </w:tc>
        <w:tc>
          <w:tcPr>
            <w:tcW w:w="161" w:type="pct"/>
            <w:vMerge w:val="restart"/>
            <w:textDirection w:val="tbRl"/>
            <w:vAlign w:val="center"/>
          </w:tcPr>
          <w:p w14:paraId="2EBAEBB5" w14:textId="5E22B2D1" w:rsidR="009642E2" w:rsidRPr="007E778F" w:rsidRDefault="009642E2" w:rsidP="00F60C3E">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Treatment duration (week)</w:t>
            </w:r>
            <w:r w:rsidR="00F86E98">
              <w:rPr>
                <w:rFonts w:eastAsia="Calibri" w:cstheme="minorHAnsi"/>
                <w:sz w:val="18"/>
                <w:szCs w:val="18"/>
              </w:rPr>
              <w:t>, and trial design</w:t>
            </w:r>
          </w:p>
        </w:tc>
        <w:tc>
          <w:tcPr>
            <w:tcW w:w="1539" w:type="pct"/>
            <w:gridSpan w:val="4"/>
            <w:vAlign w:val="center"/>
          </w:tcPr>
          <w:p w14:paraId="53F14530" w14:textId="77777777" w:rsidR="009642E2" w:rsidRPr="007E778F" w:rsidRDefault="009642E2" w:rsidP="00F60C3E">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Treatment</w:t>
            </w:r>
          </w:p>
        </w:tc>
        <w:tc>
          <w:tcPr>
            <w:tcW w:w="118" w:type="pct"/>
            <w:vMerge w:val="restart"/>
            <w:textDirection w:val="tbRl"/>
            <w:vAlign w:val="center"/>
          </w:tcPr>
          <w:p w14:paraId="69F81262" w14:textId="77777777" w:rsidR="009642E2" w:rsidRPr="007E778F" w:rsidRDefault="009642E2" w:rsidP="00F60C3E">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Number of participants (ITT)</w:t>
            </w:r>
          </w:p>
        </w:tc>
        <w:tc>
          <w:tcPr>
            <w:tcW w:w="135" w:type="pct"/>
            <w:vMerge w:val="restart"/>
            <w:textDirection w:val="tbRl"/>
          </w:tcPr>
          <w:p w14:paraId="6CE63289" w14:textId="77777777" w:rsidR="009642E2" w:rsidRPr="007E778F" w:rsidRDefault="009642E2" w:rsidP="00F60C3E">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Female (%)</w:t>
            </w:r>
          </w:p>
        </w:tc>
        <w:tc>
          <w:tcPr>
            <w:tcW w:w="135" w:type="pct"/>
            <w:vMerge w:val="restart"/>
            <w:textDirection w:val="tbRl"/>
            <w:vAlign w:val="center"/>
          </w:tcPr>
          <w:p w14:paraId="562D920D" w14:textId="77777777" w:rsidR="009642E2" w:rsidRPr="007E778F" w:rsidRDefault="009642E2" w:rsidP="00F60C3E">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Mean Age</w:t>
            </w:r>
          </w:p>
        </w:tc>
        <w:tc>
          <w:tcPr>
            <w:tcW w:w="135" w:type="pct"/>
            <w:vMerge w:val="restart"/>
            <w:textDirection w:val="tbRl"/>
            <w:vAlign w:val="center"/>
          </w:tcPr>
          <w:p w14:paraId="2D48E64C" w14:textId="77777777" w:rsidR="009642E2" w:rsidRPr="007E778F" w:rsidRDefault="009642E2" w:rsidP="00F60C3E">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Mean BMI</w:t>
            </w:r>
          </w:p>
        </w:tc>
        <w:tc>
          <w:tcPr>
            <w:tcW w:w="135" w:type="pct"/>
            <w:vMerge w:val="restart"/>
            <w:textDirection w:val="tbRl"/>
            <w:vAlign w:val="center"/>
          </w:tcPr>
          <w:p w14:paraId="60B7C8D3" w14:textId="77777777" w:rsidR="009642E2" w:rsidRPr="007E778F" w:rsidRDefault="009642E2" w:rsidP="00F60C3E">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Mean MMD</w:t>
            </w:r>
          </w:p>
        </w:tc>
        <w:tc>
          <w:tcPr>
            <w:tcW w:w="135" w:type="pct"/>
            <w:vMerge w:val="restart"/>
            <w:textDirection w:val="tbRl"/>
            <w:vAlign w:val="center"/>
          </w:tcPr>
          <w:p w14:paraId="05A030FB" w14:textId="77777777" w:rsidR="009642E2" w:rsidRPr="007E778F" w:rsidRDefault="009642E2" w:rsidP="00F60C3E">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Mean MHD</w:t>
            </w:r>
          </w:p>
        </w:tc>
        <w:tc>
          <w:tcPr>
            <w:tcW w:w="167" w:type="pct"/>
            <w:vMerge w:val="restart"/>
            <w:textDirection w:val="tbRl"/>
            <w:vAlign w:val="center"/>
          </w:tcPr>
          <w:p w14:paraId="6D83B6FE" w14:textId="77777777" w:rsidR="009642E2" w:rsidRPr="007E778F" w:rsidRDefault="009642E2" w:rsidP="00F60C3E">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Mean MSQ-RR</w:t>
            </w:r>
          </w:p>
        </w:tc>
        <w:tc>
          <w:tcPr>
            <w:tcW w:w="167" w:type="pct"/>
            <w:vMerge w:val="restart"/>
            <w:textDirection w:val="tbRl"/>
            <w:vAlign w:val="center"/>
          </w:tcPr>
          <w:p w14:paraId="711015BF" w14:textId="77777777" w:rsidR="009642E2" w:rsidRPr="007E778F" w:rsidRDefault="009642E2" w:rsidP="00F60C3E">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Mean MSQ- PR</w:t>
            </w:r>
          </w:p>
        </w:tc>
        <w:tc>
          <w:tcPr>
            <w:tcW w:w="167" w:type="pct"/>
            <w:vMerge w:val="restart"/>
            <w:textDirection w:val="tbRl"/>
            <w:vAlign w:val="center"/>
          </w:tcPr>
          <w:p w14:paraId="111F3ABF" w14:textId="77777777" w:rsidR="009642E2" w:rsidRPr="007E778F" w:rsidRDefault="009642E2" w:rsidP="00F60C3E">
            <w:pPr>
              <w:ind w:left="113" w:right="113"/>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Mean MSQ-EF</w:t>
            </w:r>
          </w:p>
        </w:tc>
      </w:tr>
      <w:tr w:rsidR="008F4CD5" w:rsidRPr="001303D6" w14:paraId="19C35216" w14:textId="77777777" w:rsidTr="005A68A6">
        <w:trPr>
          <w:cnfStyle w:val="100000000000" w:firstRow="1" w:lastRow="0" w:firstColumn="0" w:lastColumn="0" w:oddVBand="0" w:evenVBand="0" w:oddHBand="0" w:evenHBand="0" w:firstRowFirstColumn="0" w:firstRowLastColumn="0" w:lastRowFirstColumn="0" w:lastRowLastColumn="0"/>
          <w:trHeight w:val="1717"/>
          <w:tblHeader/>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64455AD4" w14:textId="77777777" w:rsidR="009642E2" w:rsidRPr="007E778F" w:rsidRDefault="009642E2" w:rsidP="00F60C3E">
            <w:pPr>
              <w:rPr>
                <w:rFonts w:eastAsia="Calibri" w:cstheme="minorHAnsi"/>
                <w:sz w:val="18"/>
                <w:szCs w:val="18"/>
              </w:rPr>
            </w:pPr>
          </w:p>
        </w:tc>
        <w:tc>
          <w:tcPr>
            <w:tcW w:w="786" w:type="pct"/>
            <w:vMerge/>
            <w:vAlign w:val="center"/>
          </w:tcPr>
          <w:p w14:paraId="53BA70A0" w14:textId="77777777" w:rsidR="009642E2" w:rsidRPr="007E778F" w:rsidRDefault="009642E2" w:rsidP="00F60C3E">
            <w:pP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327F7C66" w14:textId="77777777" w:rsidR="009642E2" w:rsidRPr="007E778F" w:rsidRDefault="009642E2" w:rsidP="00F60C3E">
            <w:pP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5FD41976" w14:textId="77777777" w:rsidR="009642E2" w:rsidRPr="007E778F" w:rsidRDefault="009642E2" w:rsidP="00F60C3E">
            <w:pP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66E1BDD9" w14:textId="77777777" w:rsidR="009642E2" w:rsidRPr="007E778F" w:rsidRDefault="009642E2" w:rsidP="00F60C3E">
            <w:pP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textDirection w:val="tbRl"/>
            <w:vAlign w:val="center"/>
          </w:tcPr>
          <w:p w14:paraId="7D3D22F1" w14:textId="77777777" w:rsidR="009642E2" w:rsidRPr="007E778F" w:rsidRDefault="009642E2" w:rsidP="00F60C3E">
            <w:pPr>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Name</w:t>
            </w:r>
          </w:p>
        </w:tc>
        <w:tc>
          <w:tcPr>
            <w:tcW w:w="379" w:type="pct"/>
            <w:textDirection w:val="tbRl"/>
            <w:vAlign w:val="center"/>
          </w:tcPr>
          <w:p w14:paraId="2D727415" w14:textId="77777777" w:rsidR="009642E2" w:rsidRPr="007E778F" w:rsidRDefault="009642E2" w:rsidP="00F60C3E">
            <w:pPr>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Dose</w:t>
            </w:r>
          </w:p>
        </w:tc>
        <w:tc>
          <w:tcPr>
            <w:tcW w:w="139" w:type="pct"/>
            <w:textDirection w:val="tbRl"/>
            <w:vAlign w:val="center"/>
          </w:tcPr>
          <w:p w14:paraId="1ADC1F46" w14:textId="77777777" w:rsidR="009642E2" w:rsidRPr="007E778F" w:rsidRDefault="009642E2" w:rsidP="00F60C3E">
            <w:pPr>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Route of administration</w:t>
            </w:r>
          </w:p>
        </w:tc>
        <w:tc>
          <w:tcPr>
            <w:tcW w:w="243" w:type="pct"/>
            <w:textDirection w:val="tbRl"/>
            <w:vAlign w:val="center"/>
          </w:tcPr>
          <w:p w14:paraId="09A88B83" w14:textId="77777777" w:rsidR="009642E2" w:rsidRPr="007E778F" w:rsidRDefault="009642E2" w:rsidP="00F60C3E">
            <w:pPr>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Frequency</w:t>
            </w:r>
          </w:p>
        </w:tc>
        <w:tc>
          <w:tcPr>
            <w:tcW w:w="118" w:type="pct"/>
            <w:vMerge/>
            <w:textDirection w:val="tbRl"/>
            <w:vAlign w:val="center"/>
          </w:tcPr>
          <w:p w14:paraId="21FCD438" w14:textId="77777777" w:rsidR="009642E2" w:rsidRPr="007E778F" w:rsidRDefault="009642E2" w:rsidP="00F60C3E">
            <w:pPr>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p>
        </w:tc>
        <w:tc>
          <w:tcPr>
            <w:tcW w:w="135" w:type="pct"/>
            <w:vMerge/>
            <w:textDirection w:val="tbRl"/>
          </w:tcPr>
          <w:p w14:paraId="7B662196" w14:textId="77777777" w:rsidR="009642E2" w:rsidRPr="007E778F" w:rsidRDefault="009642E2" w:rsidP="00F60C3E">
            <w:pPr>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p>
        </w:tc>
        <w:tc>
          <w:tcPr>
            <w:tcW w:w="135" w:type="pct"/>
            <w:vMerge/>
            <w:textDirection w:val="tbRl"/>
            <w:vAlign w:val="center"/>
          </w:tcPr>
          <w:p w14:paraId="18236F01" w14:textId="77777777" w:rsidR="009642E2" w:rsidRPr="007E778F" w:rsidRDefault="009642E2" w:rsidP="00F60C3E">
            <w:pPr>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p>
        </w:tc>
        <w:tc>
          <w:tcPr>
            <w:tcW w:w="135" w:type="pct"/>
            <w:vMerge/>
            <w:textDirection w:val="tbRl"/>
          </w:tcPr>
          <w:p w14:paraId="2266486A" w14:textId="77777777" w:rsidR="009642E2" w:rsidRPr="007E778F" w:rsidRDefault="009642E2" w:rsidP="00F60C3E">
            <w:pPr>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p>
        </w:tc>
        <w:tc>
          <w:tcPr>
            <w:tcW w:w="135" w:type="pct"/>
            <w:vMerge/>
            <w:textDirection w:val="tbRl"/>
            <w:vAlign w:val="center"/>
          </w:tcPr>
          <w:p w14:paraId="48F4D62F" w14:textId="77777777" w:rsidR="009642E2" w:rsidRPr="007E778F" w:rsidRDefault="009642E2" w:rsidP="00F60C3E">
            <w:pPr>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p>
        </w:tc>
        <w:tc>
          <w:tcPr>
            <w:tcW w:w="135" w:type="pct"/>
            <w:vMerge/>
            <w:textDirection w:val="tbRl"/>
          </w:tcPr>
          <w:p w14:paraId="73C9B472" w14:textId="77777777" w:rsidR="009642E2" w:rsidRPr="007E778F" w:rsidRDefault="009642E2" w:rsidP="00F60C3E">
            <w:pPr>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p>
        </w:tc>
        <w:tc>
          <w:tcPr>
            <w:tcW w:w="167" w:type="pct"/>
            <w:vMerge/>
            <w:textDirection w:val="tbRl"/>
          </w:tcPr>
          <w:p w14:paraId="1C1C5E6B" w14:textId="77777777" w:rsidR="009642E2" w:rsidRPr="007E778F" w:rsidRDefault="009642E2" w:rsidP="00F60C3E">
            <w:pPr>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p>
        </w:tc>
        <w:tc>
          <w:tcPr>
            <w:tcW w:w="167" w:type="pct"/>
            <w:vMerge/>
            <w:textDirection w:val="tbRl"/>
          </w:tcPr>
          <w:p w14:paraId="075F0305" w14:textId="77777777" w:rsidR="009642E2" w:rsidRPr="007E778F" w:rsidRDefault="009642E2" w:rsidP="00F60C3E">
            <w:pPr>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p>
        </w:tc>
        <w:tc>
          <w:tcPr>
            <w:tcW w:w="167" w:type="pct"/>
            <w:vMerge/>
            <w:textDirection w:val="tbRl"/>
          </w:tcPr>
          <w:p w14:paraId="6303899E" w14:textId="77777777" w:rsidR="009642E2" w:rsidRPr="007E778F" w:rsidRDefault="009642E2" w:rsidP="00F60C3E">
            <w:pPr>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p>
        </w:tc>
      </w:tr>
      <w:tr w:rsidR="009642E2" w:rsidRPr="001303D6" w14:paraId="244702FB" w14:textId="77777777" w:rsidTr="005A68A6">
        <w:trPr>
          <w:trHeight w:val="283"/>
        </w:trPr>
        <w:tc>
          <w:tcPr>
            <w:cnfStyle w:val="001000000000" w:firstRow="0" w:lastRow="0" w:firstColumn="1" w:lastColumn="0" w:oddVBand="0" w:evenVBand="0" w:oddHBand="0" w:evenHBand="0" w:firstRowFirstColumn="0" w:firstRowLastColumn="0" w:lastRowFirstColumn="0" w:lastRowLastColumn="0"/>
            <w:tcW w:w="351" w:type="pct"/>
            <w:vMerge w:val="restart"/>
            <w:vAlign w:val="center"/>
          </w:tcPr>
          <w:p w14:paraId="7530C7BE" w14:textId="006DD5D3" w:rsidR="009642E2" w:rsidRPr="007E778F" w:rsidRDefault="009642E2" w:rsidP="00F60C3E">
            <w:pPr>
              <w:jc w:val="center"/>
              <w:rPr>
                <w:rFonts w:eastAsia="Calibri" w:cstheme="minorHAnsi"/>
                <w:sz w:val="18"/>
                <w:szCs w:val="18"/>
              </w:rPr>
            </w:pPr>
            <w:r w:rsidRPr="007E778F">
              <w:rPr>
                <w:rFonts w:eastAsia="Calibri" w:cstheme="minorHAnsi"/>
                <w:sz w:val="18"/>
                <w:szCs w:val="18"/>
              </w:rPr>
              <w:t>Aurora 2010</w:t>
            </w:r>
            <w:r>
              <w:rPr>
                <w:rFonts w:eastAsia="Calibri" w:cstheme="minorHAnsi"/>
                <w:sz w:val="18"/>
                <w:szCs w:val="18"/>
              </w:rPr>
              <w:t xml:space="preserve"> </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&lt;EndNote&gt;&lt;Cite&gt;&lt;Author&gt;Aurora&lt;/Author&gt;&lt;Year&gt;2010&lt;/Year&gt;&lt;RecNum&gt;31&lt;/RecNum&gt;&lt;DisplayText&gt;&lt;style face="superscript"&gt;1&lt;/style&gt;&lt;/DisplayText&gt;&lt;record&gt;&lt;rec-number&gt;31&lt;/rec-number&gt;&lt;foreign-keys&gt;&lt;key app="EN" db-id="fsz20seeavzsfie29wsx20a60watx2ffv2wz" timestamp="1662393773"&gt;31&lt;/key&gt;&lt;/foreign-keys&gt;&lt;ref-type name="Journal Article"&gt;17&lt;/ref-type&gt;&lt;contributors&gt;&lt;authors&gt;&lt;author&gt;Aurora, SK&lt;/author&gt;&lt;author&gt;Dodick, DW&lt;/author&gt;&lt;author&gt;Turkel, CC&lt;/author&gt;&lt;author&gt;DeGryse, RE&lt;/author&gt;&lt;author&gt;Silberstein, SD&lt;/author&gt;&lt;author&gt;Lipton, RB&lt;/author&gt;&lt;author&gt;Diener, HC&lt;/author&gt;&lt;author&gt;Brin, MF&lt;/author&gt;&lt;/authors&gt;&lt;/contributors&gt;&lt;titles&gt;&lt;title&gt;OnabotulinumtoxinA for treatment of chronic migraine: results from the double-blind, randomized, placebo-controlled phase of the PREEMPT 1 trial&lt;/title&gt;&lt;secondary-title&gt;Cephalalgia&lt;/secondary-title&gt;&lt;/titles&gt;&lt;periodical&gt;&lt;full-title&gt;Cephalalgia&lt;/full-title&gt;&lt;/periodical&gt;&lt;pages&gt;793-803&lt;/pages&gt;&lt;volume&gt;30&lt;/volume&gt;&lt;number&gt;7&lt;/number&gt;&lt;dates&gt;&lt;year&gt;2010&lt;/year&gt;&lt;/dates&gt;&lt;isbn&gt;0333-1024&lt;/isbn&gt;&lt;label&gt;31&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1</w:t>
            </w:r>
            <w:r w:rsidRPr="007E778F">
              <w:rPr>
                <w:rFonts w:eastAsia="Calibri" w:cstheme="minorHAnsi"/>
                <w:sz w:val="18"/>
                <w:szCs w:val="18"/>
              </w:rPr>
              <w:fldChar w:fldCharType="end"/>
            </w:r>
          </w:p>
          <w:p w14:paraId="6B6BB53D" w14:textId="77777777" w:rsidR="009642E2" w:rsidRPr="007E778F" w:rsidRDefault="009642E2" w:rsidP="00F60C3E">
            <w:pPr>
              <w:jc w:val="center"/>
              <w:rPr>
                <w:rFonts w:eastAsia="Calibri" w:cstheme="minorHAnsi"/>
                <w:sz w:val="18"/>
                <w:szCs w:val="18"/>
              </w:rPr>
            </w:pPr>
            <w:r w:rsidRPr="007E778F">
              <w:rPr>
                <w:rFonts w:eastAsia="Calibri" w:cstheme="minorHAnsi"/>
                <w:sz w:val="18"/>
                <w:szCs w:val="18"/>
              </w:rPr>
              <w:t>[PREEMPT1]</w:t>
            </w:r>
          </w:p>
        </w:tc>
        <w:tc>
          <w:tcPr>
            <w:tcW w:w="786" w:type="pct"/>
            <w:vMerge w:val="restart"/>
            <w:vAlign w:val="center"/>
          </w:tcPr>
          <w:p w14:paraId="1E14D0AF" w14:textId="3D467D4E"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Dodick 2019</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&lt;EndNote&gt;&lt;Cite&gt;&lt;Author&gt;Dodick&lt;/Author&gt;&lt;Year&gt;2019&lt;/Year&gt;&lt;RecNum&gt;45&lt;/RecNum&gt;&lt;DisplayText&gt;&lt;style face="superscript"&gt;2&lt;/style&gt;&lt;/DisplayText&gt;&lt;record&gt;&lt;rec-number&gt;45&lt;/rec-number&gt;&lt;foreign-keys&gt;&lt;key app="EN" db-id="fsz20seeavzsfie29wsx20a60watx2ffv2wz" timestamp="1662728680"&gt;45&lt;/key&gt;&lt;/foreign-keys&gt;&lt;ref-type name="Journal Article"&gt;17&lt;/ref-type&gt;&lt;contributors&gt;&lt;authors&gt;&lt;author&gt;Dodick, David W&lt;/author&gt;&lt;author&gt;Silberstein, Stephen D&lt;/author&gt;&lt;author&gt;Lipton, Richard B&lt;/author&gt;&lt;author&gt;DeGryse, Ronald E&lt;/author&gt;&lt;author&gt;Adams, Aubrey Manack&lt;/author&gt;&lt;author&gt;Diener, Hans-Christoph&lt;/author&gt;&lt;/authors&gt;&lt;/contributors&gt;&lt;titles&gt;&lt;title&gt;Early onset of effect of onabotulinumtoxinA for chronic migraine treatment: analysis of PREEMPT data&lt;/title&gt;&lt;secondary-title&gt;Cephalalgia&lt;/secondary-title&gt;&lt;/titles&gt;&lt;periodical&gt;&lt;full-title&gt;Cephalalgia&lt;/full-title&gt;&lt;/periodical&gt;&lt;pages&gt;945-956&lt;/pages&gt;&lt;volume&gt;39&lt;/volume&gt;&lt;number&gt;8&lt;/number&gt;&lt;dates&gt;&lt;year&gt;2019&lt;/year&gt;&lt;/dates&gt;&lt;isbn&gt;0333-1024&lt;/isbn&gt;&lt;label&gt;45&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2</w:t>
            </w:r>
            <w:r w:rsidRPr="007E778F">
              <w:rPr>
                <w:rFonts w:eastAsia="Calibri" w:cstheme="minorHAnsi"/>
                <w:sz w:val="18"/>
                <w:szCs w:val="18"/>
              </w:rPr>
              <w:fldChar w:fldCharType="end"/>
            </w:r>
            <w:r w:rsidRPr="007E778F">
              <w:rPr>
                <w:rFonts w:eastAsia="Calibri" w:cstheme="minorHAnsi"/>
                <w:sz w:val="18"/>
                <w:szCs w:val="18"/>
              </w:rPr>
              <w:t xml:space="preserve"> and 2010</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&lt;EndNote&gt;&lt;Cite&gt;&lt;Author&gt;Dodick&lt;/Author&gt;&lt;Year&gt;2010&lt;/Year&gt;&lt;RecNum&gt;46&lt;/RecNum&gt;&lt;DisplayText&gt;&lt;style face="superscript"&gt;3&lt;/style&gt;&lt;/DisplayText&gt;&lt;record&gt;&lt;rec-number&gt;46&lt;/rec-number&gt;&lt;foreign-keys&gt;&lt;key app="EN" db-id="fsz20seeavzsfie29wsx20a60watx2ffv2wz" timestamp="1662728927"&gt;46&lt;/key&gt;&lt;/foreign-keys&gt;&lt;ref-type name="Journal Article"&gt;17&lt;/ref-type&gt;&lt;contributors&gt;&lt;authors&gt;&lt;author&gt;Dodick, David W&lt;/author&gt;&lt;author&gt;Turkel, Catherine C&lt;/author&gt;&lt;author&gt;DeGryse, Ronald E&lt;/author&gt;&lt;author&gt;Aurora, Sheena K&lt;/author&gt;&lt;author&gt;Silberstein, Stephen D&lt;/author&gt;&lt;author&gt;Lipton, Richard B&lt;/author&gt;&lt;author&gt;Diener, Hans‐Christoph&lt;/author&gt;&lt;author&gt;Brin, Mitchell F&lt;/author&gt;&lt;/authors&gt;&lt;/contributors&gt;&lt;titles&gt;&lt;title&gt;OnabotulinumtoxinA for treatment of chronic migraine: Pooled results from the double‐blind, randomized, placebo‐controlled phases of the PREEMPT clinical program&lt;/title&gt;&lt;secondary-title&gt;Headache: The Journal of Head and Face Pain&lt;/secondary-title&gt;&lt;/titles&gt;&lt;periodical&gt;&lt;full-title&gt;Headache: The Journal of Head and Face Pain&lt;/full-title&gt;&lt;/periodical&gt;&lt;pages&gt;921-936&lt;/pages&gt;&lt;volume&gt;50&lt;/volume&gt;&lt;number&gt;6&lt;/number&gt;&lt;dates&gt;&lt;year&gt;2010&lt;/year&gt;&lt;/dates&gt;&lt;isbn&gt;0017-8748&lt;/isbn&gt;&lt;label&gt;46&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3</w:t>
            </w:r>
            <w:r w:rsidRPr="007E778F">
              <w:rPr>
                <w:rFonts w:eastAsia="Calibri" w:cstheme="minorHAnsi"/>
                <w:sz w:val="18"/>
                <w:szCs w:val="18"/>
              </w:rPr>
              <w:fldChar w:fldCharType="end"/>
            </w:r>
            <w:r w:rsidRPr="007E778F">
              <w:rPr>
                <w:rFonts w:eastAsia="Calibri" w:cstheme="minorHAnsi"/>
                <w:sz w:val="18"/>
                <w:szCs w:val="18"/>
              </w:rPr>
              <w:t xml:space="preserve">, </w:t>
            </w:r>
          </w:p>
          <w:p w14:paraId="1F96963A" w14:textId="3FCF6324"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Silberstein 2020</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&lt;EndNote&gt;&lt;Cite&gt;&lt;Author&gt;Silberstein&lt;/Author&gt;&lt;Year&gt;2020&lt;/Year&gt;&lt;RecNum&gt;47&lt;/RecNum&gt;&lt;DisplayText&gt;&lt;style face="superscript"&gt;4&lt;/style&gt;&lt;/DisplayText&gt;&lt;record&gt;&lt;rec-number&gt;47&lt;/rec-number&gt;&lt;foreign-keys&gt;&lt;key app="EN" db-id="fsz20seeavzsfie29wsx20a60watx2ffv2wz" timestamp="1662729065"&gt;47&lt;/key&gt;&lt;/foreign-keys&gt;&lt;ref-type name="Journal Article"&gt;17&lt;/ref-type&gt;&lt;contributors&gt;&lt;authors&gt;&lt;author&gt;Silberstein, Stephen D&lt;/author&gt;&lt;author&gt;Diener, Hans-Christoph&lt;/author&gt;&lt;author&gt;Dodick, David W&lt;/author&gt;&lt;author&gt;Manack Adams, Aubrey&lt;/author&gt;&lt;author&gt;DeGryse, Ronald E&lt;/author&gt;&lt;author&gt;Lipton, Richard B&lt;/author&gt;&lt;/authors&gt;&lt;/contributors&gt;&lt;titles&gt;&lt;title&gt;The impact of onabotulinumtoxinA vs. placebo on efficacy outcomes in headache day responder and nonresponder patients with chronic migraine&lt;/title&gt;&lt;secondary-title&gt;Pain and Therapy&lt;/secondary-title&gt;&lt;/titles&gt;&lt;periodical&gt;&lt;full-title&gt;Pain and Therapy&lt;/full-title&gt;&lt;/periodical&gt;&lt;pages&gt;695-707&lt;/pages&gt;&lt;volume&gt;9&lt;/volume&gt;&lt;number&gt;2&lt;/number&gt;&lt;dates&gt;&lt;year&gt;2020&lt;/year&gt;&lt;/dates&gt;&lt;isbn&gt;2193-651X&lt;/isbn&gt;&lt;label&gt;47&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4</w:t>
            </w:r>
            <w:r w:rsidRPr="007E778F">
              <w:rPr>
                <w:rFonts w:eastAsia="Calibri" w:cstheme="minorHAnsi"/>
                <w:sz w:val="18"/>
                <w:szCs w:val="18"/>
              </w:rPr>
              <w:fldChar w:fldCharType="end"/>
            </w:r>
            <w:r w:rsidRPr="007E778F">
              <w:rPr>
                <w:rFonts w:eastAsia="Calibri" w:cstheme="minorHAnsi"/>
                <w:sz w:val="18"/>
                <w:szCs w:val="18"/>
              </w:rPr>
              <w:t xml:space="preserve">, </w:t>
            </w:r>
          </w:p>
          <w:p w14:paraId="6F0E01F0" w14:textId="20256261"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Aurora 2014</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&lt;EndNote&gt;&lt;Cite&gt;&lt;Author&gt;Aurora&lt;/Author&gt;&lt;Year&gt;2014&lt;/Year&gt;&lt;RecNum&gt;48&lt;/RecNum&gt;&lt;DisplayText&gt;&lt;style face="superscript"&gt;5&lt;/style&gt;&lt;/DisplayText&gt;&lt;record&gt;&lt;rec-number&gt;48&lt;/rec-number&gt;&lt;foreign-keys&gt;&lt;key app="EN" db-id="fsz20seeavzsfie29wsx20a60watx2ffv2wz" timestamp="1662729317"&gt;48&lt;/key&gt;&lt;/foreign-keys&gt;&lt;ref-type name="Journal Article"&gt;17&lt;/ref-type&gt;&lt;contributors&gt;&lt;authors&gt;&lt;author&gt;Aurora, SK&lt;/author&gt;&lt;author&gt;Dodick, DW&lt;/author&gt;&lt;author&gt;Diener, H‐C&lt;/author&gt;&lt;author&gt;DeGryse, RE&lt;/author&gt;&lt;author&gt;Turkel, CC&lt;/author&gt;&lt;author&gt;Lipton, RB&lt;/author&gt;&lt;author&gt;Silberstein, SD&lt;/author&gt;&lt;/authors&gt;&lt;/contributors&gt;&lt;titles&gt;&lt;title&gt;OnabotulinumtoxinA for chronic migraine: efficacy, safety, and tolerability in patients who received all five treatment cycles in the PREEMPT clinical program&lt;/title&gt;&lt;secondary-title&gt;Acta Neurologica Scandinavica&lt;/secondary-title&gt;&lt;/titles&gt;&lt;periodical&gt;&lt;full-title&gt;Acta Neurologica Scandinavica&lt;/full-title&gt;&lt;/periodical&gt;&lt;pages&gt;61-70&lt;/pages&gt;&lt;volume&gt;129&lt;/volume&gt;&lt;number&gt;1&lt;/number&gt;&lt;dates&gt;&lt;year&gt;2014&lt;/year&gt;&lt;/dates&gt;&lt;isbn&gt;0001-6314&lt;/isbn&gt;&lt;label&gt;48&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5</w:t>
            </w:r>
            <w:r w:rsidRPr="007E778F">
              <w:rPr>
                <w:rFonts w:eastAsia="Calibri" w:cstheme="minorHAnsi"/>
                <w:sz w:val="18"/>
                <w:szCs w:val="18"/>
              </w:rPr>
              <w:fldChar w:fldCharType="end"/>
            </w:r>
            <w:r w:rsidRPr="007E778F">
              <w:rPr>
                <w:rFonts w:eastAsia="Calibri" w:cstheme="minorHAnsi"/>
                <w:sz w:val="18"/>
                <w:szCs w:val="18"/>
              </w:rPr>
              <w:t>,</w:t>
            </w:r>
          </w:p>
          <w:p w14:paraId="076D5059" w14:textId="08F5EFC1"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Lipton 2016</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&lt;EndNote&gt;&lt;Cite&gt;&lt;Author&gt;Lipton&lt;/Author&gt;&lt;Year&gt;2016&lt;/Year&gt;&lt;RecNum&gt;49&lt;/RecNum&gt;&lt;DisplayText&gt;&lt;style face="superscript"&gt;6&lt;/style&gt;&lt;/DisplayText&gt;&lt;record&gt;&lt;rec-number&gt;49&lt;/rec-number&gt;&lt;foreign-keys&gt;&lt;key app="EN" db-id="fsz20seeavzsfie29wsx20a60watx2ffv2wz" timestamp="1662729626"&gt;49&lt;/key&gt;&lt;/foreign-keys&gt;&lt;ref-type name="Journal Article"&gt;17&lt;/ref-type&gt;&lt;contributors&gt;&lt;authors&gt;&lt;author&gt;Lipton, Richard B&lt;/author&gt;&lt;author&gt;Rosen, Noah L&lt;/author&gt;&lt;author&gt;Ailani, Jessica&lt;/author&gt;&lt;author&gt;DeGryse, Ronald E&lt;/author&gt;&lt;author&gt;Gillard, Patrick J&lt;/author&gt;&lt;author&gt;Varon, Sepideh F&lt;/author&gt;&lt;/authors&gt;&lt;/contributors&gt;&lt;titles&gt;&lt;title&gt;OnabotulinumtoxinA improves quality of life and reduces impact of chronic migraine over one year of treatment: pooled results from the PREEMPT randomized clinical trial program&lt;/title&gt;&lt;secondary-title&gt;Cephalalgia&lt;/secondary-title&gt;&lt;/titles&gt;&lt;periodical&gt;&lt;full-title&gt;Cephalalgia&lt;/full-title&gt;&lt;/periodical&gt;&lt;pages&gt;899-908&lt;/pages&gt;&lt;volume&gt;36&lt;/volume&gt;&lt;number&gt;9&lt;/number&gt;&lt;dates&gt;&lt;year&gt;2016&lt;/year&gt;&lt;/dates&gt;&lt;isbn&gt;0333-1024&lt;/isbn&gt;&lt;label&gt;49&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6</w:t>
            </w:r>
            <w:r w:rsidRPr="007E778F">
              <w:rPr>
                <w:rFonts w:eastAsia="Calibri" w:cstheme="minorHAnsi"/>
                <w:sz w:val="18"/>
                <w:szCs w:val="18"/>
              </w:rPr>
              <w:fldChar w:fldCharType="end"/>
            </w:r>
          </w:p>
          <w:p w14:paraId="07B0191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restart"/>
            <w:vAlign w:val="center"/>
          </w:tcPr>
          <w:p w14:paraId="09BE2D2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 xml:space="preserve">56 sites in </w:t>
            </w:r>
            <w:bookmarkStart w:id="8" w:name="_Hlk132321805"/>
            <w:r w:rsidRPr="007E778F">
              <w:rPr>
                <w:rFonts w:eastAsia="Calibri" w:cstheme="minorHAnsi"/>
                <w:sz w:val="18"/>
                <w:szCs w:val="18"/>
              </w:rPr>
              <w:t>North America</w:t>
            </w:r>
            <w:bookmarkEnd w:id="8"/>
          </w:p>
        </w:tc>
        <w:tc>
          <w:tcPr>
            <w:tcW w:w="171" w:type="pct"/>
            <w:vMerge w:val="restart"/>
            <w:vAlign w:val="center"/>
          </w:tcPr>
          <w:p w14:paraId="5FD7807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 xml:space="preserve">ICHD-3 </w:t>
            </w:r>
          </w:p>
        </w:tc>
        <w:tc>
          <w:tcPr>
            <w:tcW w:w="161" w:type="pct"/>
            <w:vMerge w:val="restart"/>
            <w:vAlign w:val="center"/>
          </w:tcPr>
          <w:p w14:paraId="6969529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24DB</w:t>
            </w:r>
          </w:p>
        </w:tc>
        <w:tc>
          <w:tcPr>
            <w:tcW w:w="778" w:type="pct"/>
            <w:vAlign w:val="center"/>
          </w:tcPr>
          <w:p w14:paraId="0893400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Placebo</w:t>
            </w:r>
          </w:p>
        </w:tc>
        <w:tc>
          <w:tcPr>
            <w:tcW w:w="379" w:type="pct"/>
            <w:vAlign w:val="center"/>
          </w:tcPr>
          <w:p w14:paraId="140B409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39" w:type="pct"/>
            <w:vAlign w:val="center"/>
          </w:tcPr>
          <w:p w14:paraId="0EB93BE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243" w:type="pct"/>
            <w:vAlign w:val="center"/>
          </w:tcPr>
          <w:p w14:paraId="733C6B2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18" w:type="pct"/>
            <w:vAlign w:val="center"/>
          </w:tcPr>
          <w:p w14:paraId="6FE7ADA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338</w:t>
            </w:r>
          </w:p>
        </w:tc>
        <w:tc>
          <w:tcPr>
            <w:tcW w:w="135" w:type="pct"/>
            <w:vAlign w:val="center"/>
          </w:tcPr>
          <w:p w14:paraId="25FCDA1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85.8</w:t>
            </w:r>
          </w:p>
        </w:tc>
        <w:tc>
          <w:tcPr>
            <w:tcW w:w="135" w:type="pct"/>
            <w:vAlign w:val="center"/>
          </w:tcPr>
          <w:p w14:paraId="7046C39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42.1</w:t>
            </w:r>
          </w:p>
        </w:tc>
        <w:tc>
          <w:tcPr>
            <w:tcW w:w="135" w:type="pct"/>
            <w:vAlign w:val="center"/>
          </w:tcPr>
          <w:p w14:paraId="65CB97D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27.3</w:t>
            </w:r>
          </w:p>
        </w:tc>
        <w:tc>
          <w:tcPr>
            <w:tcW w:w="135" w:type="pct"/>
            <w:vAlign w:val="center"/>
          </w:tcPr>
          <w:p w14:paraId="4E8D986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19.1</w:t>
            </w:r>
          </w:p>
        </w:tc>
        <w:tc>
          <w:tcPr>
            <w:tcW w:w="135" w:type="pct"/>
            <w:vAlign w:val="center"/>
          </w:tcPr>
          <w:p w14:paraId="291BA9B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19.8</w:t>
            </w:r>
          </w:p>
        </w:tc>
        <w:tc>
          <w:tcPr>
            <w:tcW w:w="167" w:type="pct"/>
            <w:vAlign w:val="center"/>
          </w:tcPr>
          <w:p w14:paraId="2549A6B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38.8*</w:t>
            </w:r>
          </w:p>
        </w:tc>
        <w:tc>
          <w:tcPr>
            <w:tcW w:w="167" w:type="pct"/>
            <w:vAlign w:val="center"/>
          </w:tcPr>
          <w:p w14:paraId="158DBC4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56.1*</w:t>
            </w:r>
          </w:p>
        </w:tc>
        <w:tc>
          <w:tcPr>
            <w:tcW w:w="167" w:type="pct"/>
            <w:vAlign w:val="center"/>
          </w:tcPr>
          <w:p w14:paraId="797BFA8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43.3*</w:t>
            </w:r>
          </w:p>
        </w:tc>
      </w:tr>
      <w:tr w:rsidR="009642E2" w:rsidRPr="001303D6" w14:paraId="5C2CB517" w14:textId="77777777" w:rsidTr="005A68A6">
        <w:trPr>
          <w:trHeight w:val="283"/>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534A2D6D" w14:textId="77777777" w:rsidR="009642E2" w:rsidRPr="007E778F" w:rsidRDefault="009642E2" w:rsidP="00F60C3E">
            <w:pPr>
              <w:jc w:val="center"/>
              <w:rPr>
                <w:rFonts w:eastAsia="Calibri" w:cstheme="minorHAnsi"/>
                <w:sz w:val="18"/>
                <w:szCs w:val="18"/>
              </w:rPr>
            </w:pPr>
          </w:p>
        </w:tc>
        <w:tc>
          <w:tcPr>
            <w:tcW w:w="786" w:type="pct"/>
            <w:vMerge/>
            <w:vAlign w:val="center"/>
          </w:tcPr>
          <w:p w14:paraId="5FBD8B0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058C9DD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7E8FD6F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6F375CE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Align w:val="center"/>
          </w:tcPr>
          <w:p w14:paraId="39F3342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OnabotulinumtoxinA</w:t>
            </w:r>
          </w:p>
        </w:tc>
        <w:tc>
          <w:tcPr>
            <w:tcW w:w="379" w:type="pct"/>
            <w:vAlign w:val="center"/>
          </w:tcPr>
          <w:p w14:paraId="42238A5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155 U</w:t>
            </w:r>
          </w:p>
          <w:p w14:paraId="687FEA5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+40 U</w:t>
            </w:r>
          </w:p>
        </w:tc>
        <w:tc>
          <w:tcPr>
            <w:tcW w:w="139" w:type="pct"/>
            <w:vAlign w:val="center"/>
          </w:tcPr>
          <w:p w14:paraId="0E4E4D0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IM</w:t>
            </w:r>
            <w:r w:rsidRPr="007E778F">
              <w:rPr>
                <w:rFonts w:eastAsia="Calibri" w:cstheme="minorHAnsi"/>
                <w:sz w:val="18"/>
                <w:szCs w:val="18"/>
              </w:rPr>
              <w:t xml:space="preserve"> at 39 sites</w:t>
            </w:r>
          </w:p>
        </w:tc>
        <w:tc>
          <w:tcPr>
            <w:tcW w:w="243" w:type="pct"/>
            <w:vAlign w:val="center"/>
          </w:tcPr>
          <w:p w14:paraId="6CECA55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Every 12 week</w:t>
            </w:r>
          </w:p>
        </w:tc>
        <w:tc>
          <w:tcPr>
            <w:tcW w:w="118" w:type="pct"/>
            <w:vAlign w:val="center"/>
          </w:tcPr>
          <w:p w14:paraId="4D90824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341</w:t>
            </w:r>
          </w:p>
        </w:tc>
        <w:tc>
          <w:tcPr>
            <w:tcW w:w="135" w:type="pct"/>
            <w:vAlign w:val="center"/>
          </w:tcPr>
          <w:p w14:paraId="3BE2BF2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89.1</w:t>
            </w:r>
          </w:p>
        </w:tc>
        <w:tc>
          <w:tcPr>
            <w:tcW w:w="135" w:type="pct"/>
            <w:vAlign w:val="center"/>
          </w:tcPr>
          <w:p w14:paraId="04CB069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41.2</w:t>
            </w:r>
          </w:p>
        </w:tc>
        <w:tc>
          <w:tcPr>
            <w:tcW w:w="135" w:type="pct"/>
            <w:vAlign w:val="center"/>
          </w:tcPr>
          <w:p w14:paraId="7BC8B22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26.7</w:t>
            </w:r>
          </w:p>
        </w:tc>
        <w:tc>
          <w:tcPr>
            <w:tcW w:w="135" w:type="pct"/>
            <w:vAlign w:val="center"/>
          </w:tcPr>
          <w:p w14:paraId="5D66B60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19.1</w:t>
            </w:r>
          </w:p>
        </w:tc>
        <w:tc>
          <w:tcPr>
            <w:tcW w:w="135" w:type="pct"/>
            <w:vAlign w:val="center"/>
          </w:tcPr>
          <w:p w14:paraId="486288D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20</w:t>
            </w:r>
          </w:p>
        </w:tc>
        <w:tc>
          <w:tcPr>
            <w:tcW w:w="167" w:type="pct"/>
            <w:vAlign w:val="center"/>
          </w:tcPr>
          <w:p w14:paraId="072910A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39*</w:t>
            </w:r>
          </w:p>
        </w:tc>
        <w:tc>
          <w:tcPr>
            <w:tcW w:w="167" w:type="pct"/>
            <w:vAlign w:val="center"/>
          </w:tcPr>
          <w:p w14:paraId="4D6FA68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56.7*</w:t>
            </w:r>
          </w:p>
        </w:tc>
        <w:tc>
          <w:tcPr>
            <w:tcW w:w="167" w:type="pct"/>
            <w:vAlign w:val="center"/>
          </w:tcPr>
          <w:p w14:paraId="4F53C80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43.3*</w:t>
            </w:r>
          </w:p>
        </w:tc>
      </w:tr>
      <w:tr w:rsidR="006B2281" w:rsidRPr="001303D6" w14:paraId="0D998298" w14:textId="77777777" w:rsidTr="005A68A6">
        <w:trPr>
          <w:trHeight w:val="552"/>
        </w:trPr>
        <w:tc>
          <w:tcPr>
            <w:cnfStyle w:val="001000000000" w:firstRow="0" w:lastRow="0" w:firstColumn="1" w:lastColumn="0" w:oddVBand="0" w:evenVBand="0" w:oddHBand="0" w:evenHBand="0" w:firstRowFirstColumn="0" w:firstRowLastColumn="0" w:lastRowFirstColumn="0" w:lastRowLastColumn="0"/>
            <w:tcW w:w="351" w:type="pct"/>
            <w:vMerge w:val="restart"/>
            <w:vAlign w:val="center"/>
          </w:tcPr>
          <w:p w14:paraId="3A2C0E52" w14:textId="7D430D08" w:rsidR="009642E2" w:rsidRPr="007E778F" w:rsidRDefault="009642E2" w:rsidP="00F60C3E">
            <w:pPr>
              <w:jc w:val="center"/>
              <w:rPr>
                <w:rFonts w:eastAsia="Calibri" w:cstheme="minorHAnsi"/>
                <w:sz w:val="18"/>
                <w:szCs w:val="18"/>
              </w:rPr>
            </w:pPr>
            <w:r w:rsidRPr="007E778F">
              <w:rPr>
                <w:rFonts w:eastAsia="Calibri" w:cstheme="minorHAnsi"/>
                <w:sz w:val="18"/>
                <w:szCs w:val="18"/>
              </w:rPr>
              <w:t>Detke 2018</w:t>
            </w:r>
            <w:r>
              <w:rPr>
                <w:rFonts w:eastAsia="Calibri" w:cstheme="minorHAnsi"/>
                <w:sz w:val="18"/>
                <w:szCs w:val="18"/>
              </w:rPr>
              <w:t xml:space="preserve"> </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&lt;EndNote&gt;&lt;Cite&gt;&lt;Author&gt;Detke&lt;/Author&gt;&lt;Year&gt;2018&lt;/Year&gt;&lt;RecNum&gt;34&lt;/RecNum&gt;&lt;DisplayText&gt;&lt;style face="superscript"&gt;7&lt;/style&gt;&lt;/DisplayText&gt;&lt;record&gt;&lt;rec-number&gt;34&lt;/rec-number&gt;&lt;foreign-keys&gt;&lt;key app="EN" db-id="fsz20seeavzsfie29wsx20a60watx2ffv2wz" timestamp="1662393849"&gt;34&lt;/key&gt;&lt;/foreign-keys&gt;&lt;ref-type name="Journal Article"&gt;17&lt;/ref-type&gt;&lt;contributors&gt;&lt;authors&gt;&lt;author&gt;Detke, Holland C&lt;/author&gt;&lt;author&gt;Goadsby, Peter J&lt;/author&gt;&lt;author&gt;Wang, Shufang&lt;/author&gt;&lt;author&gt;Friedman, Deborah I&lt;/author&gt;&lt;author&gt;Selzler, Katherine J&lt;/author&gt;&lt;author&gt;Aurora, Sheena K&lt;/author&gt;&lt;/authors&gt;&lt;/contributors&gt;&lt;titles&gt;&lt;title&gt;Galcanezumab in chronic migraine: the randomized, double-blind, placebo-controlled REGAIN study&lt;/title&gt;&lt;secondary-title&gt;Neurology&lt;/secondary-title&gt;&lt;/titles&gt;&lt;periodical&gt;&lt;full-title&gt;Neurology&lt;/full-title&gt;&lt;/periodical&gt;&lt;pages&gt;e2211-e2221&lt;/pages&gt;&lt;volume&gt;91&lt;/volume&gt;&lt;number&gt;24&lt;/number&gt;&lt;dates&gt;&lt;year&gt;2018&lt;/year&gt;&lt;/dates&gt;&lt;isbn&gt;0028-3878&lt;/isbn&gt;&lt;label&gt;34&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7</w:t>
            </w:r>
            <w:r w:rsidRPr="007E778F">
              <w:rPr>
                <w:rFonts w:eastAsia="Calibri" w:cstheme="minorHAnsi"/>
                <w:sz w:val="18"/>
                <w:szCs w:val="18"/>
              </w:rPr>
              <w:fldChar w:fldCharType="end"/>
            </w:r>
          </w:p>
          <w:p w14:paraId="472E26E5" w14:textId="77777777" w:rsidR="009642E2" w:rsidRPr="007E778F" w:rsidRDefault="009642E2" w:rsidP="00F60C3E">
            <w:pPr>
              <w:jc w:val="center"/>
              <w:rPr>
                <w:rFonts w:eastAsia="Calibri" w:cstheme="minorHAnsi"/>
                <w:sz w:val="18"/>
                <w:szCs w:val="18"/>
              </w:rPr>
            </w:pPr>
            <w:r w:rsidRPr="007E778F">
              <w:rPr>
                <w:rFonts w:eastAsia="Calibri" w:cstheme="minorHAnsi"/>
                <w:sz w:val="18"/>
                <w:szCs w:val="18"/>
              </w:rPr>
              <w:t>[REGAIN]</w:t>
            </w:r>
          </w:p>
        </w:tc>
        <w:tc>
          <w:tcPr>
            <w:tcW w:w="786" w:type="pct"/>
            <w:vMerge w:val="restart"/>
            <w:tcBorders>
              <w:top w:val="single" w:sz="4" w:space="0" w:color="auto"/>
            </w:tcBorders>
            <w:vAlign w:val="center"/>
          </w:tcPr>
          <w:p w14:paraId="5097077E" w14:textId="2AF1BD54"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Ruff 2019</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&lt;EndNote&gt;&lt;Cite&gt;&lt;Author&gt;Ruff&lt;/Author&gt;&lt;Year&gt;2019&lt;/Year&gt;&lt;RecNum&gt;52&lt;/RecNum&gt;&lt;DisplayText&gt;&lt;style face="superscript"&gt;8&lt;/style&gt;&lt;/DisplayText&gt;&lt;record&gt;&lt;rec-number&gt;52&lt;/rec-number&gt;&lt;foreign-keys&gt;&lt;key app="EN" db-id="fsz20seeavzsfie29wsx20a60watx2ffv2wz" timestamp="1662730401"&gt;52&lt;/key&gt;&lt;/foreign-keys&gt;&lt;ref-type name="Journal Article"&gt;17&lt;/ref-type&gt;&lt;contributors&gt;&lt;authors&gt;&lt;author&gt;Ruff, Dustin D&lt;/author&gt;&lt;author&gt;Ford, Janet H&lt;/author&gt;&lt;author&gt;Tockhorn-Heidenreich, Antje&lt;/author&gt;&lt;author&gt;Sexson, Matthew&lt;/author&gt;&lt;author&gt;Govindan, Sriram&lt;/author&gt;&lt;author&gt;Pearlman, Eric M&lt;/author&gt;&lt;author&gt;Wang, Shuu-Jiun&lt;/author&gt;&lt;author&gt;Khan, Arif&lt;/author&gt;&lt;author&gt;Aurora, Sheena K&lt;/author&gt;&lt;/authors&gt;&lt;/contributors&gt;&lt;titles&gt;&lt;title&gt;Efficacy of galcanezumab in patients with chronic migraine and a history of preventive treatment failure&lt;/title&gt;&lt;secondary-title&gt;Cephalalgia&lt;/secondary-title&gt;&lt;/titles&gt;&lt;periodical&gt;&lt;full-title&gt;Cephalalgia&lt;/full-title&gt;&lt;/periodical&gt;&lt;pages&gt;931-944&lt;/pages&gt;&lt;volume&gt;39&lt;/volume&gt;&lt;number&gt;8&lt;/number&gt;&lt;dates&gt;&lt;year&gt;2019&lt;/year&gt;&lt;/dates&gt;&lt;isbn&gt;0333-1024&lt;/isbn&gt;&lt;label&gt;52&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8</w:t>
            </w:r>
            <w:r w:rsidRPr="007E778F">
              <w:rPr>
                <w:rFonts w:eastAsia="Calibri" w:cstheme="minorHAnsi"/>
                <w:sz w:val="18"/>
                <w:szCs w:val="18"/>
              </w:rPr>
              <w:fldChar w:fldCharType="end"/>
            </w:r>
            <w:r w:rsidRPr="007E778F">
              <w:rPr>
                <w:rFonts w:eastAsia="Calibri" w:cstheme="minorHAnsi"/>
                <w:sz w:val="18"/>
                <w:szCs w:val="18"/>
              </w:rPr>
              <w:t>,</w:t>
            </w:r>
          </w:p>
          <w:p w14:paraId="4D07409E" w14:textId="77E875CC"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Ford 2021</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&lt;EndNote&gt;&lt;Cite&gt;&lt;Author&gt;Ford&lt;/Author&gt;&lt;Year&gt;2021&lt;/Year&gt;&lt;RecNum&gt;53&lt;/RecNum&gt;&lt;DisplayText&gt;&lt;style face="superscript"&gt;9&lt;/style&gt;&lt;/DisplayText&gt;&lt;record&gt;&lt;rec-number&gt;53&lt;/rec-number&gt;&lt;foreign-keys&gt;&lt;key app="EN" db-id="fsz20seeavzsfie29wsx20a60watx2ffv2wz" timestamp="1662730490"&gt;53&lt;/key&gt;&lt;/foreign-keys&gt;&lt;ref-type name="Journal Article"&gt;17&lt;/ref-type&gt;&lt;contributors&gt;&lt;authors&gt;&lt;author&gt;Ford, Janet&lt;/author&gt;&lt;author&gt;Tassorelli, Cristina&lt;/author&gt;&lt;author&gt;Leroux, Elizabeth&lt;/author&gt;&lt;author&gt;Wang, Shufang&lt;/author&gt;&lt;author&gt;Ayer, David&lt;/author&gt;&lt;author&gt;Nichols, Russell&lt;/author&gt;&lt;author&gt;Detke, Holland&lt;/author&gt;&lt;/authors&gt;&lt;/contributors&gt;&lt;titles&gt;&lt;title&gt;Changes in patient functioning and disability: results from a phase 3, double-blind, randomized, placebo-controlled clinical trial evaluating galcanezumab for chronic migraine prevention (REGAIN)&lt;/title&gt;&lt;secondary-title&gt;Quality of Life Research&lt;/secondary-title&gt;&lt;/titles&gt;&lt;periodical&gt;&lt;full-title&gt;Quality of Life Research&lt;/full-title&gt;&lt;/periodical&gt;&lt;pages&gt;105-115&lt;/pages&gt;&lt;volume&gt;30&lt;/volume&gt;&lt;number&gt;1&lt;/number&gt;&lt;dates&gt;&lt;year&gt;2021&lt;/year&gt;&lt;/dates&gt;&lt;isbn&gt;1573-2649&lt;/isbn&gt;&lt;label&gt;53&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9</w:t>
            </w:r>
            <w:r w:rsidRPr="007E778F">
              <w:rPr>
                <w:rFonts w:eastAsia="Calibri" w:cstheme="minorHAnsi"/>
                <w:sz w:val="18"/>
                <w:szCs w:val="18"/>
              </w:rPr>
              <w:fldChar w:fldCharType="end"/>
            </w:r>
            <w:r w:rsidRPr="007E778F">
              <w:rPr>
                <w:rFonts w:eastAsia="Calibri" w:cstheme="minorHAnsi"/>
                <w:sz w:val="18"/>
                <w:szCs w:val="18"/>
              </w:rPr>
              <w:t>, Förderreuther 2018</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&lt;EndNote&gt;&lt;Cite&gt;&lt;Author&gt;Förderreuther&lt;/Author&gt;&lt;Year&gt;2018&lt;/Year&gt;&lt;RecNum&gt;54&lt;/RecNum&gt;&lt;DisplayText&gt;&lt;style face="superscript"&gt;10&lt;/style&gt;&lt;/DisplayText&gt;&lt;record&gt;&lt;rec-number&gt;54&lt;/rec-number&gt;&lt;foreign-keys&gt;&lt;key app="EN" db-id="fsz20seeavzsfie29wsx20a60watx2ffv2wz" timestamp="1662732482"&gt;54&lt;/key&gt;&lt;/foreign-keys&gt;&lt;ref-type name="Journal Article"&gt;17&lt;/ref-type&gt;&lt;contributors&gt;&lt;authors&gt;&lt;author&gt;Förderreuther, Stefanie&lt;/author&gt;&lt;author&gt;Zhang, Qi&lt;/author&gt;&lt;author&gt;Stauffer, Virginia L&lt;/author&gt;&lt;author&gt;Aurora, Sheena K&lt;/author&gt;&lt;author&gt;Láinez, Miguel JA&lt;/author&gt;&lt;/authors&gt;&lt;/contributors&gt;&lt;titles&gt;&lt;title&gt;Preventive effects of galcanezumab in adult patients with episodic or chronic migraine are persistent: data from the phase 3, randomized, double-blind, placebo-controlled EVOLVE-1, EVOLVE-2, and REGAIN studies&lt;/title&gt;&lt;secondary-title&gt;The journal of headache and pain&lt;/secondary-title&gt;&lt;/titles&gt;&lt;periodical&gt;&lt;full-title&gt;The journal of headache and pain&lt;/full-title&gt;&lt;/periodical&gt;&lt;pages&gt;1-9&lt;/pages&gt;&lt;volume&gt;19&lt;/volume&gt;&lt;number&gt;1&lt;/number&gt;&lt;dates&gt;&lt;year&gt;2018&lt;/year&gt;&lt;/dates&gt;&lt;isbn&gt;1129-2377&lt;/isbn&gt;&lt;label&gt;54&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10</w:t>
            </w:r>
            <w:r w:rsidRPr="007E778F">
              <w:rPr>
                <w:rFonts w:eastAsia="Calibri" w:cstheme="minorHAnsi"/>
                <w:sz w:val="18"/>
                <w:szCs w:val="18"/>
              </w:rPr>
              <w:fldChar w:fldCharType="end"/>
            </w:r>
            <w:r w:rsidRPr="007E778F">
              <w:rPr>
                <w:rFonts w:eastAsia="Calibri" w:cstheme="minorHAnsi"/>
                <w:sz w:val="18"/>
                <w:szCs w:val="18"/>
              </w:rPr>
              <w:t>, Aliani 2020</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&lt;EndNote&gt;&lt;Cite&gt;&lt;Author&gt;Ailani&lt;/Author&gt;&lt;Year&gt;2020&lt;/Year&gt;&lt;RecNum&gt;55&lt;/RecNum&gt;&lt;DisplayText&gt;&lt;style face="superscript"&gt;11&lt;/style&gt;&lt;/DisplayText&gt;&lt;record&gt;&lt;rec-number&gt;55&lt;/rec-number&gt;&lt;foreign-keys&gt;&lt;key app="EN" db-id="fsz20seeavzsfie29wsx20a60watx2ffv2wz" timestamp="1662732537"&gt;55&lt;/key&gt;&lt;/foreign-keys&gt;&lt;ref-type name="Journal Article"&gt;17&lt;/ref-type&gt;&lt;contributors&gt;&lt;authors&gt;&lt;author&gt;Ailani, Jessica&lt;/author&gt;&lt;author&gt;Andrews, J Scott&lt;/author&gt;&lt;author&gt;Rettiganti, Mallikarjuna&lt;/author&gt;&lt;author&gt;Nicholson, Robert A&lt;/author&gt;&lt;/authors&gt;&lt;/contributors&gt;&lt;titles&gt;&lt;title&gt;Impact of galcanezumab on total pain burden: findings from phase 3 randomized, double-blind, placebo-controlled studies in patients with episodic or chronic migraine (EVOLVE-1, EVOLVE-2, and REGAIN trials)&lt;/title&gt;&lt;secondary-title&gt;The journal of headache and pain&lt;/secondary-title&gt;&lt;/titles&gt;&lt;periodical&gt;&lt;full-title&gt;The journal of headache and pain&lt;/full-title&gt;&lt;/periodical&gt;&lt;pages&gt;1-9&lt;/pages&gt;&lt;volume&gt;21&lt;/volume&gt;&lt;number&gt;1&lt;/number&gt;&lt;dates&gt;&lt;year&gt;2020&lt;/year&gt;&lt;/dates&gt;&lt;isbn&gt;1129-2377&lt;/isbn&gt;&lt;label&gt;55&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11</w:t>
            </w:r>
            <w:r w:rsidRPr="007E778F">
              <w:rPr>
                <w:rFonts w:eastAsia="Calibri" w:cstheme="minorHAnsi"/>
                <w:sz w:val="18"/>
                <w:szCs w:val="18"/>
              </w:rPr>
              <w:fldChar w:fldCharType="end"/>
            </w:r>
            <w:r w:rsidRPr="007E778F">
              <w:rPr>
                <w:rFonts w:eastAsia="Calibri" w:cstheme="minorHAnsi"/>
                <w:sz w:val="18"/>
                <w:szCs w:val="18"/>
              </w:rPr>
              <w:t xml:space="preserve">, </w:t>
            </w:r>
          </w:p>
          <w:p w14:paraId="4BFA2A6D" w14:textId="0B3A2CF8"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Ament 2021</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&lt;EndNote&gt;&lt;Cite&gt;&lt;Author&gt;Ament&lt;/Author&gt;&lt;Year&gt;2021&lt;/Year&gt;&lt;RecNum&gt;56&lt;/RecNum&gt;&lt;DisplayText&gt;&lt;style face="superscript"&gt;12&lt;/style&gt;&lt;/DisplayText&gt;&lt;record&gt;&lt;rec-number&gt;56&lt;/rec-number&gt;&lt;foreign-keys&gt;&lt;key app="EN" db-id="fsz20seeavzsfie29wsx20a60watx2ffv2wz" timestamp="1662732576"&gt;56&lt;/key&gt;&lt;/foreign-keys&gt;&lt;ref-type name="Journal Article"&gt;17&lt;/ref-type&gt;&lt;contributors&gt;&lt;authors&gt;&lt;author&gt;Ament, Michael&lt;/author&gt;&lt;author&gt;Day, Kathleen&lt;/author&gt;&lt;author&gt;Stauffer, Virginia L&lt;/author&gt;&lt;author&gt;Skljarevski, Vladimir&lt;/author&gt;&lt;author&gt;Rettiganti, Mallikarjuna&lt;/author&gt;&lt;author&gt;Pearlman, Eric&lt;/author&gt;&lt;author&gt;Aurora, Sheena K&lt;/author&gt;&lt;/authors&gt;&lt;/contributors&gt;&lt;titles&gt;&lt;title&gt;Effect of galcanezumab on severity and symptoms of migraine in phase 3 trials in patients with episodic or chronic migraine&lt;/title&gt;&lt;secondary-title&gt;The journal of headache and pain&lt;/secondary-title&gt;&lt;/titles&gt;&lt;periodical&gt;&lt;full-title&gt;The journal of headache and pain&lt;/full-title&gt;&lt;/periodical&gt;&lt;pages&gt;1-10&lt;/pages&gt;&lt;volume&gt;22&lt;/volume&gt;&lt;number&gt;1&lt;/number&gt;&lt;dates&gt;&lt;year&gt;2021&lt;/year&gt;&lt;/dates&gt;&lt;isbn&gt;1129-2377&lt;/isbn&gt;&lt;label&gt;56&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12</w:t>
            </w:r>
            <w:r w:rsidRPr="007E778F">
              <w:rPr>
                <w:rFonts w:eastAsia="Calibri" w:cstheme="minorHAnsi"/>
                <w:sz w:val="18"/>
                <w:szCs w:val="18"/>
              </w:rPr>
              <w:fldChar w:fldCharType="end"/>
            </w:r>
          </w:p>
          <w:p w14:paraId="2916C960" w14:textId="754C1B26" w:rsidR="00835A00" w:rsidRDefault="00835A00"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Ailani 2022</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&lt;EndNote&gt;&lt;Cite&gt;&lt;Author&gt;Ailani&lt;/Author&gt;&lt;Year&gt;2022&lt;/Year&gt;&lt;RecNum&gt;507&lt;/RecNum&gt;&lt;DisplayText&gt;&lt;style face="superscript"&gt;13&lt;/style&gt;&lt;/DisplayText&gt;&lt;record&gt;&lt;rec-number&gt;507&lt;/rec-number&gt;&lt;foreign-keys&gt;&lt;key app="EN" db-id="fsz20seeavzsfie29wsx20a60watx2ffv2wz" timestamp="1681422862"&gt;507&lt;/key&gt;&lt;/foreign-keys&gt;&lt;ref-type name="Journal Article"&gt;17&lt;/ref-type&gt;&lt;contributors&gt;&lt;authors&gt;&lt;author&gt;Ailani, Jessica&lt;/author&gt;&lt;author&gt;Kuruppu, Dulanji K&lt;/author&gt;&lt;author&gt;Rettiganti, Mallikarjuna&lt;/author&gt;&lt;author&gt;Oakes, Tina&lt;/author&gt;&lt;author&gt;Schroeder, Krista&lt;/author&gt;&lt;author&gt;Wietecha, Linda&lt;/author&gt;&lt;author&gt;Port, Martha&lt;/author&gt;&lt;author&gt;Blumenfeld, Andrew M&lt;/author&gt;&lt;/authors&gt;&lt;/contributors&gt;&lt;titles&gt;&lt;title&gt;Does “wearing off” of efficacy occur in galcanezumab‐treated patients at the end of the monthly treatment cycle? Post hoc analyses of four phase III randomized trials&lt;/title&gt;&lt;secondary-title&gt;Headache: The Journal of Head and Face Pain&lt;/secondary-title&gt;&lt;/titles&gt;&lt;periodical&gt;&lt;full-title&gt;Headache: The Journal of Head and Face Pain&lt;/full-title&gt;&lt;/periodical&gt;&lt;pages&gt;198-207&lt;/pages&gt;&lt;volume&gt;62&lt;/volume&gt;&lt;number&gt;2&lt;/number&gt;&lt;dates&gt;&lt;year&gt;2022&lt;/year&gt;&lt;/dates&gt;&lt;isbn&gt;0017-8748&lt;/isbn&gt;&lt;label&gt;507&lt;/label&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13</w:t>
            </w:r>
            <w:r>
              <w:rPr>
                <w:rFonts w:eastAsia="Calibri" w:cstheme="minorHAnsi"/>
                <w:sz w:val="18"/>
                <w:szCs w:val="18"/>
              </w:rPr>
              <w:fldChar w:fldCharType="end"/>
            </w:r>
          </w:p>
          <w:p w14:paraId="37B74ACE" w14:textId="13017691" w:rsidR="00835A00" w:rsidRDefault="00835A00"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Tobin 2022</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&lt;EndNote&gt;&lt;Cite&gt;&lt;Author&gt;Tobin&lt;/Author&gt;&lt;Year&gt;2022&lt;/Year&gt;&lt;RecNum&gt;511&lt;/RecNum&gt;&lt;DisplayText&gt;&lt;style face="superscript"&gt;14&lt;/style&gt;&lt;/DisplayText&gt;&lt;record&gt;&lt;rec-number&gt;511&lt;/rec-number&gt;&lt;foreign-keys&gt;&lt;key app="EN" db-id="fsz20seeavzsfie29wsx20a60watx2ffv2wz" timestamp="1681423168"&gt;511&lt;/key&gt;&lt;/foreign-keys&gt;&lt;ref-type name="Journal Article"&gt;17&lt;/ref-type&gt;&lt;contributors&gt;&lt;authors&gt;&lt;author&gt;Tobin, Joshua A&lt;/author&gt;&lt;author&gt;Joshi, Shivang&lt;/author&gt;&lt;author&gt;Ford, Janet H&lt;/author&gt;&lt;author&gt;Nichols, Russell M&lt;/author&gt;&lt;author&gt;Foster, Shonda A&lt;/author&gt;&lt;author&gt;Ruff, Dustin&lt;/author&gt;&lt;author&gt;Detke, Holland C&lt;/author&gt;&lt;author&gt;Aurora, Sheena K&lt;/author&gt;&lt;/authors&gt;&lt;/contributors&gt;&lt;titles&gt;&lt;title&gt;Reductions in acute medication use and healthcare resource utilization in patients with chronic migraine: a secondary analysis of a phase 3, randomized, double-blind, placebo-controlled study of galcanezumab with open-label extension (REGAIN)&lt;/title&gt;&lt;secondary-title&gt;Journal of Medical Economics&lt;/secondary-title&gt;&lt;/titles&gt;&lt;periodical&gt;&lt;full-title&gt;Journal of Medical Economics&lt;/full-title&gt;&lt;abbr-1&gt;J. Med. Econ.&lt;/abbr-1&gt;&lt;/periodical&gt;&lt;pages&gt;1030-1038&lt;/pages&gt;&lt;volume&gt;25&lt;/volume&gt;&lt;number&gt;1&lt;/number&gt;&lt;dates&gt;&lt;year&gt;2022&lt;/year&gt;&lt;/dates&gt;&lt;isbn&gt;1369-6998&lt;/isbn&gt;&lt;label&gt;511&lt;/label&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14</w:t>
            </w:r>
            <w:r>
              <w:rPr>
                <w:rFonts w:eastAsia="Calibri" w:cstheme="minorHAnsi"/>
                <w:sz w:val="18"/>
                <w:szCs w:val="18"/>
              </w:rPr>
              <w:fldChar w:fldCharType="end"/>
            </w:r>
          </w:p>
          <w:p w14:paraId="2A46D10E" w14:textId="6BC788B0" w:rsidR="002D4C7E" w:rsidRPr="007E778F" w:rsidRDefault="002D4C7E"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Poso-Rosich 2022</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&lt;EndNote&gt;&lt;Cite&gt;&lt;Author&gt;Pozo-Rosich&lt;/Author&gt;&lt;Year&gt;2022&lt;/Year&gt;&lt;RecNum&gt;506&lt;/RecNum&gt;&lt;DisplayText&gt;&lt;style face="superscript"&gt;15&lt;/style&gt;&lt;/DisplayText&gt;&lt;record&gt;&lt;rec-number&gt;506&lt;/rec-number&gt;&lt;foreign-keys&gt;&lt;key app="EN" db-id="fsz20seeavzsfie29wsx20a60watx2ffv2wz" timestamp="1681422707"&gt;506&lt;/key&gt;&lt;/foreign-keys&gt;&lt;ref-type name="Journal Article"&gt;17&lt;/ref-type&gt;&lt;contributors&gt;&lt;authors&gt;&lt;author&gt;Pozo-Rosich, Patricia&lt;/author&gt;&lt;author&gt;Dodick, David W&lt;/author&gt;&lt;author&gt;Ettrup, Anders&lt;/author&gt;&lt;author&gt;Hirman, Joe&lt;/author&gt;&lt;author&gt;Cady, Roger&lt;/author&gt;&lt;/authors&gt;&lt;/contributors&gt;&lt;titles&gt;&lt;title&gt;Shift in diagnostic classification of migraine after initiation of preventive treatment with eptinezumab: post hoc analysis of the PROMISE studies&lt;/title&gt;&lt;secondary-title&gt;BMC neurology&lt;/secondary-title&gt;&lt;/titles&gt;&lt;periodical&gt;&lt;full-title&gt;BMC Neurology&lt;/full-title&gt;&lt;abbr-1&gt;BMC Neurol.&lt;/abbr-1&gt;&lt;/periodical&gt;&lt;pages&gt;1-10&lt;/pages&gt;&lt;volume&gt;22&lt;/volume&gt;&lt;number&gt;1&lt;/number&gt;&lt;dates&gt;&lt;year&gt;2022&lt;/year&gt;&lt;/dates&gt;&lt;isbn&gt;1471-2377&lt;/isbn&gt;&lt;label&gt;506&lt;/label&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15</w:t>
            </w:r>
            <w:r>
              <w:rPr>
                <w:rFonts w:eastAsia="Calibri" w:cstheme="minorHAnsi"/>
                <w:sz w:val="18"/>
                <w:szCs w:val="18"/>
              </w:rPr>
              <w:fldChar w:fldCharType="end"/>
            </w:r>
          </w:p>
        </w:tc>
        <w:tc>
          <w:tcPr>
            <w:tcW w:w="700" w:type="pct"/>
            <w:vMerge w:val="restart"/>
            <w:tcBorders>
              <w:top w:val="single" w:sz="4" w:space="0" w:color="auto"/>
            </w:tcBorders>
            <w:vAlign w:val="center"/>
          </w:tcPr>
          <w:p w14:paraId="79CECFE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 xml:space="preserve">116 </w:t>
            </w:r>
            <w:r>
              <w:rPr>
                <w:rFonts w:eastAsia="Calibri" w:cstheme="minorHAnsi"/>
                <w:sz w:val="18"/>
                <w:szCs w:val="18"/>
              </w:rPr>
              <w:t>c</w:t>
            </w:r>
            <w:r w:rsidRPr="007E778F">
              <w:rPr>
                <w:rFonts w:eastAsia="Calibri" w:cstheme="minorHAnsi"/>
                <w:sz w:val="18"/>
                <w:szCs w:val="18"/>
              </w:rPr>
              <w:t xml:space="preserve">enters </w:t>
            </w:r>
            <w:r>
              <w:rPr>
                <w:rFonts w:eastAsia="Calibri" w:cstheme="minorHAnsi"/>
                <w:sz w:val="18"/>
                <w:szCs w:val="18"/>
              </w:rPr>
              <w:t xml:space="preserve">in </w:t>
            </w:r>
            <w:r w:rsidRPr="007E778F">
              <w:rPr>
                <w:rFonts w:eastAsia="Calibri" w:cstheme="minorHAnsi"/>
                <w:sz w:val="18"/>
                <w:szCs w:val="18"/>
              </w:rPr>
              <w:t>Argentina, Canada, Czech Republic,</w:t>
            </w:r>
            <w:r>
              <w:rPr>
                <w:rFonts w:eastAsia="Calibri" w:cstheme="minorHAnsi"/>
                <w:sz w:val="18"/>
                <w:szCs w:val="18"/>
              </w:rPr>
              <w:t xml:space="preserve"> </w:t>
            </w:r>
            <w:r w:rsidRPr="007E778F">
              <w:rPr>
                <w:rFonts w:eastAsia="Calibri" w:cstheme="minorHAnsi"/>
                <w:sz w:val="18"/>
                <w:szCs w:val="18"/>
              </w:rPr>
              <w:t>Germany, Israel, Italy, Mexico, Netherlands, Spain, Taiwan,</w:t>
            </w:r>
            <w:r>
              <w:rPr>
                <w:rFonts w:eastAsia="Calibri" w:cstheme="minorHAnsi"/>
                <w:sz w:val="18"/>
                <w:szCs w:val="18"/>
              </w:rPr>
              <w:t xml:space="preserve"> </w:t>
            </w:r>
            <w:r w:rsidRPr="007E778F">
              <w:rPr>
                <w:rFonts w:eastAsia="Calibri" w:cstheme="minorHAnsi"/>
                <w:sz w:val="18"/>
                <w:szCs w:val="18"/>
              </w:rPr>
              <w:t>UK,</w:t>
            </w:r>
            <w:r>
              <w:rPr>
                <w:rFonts w:eastAsia="Calibri" w:cstheme="minorHAnsi"/>
                <w:sz w:val="18"/>
                <w:szCs w:val="18"/>
              </w:rPr>
              <w:t xml:space="preserve"> and</w:t>
            </w:r>
            <w:r w:rsidRPr="007E778F">
              <w:rPr>
                <w:rFonts w:eastAsia="Calibri" w:cstheme="minorHAnsi"/>
                <w:sz w:val="18"/>
                <w:szCs w:val="18"/>
              </w:rPr>
              <w:t xml:space="preserve"> USA</w:t>
            </w:r>
          </w:p>
        </w:tc>
        <w:tc>
          <w:tcPr>
            <w:tcW w:w="171" w:type="pct"/>
            <w:vMerge w:val="restart"/>
            <w:vAlign w:val="center"/>
          </w:tcPr>
          <w:p w14:paraId="0E0A3473" w14:textId="77777777"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p w14:paraId="388AD25B" w14:textId="77777777"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p w14:paraId="40B4B7D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 xml:space="preserve">ICHD-3 </w:t>
            </w:r>
          </w:p>
        </w:tc>
        <w:tc>
          <w:tcPr>
            <w:tcW w:w="161" w:type="pct"/>
            <w:vMerge w:val="restart"/>
            <w:vAlign w:val="center"/>
          </w:tcPr>
          <w:p w14:paraId="6FFD7138" w14:textId="77777777"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p w14:paraId="68ED616F" w14:textId="77777777"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p w14:paraId="75BFD55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12DB</w:t>
            </w:r>
          </w:p>
        </w:tc>
        <w:tc>
          <w:tcPr>
            <w:tcW w:w="778" w:type="pct"/>
            <w:vAlign w:val="center"/>
          </w:tcPr>
          <w:p w14:paraId="5B68214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Placebo</w:t>
            </w:r>
          </w:p>
        </w:tc>
        <w:tc>
          <w:tcPr>
            <w:tcW w:w="379" w:type="pct"/>
            <w:vAlign w:val="center"/>
          </w:tcPr>
          <w:p w14:paraId="44D277E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39" w:type="pct"/>
            <w:vAlign w:val="center"/>
          </w:tcPr>
          <w:p w14:paraId="594E356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243" w:type="pct"/>
            <w:vAlign w:val="center"/>
          </w:tcPr>
          <w:p w14:paraId="2863868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18" w:type="pct"/>
            <w:vAlign w:val="center"/>
          </w:tcPr>
          <w:p w14:paraId="0D2C1E1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558</w:t>
            </w:r>
          </w:p>
        </w:tc>
        <w:tc>
          <w:tcPr>
            <w:tcW w:w="135" w:type="pct"/>
            <w:vAlign w:val="center"/>
          </w:tcPr>
          <w:p w14:paraId="708C262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87</w:t>
            </w:r>
          </w:p>
        </w:tc>
        <w:tc>
          <w:tcPr>
            <w:tcW w:w="135" w:type="pct"/>
            <w:vAlign w:val="center"/>
          </w:tcPr>
          <w:p w14:paraId="4BA0D4C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41.6</w:t>
            </w:r>
          </w:p>
        </w:tc>
        <w:tc>
          <w:tcPr>
            <w:tcW w:w="135" w:type="pct"/>
            <w:vAlign w:val="center"/>
          </w:tcPr>
          <w:p w14:paraId="740EAC4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26.5</w:t>
            </w:r>
          </w:p>
        </w:tc>
        <w:tc>
          <w:tcPr>
            <w:tcW w:w="135" w:type="pct"/>
            <w:vAlign w:val="center"/>
          </w:tcPr>
          <w:p w14:paraId="71F41A8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19.6</w:t>
            </w:r>
          </w:p>
        </w:tc>
        <w:tc>
          <w:tcPr>
            <w:tcW w:w="135" w:type="pct"/>
            <w:vAlign w:val="center"/>
          </w:tcPr>
          <w:p w14:paraId="3CAA74E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21.5</w:t>
            </w:r>
          </w:p>
        </w:tc>
        <w:tc>
          <w:tcPr>
            <w:tcW w:w="167" w:type="pct"/>
            <w:vAlign w:val="center"/>
          </w:tcPr>
          <w:p w14:paraId="72537CE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38.4</w:t>
            </w:r>
          </w:p>
        </w:tc>
        <w:tc>
          <w:tcPr>
            <w:tcW w:w="167" w:type="pct"/>
            <w:vAlign w:val="center"/>
          </w:tcPr>
          <w:p w14:paraId="07EAE86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55</w:t>
            </w:r>
          </w:p>
        </w:tc>
        <w:tc>
          <w:tcPr>
            <w:tcW w:w="167" w:type="pct"/>
            <w:vAlign w:val="center"/>
          </w:tcPr>
          <w:p w14:paraId="59E3A76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44.2</w:t>
            </w:r>
          </w:p>
        </w:tc>
      </w:tr>
      <w:tr w:rsidR="009642E2" w:rsidRPr="001303D6" w14:paraId="1EC41D6C" w14:textId="77777777" w:rsidTr="005A68A6">
        <w:trPr>
          <w:trHeight w:val="546"/>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5533BDD6" w14:textId="77777777" w:rsidR="009642E2" w:rsidRPr="007E778F" w:rsidRDefault="009642E2" w:rsidP="00F60C3E">
            <w:pPr>
              <w:jc w:val="center"/>
              <w:rPr>
                <w:rFonts w:eastAsia="Calibri" w:cstheme="minorHAnsi"/>
                <w:sz w:val="18"/>
                <w:szCs w:val="18"/>
              </w:rPr>
            </w:pPr>
          </w:p>
        </w:tc>
        <w:tc>
          <w:tcPr>
            <w:tcW w:w="786" w:type="pct"/>
            <w:vMerge/>
            <w:vAlign w:val="center"/>
          </w:tcPr>
          <w:p w14:paraId="3D06928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40314D4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3E6F0BD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4525150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Merge w:val="restart"/>
            <w:vAlign w:val="center"/>
          </w:tcPr>
          <w:p w14:paraId="3AA4D86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Galcanezumab</w:t>
            </w:r>
          </w:p>
        </w:tc>
        <w:tc>
          <w:tcPr>
            <w:tcW w:w="379" w:type="pct"/>
            <w:vAlign w:val="center"/>
          </w:tcPr>
          <w:p w14:paraId="610DE07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120 mg</w:t>
            </w:r>
          </w:p>
        </w:tc>
        <w:tc>
          <w:tcPr>
            <w:tcW w:w="139" w:type="pct"/>
            <w:vAlign w:val="center"/>
          </w:tcPr>
          <w:p w14:paraId="6C6956A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SC</w:t>
            </w:r>
          </w:p>
        </w:tc>
        <w:tc>
          <w:tcPr>
            <w:tcW w:w="243" w:type="pct"/>
            <w:vAlign w:val="center"/>
          </w:tcPr>
          <w:p w14:paraId="202D1BB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Monthly</w:t>
            </w:r>
          </w:p>
        </w:tc>
        <w:tc>
          <w:tcPr>
            <w:tcW w:w="118" w:type="pct"/>
            <w:vAlign w:val="center"/>
          </w:tcPr>
          <w:p w14:paraId="7D8CB1A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278</w:t>
            </w:r>
          </w:p>
        </w:tc>
        <w:tc>
          <w:tcPr>
            <w:tcW w:w="135" w:type="pct"/>
            <w:vAlign w:val="center"/>
          </w:tcPr>
          <w:p w14:paraId="1988A87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85</w:t>
            </w:r>
          </w:p>
        </w:tc>
        <w:tc>
          <w:tcPr>
            <w:tcW w:w="135" w:type="pct"/>
            <w:vAlign w:val="center"/>
          </w:tcPr>
          <w:p w14:paraId="2AB3B1A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39.7</w:t>
            </w:r>
          </w:p>
        </w:tc>
        <w:tc>
          <w:tcPr>
            <w:tcW w:w="135" w:type="pct"/>
            <w:vAlign w:val="center"/>
          </w:tcPr>
          <w:p w14:paraId="4AB4088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26.4</w:t>
            </w:r>
          </w:p>
        </w:tc>
        <w:tc>
          <w:tcPr>
            <w:tcW w:w="135" w:type="pct"/>
            <w:vAlign w:val="center"/>
          </w:tcPr>
          <w:p w14:paraId="77B7CBE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19.4</w:t>
            </w:r>
          </w:p>
        </w:tc>
        <w:tc>
          <w:tcPr>
            <w:tcW w:w="135" w:type="pct"/>
            <w:vAlign w:val="center"/>
          </w:tcPr>
          <w:p w14:paraId="6115505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21.2</w:t>
            </w:r>
          </w:p>
        </w:tc>
        <w:tc>
          <w:tcPr>
            <w:tcW w:w="167" w:type="pct"/>
            <w:vAlign w:val="center"/>
          </w:tcPr>
          <w:p w14:paraId="09B86FD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39.3</w:t>
            </w:r>
          </w:p>
        </w:tc>
        <w:tc>
          <w:tcPr>
            <w:tcW w:w="167" w:type="pct"/>
            <w:vAlign w:val="center"/>
          </w:tcPr>
          <w:p w14:paraId="03A6D76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55.5</w:t>
            </w:r>
          </w:p>
        </w:tc>
        <w:tc>
          <w:tcPr>
            <w:tcW w:w="167" w:type="pct"/>
            <w:vAlign w:val="center"/>
          </w:tcPr>
          <w:p w14:paraId="32A27DE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45.3</w:t>
            </w:r>
          </w:p>
        </w:tc>
      </w:tr>
      <w:tr w:rsidR="009642E2" w:rsidRPr="001303D6" w14:paraId="748A3B5A" w14:textId="77777777" w:rsidTr="005A68A6">
        <w:trPr>
          <w:trHeight w:val="696"/>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64A9754D" w14:textId="77777777" w:rsidR="009642E2" w:rsidRPr="007E778F" w:rsidRDefault="009642E2" w:rsidP="00F60C3E">
            <w:pPr>
              <w:jc w:val="center"/>
              <w:rPr>
                <w:rFonts w:eastAsia="Calibri" w:cstheme="minorHAnsi"/>
                <w:sz w:val="18"/>
                <w:szCs w:val="18"/>
              </w:rPr>
            </w:pPr>
          </w:p>
        </w:tc>
        <w:tc>
          <w:tcPr>
            <w:tcW w:w="786" w:type="pct"/>
            <w:vMerge/>
            <w:vAlign w:val="center"/>
          </w:tcPr>
          <w:p w14:paraId="5405E63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015E6EC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1ECCA01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2B27278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Merge/>
            <w:vAlign w:val="center"/>
          </w:tcPr>
          <w:p w14:paraId="1823D40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379" w:type="pct"/>
            <w:vAlign w:val="center"/>
          </w:tcPr>
          <w:p w14:paraId="3189BCF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240 mg</w:t>
            </w:r>
          </w:p>
        </w:tc>
        <w:tc>
          <w:tcPr>
            <w:tcW w:w="139" w:type="pct"/>
            <w:vAlign w:val="center"/>
          </w:tcPr>
          <w:p w14:paraId="0C2221B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SC</w:t>
            </w:r>
          </w:p>
        </w:tc>
        <w:tc>
          <w:tcPr>
            <w:tcW w:w="243" w:type="pct"/>
            <w:vAlign w:val="center"/>
          </w:tcPr>
          <w:p w14:paraId="14740F2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Monthly</w:t>
            </w:r>
          </w:p>
        </w:tc>
        <w:tc>
          <w:tcPr>
            <w:tcW w:w="118" w:type="pct"/>
            <w:vAlign w:val="center"/>
          </w:tcPr>
          <w:p w14:paraId="43755C8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277</w:t>
            </w:r>
          </w:p>
        </w:tc>
        <w:tc>
          <w:tcPr>
            <w:tcW w:w="135" w:type="pct"/>
            <w:vAlign w:val="center"/>
          </w:tcPr>
          <w:p w14:paraId="086BD96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82</w:t>
            </w:r>
          </w:p>
        </w:tc>
        <w:tc>
          <w:tcPr>
            <w:tcW w:w="135" w:type="pct"/>
            <w:vAlign w:val="center"/>
          </w:tcPr>
          <w:p w14:paraId="2C80670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41.1</w:t>
            </w:r>
          </w:p>
        </w:tc>
        <w:tc>
          <w:tcPr>
            <w:tcW w:w="135" w:type="pct"/>
            <w:vAlign w:val="center"/>
          </w:tcPr>
          <w:p w14:paraId="54FCBE1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26.7</w:t>
            </w:r>
          </w:p>
        </w:tc>
        <w:tc>
          <w:tcPr>
            <w:tcW w:w="135" w:type="pct"/>
            <w:vAlign w:val="center"/>
          </w:tcPr>
          <w:p w14:paraId="7F14AC8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19.2</w:t>
            </w:r>
          </w:p>
        </w:tc>
        <w:tc>
          <w:tcPr>
            <w:tcW w:w="135" w:type="pct"/>
            <w:vAlign w:val="center"/>
          </w:tcPr>
          <w:p w14:paraId="572B97C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21.4</w:t>
            </w:r>
          </w:p>
        </w:tc>
        <w:tc>
          <w:tcPr>
            <w:tcW w:w="167" w:type="pct"/>
            <w:vAlign w:val="center"/>
          </w:tcPr>
          <w:p w14:paraId="3E6A73F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38.9</w:t>
            </w:r>
          </w:p>
        </w:tc>
        <w:tc>
          <w:tcPr>
            <w:tcW w:w="167" w:type="pct"/>
            <w:vAlign w:val="center"/>
          </w:tcPr>
          <w:p w14:paraId="14EF162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57.1</w:t>
            </w:r>
          </w:p>
        </w:tc>
        <w:tc>
          <w:tcPr>
            <w:tcW w:w="167" w:type="pct"/>
            <w:vAlign w:val="center"/>
          </w:tcPr>
          <w:p w14:paraId="3330DC8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45.7</w:t>
            </w:r>
          </w:p>
        </w:tc>
      </w:tr>
      <w:tr w:rsidR="009642E2" w:rsidRPr="001303D6" w14:paraId="7D54991F" w14:textId="77777777" w:rsidTr="005A68A6">
        <w:trPr>
          <w:trHeight w:val="539"/>
        </w:trPr>
        <w:tc>
          <w:tcPr>
            <w:cnfStyle w:val="001000000000" w:firstRow="0" w:lastRow="0" w:firstColumn="1" w:lastColumn="0" w:oddVBand="0" w:evenVBand="0" w:oddHBand="0" w:evenHBand="0" w:firstRowFirstColumn="0" w:firstRowLastColumn="0" w:lastRowFirstColumn="0" w:lastRowLastColumn="0"/>
            <w:tcW w:w="351" w:type="pct"/>
            <w:vMerge w:val="restart"/>
            <w:vAlign w:val="center"/>
          </w:tcPr>
          <w:p w14:paraId="7613F0FD" w14:textId="77777777" w:rsidR="009642E2" w:rsidRPr="007E778F" w:rsidRDefault="009642E2" w:rsidP="00F60C3E">
            <w:pPr>
              <w:jc w:val="center"/>
              <w:rPr>
                <w:rFonts w:eastAsia="Calibri" w:cstheme="minorHAnsi"/>
                <w:sz w:val="18"/>
                <w:szCs w:val="18"/>
              </w:rPr>
            </w:pPr>
            <w:r w:rsidRPr="007E778F">
              <w:rPr>
                <w:rFonts w:eastAsia="Calibri" w:cstheme="minorHAnsi"/>
                <w:sz w:val="18"/>
                <w:szCs w:val="18"/>
              </w:rPr>
              <w:t>Diener 2010</w:t>
            </w:r>
          </w:p>
          <w:p w14:paraId="76111F81" w14:textId="3D60740C" w:rsidR="009642E2" w:rsidRPr="007E778F" w:rsidRDefault="009642E2" w:rsidP="00F60C3E">
            <w:pPr>
              <w:jc w:val="center"/>
              <w:rPr>
                <w:rFonts w:eastAsia="Calibri" w:cstheme="minorHAnsi"/>
                <w:sz w:val="18"/>
                <w:szCs w:val="18"/>
              </w:rPr>
            </w:pP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&lt;EndNote&gt;&lt;Cite&gt;&lt;Author&gt;Diener&lt;/Author&gt;&lt;Year&gt;2010&lt;/Year&gt;&lt;RecNum&gt;32&lt;/RecNum&gt;&lt;DisplayText&gt;&lt;style face="superscript"&gt;16&lt;/style&gt;&lt;/DisplayText&gt;&lt;record&gt;&lt;rec-number&gt;32&lt;/rec-number&gt;&lt;foreign-keys&gt;&lt;key app="EN" db-id="fsz20seeavzsfie29wsx20a60watx2ffv2wz" timestamp="1662393796"&gt;32&lt;/key&gt;&lt;/foreign-keys&gt;&lt;ref-type name="Journal Article"&gt;17&lt;/ref-type&gt;&lt;contributors&gt;&lt;authors&gt;&lt;author&gt;Diener, HC&lt;/author&gt;&lt;author&gt;Dodick, DW&lt;/author&gt;&lt;author&gt;Aurora, SK&lt;/author&gt;&lt;author&gt;Turkel, CC&lt;/author&gt;&lt;author&gt;DeGryse, RE&lt;/author&gt;&lt;author&gt;Lipton, RB&lt;/author&gt;&lt;author&gt;Silberstein, SD&lt;/author&gt;&lt;author&gt;Brin, MF&lt;/author&gt;&lt;/authors&gt;&lt;/contributors&gt;&lt;titles&gt;&lt;title&gt;OnabotulinumtoxinA for treatment of chronic migraine: results from the double-blind, randomized, placebo-controlled phase of the PREEMPT 2 trial&lt;/title&gt;&lt;secondary-title&gt;Cephalalgia&lt;/secondary-title&gt;&lt;/titles&gt;&lt;periodical&gt;&lt;full-title&gt;Cephalalgia&lt;/full-title&gt;&lt;/periodical&gt;&lt;pages&gt;804-814&lt;/pages&gt;&lt;volume&gt;30&lt;/volume&gt;&lt;number&gt;7&lt;/number&gt;&lt;dates&gt;&lt;year&gt;2010&lt;/year&gt;&lt;/dates&gt;&lt;isbn&gt;0333-1024&lt;/isbn&gt;&lt;label&gt;32&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16</w:t>
            </w:r>
            <w:r w:rsidRPr="007E778F">
              <w:rPr>
                <w:rFonts w:eastAsia="Calibri" w:cstheme="minorHAnsi"/>
                <w:sz w:val="18"/>
                <w:szCs w:val="18"/>
              </w:rPr>
              <w:fldChar w:fldCharType="end"/>
            </w:r>
          </w:p>
          <w:p w14:paraId="09F292F9" w14:textId="77777777" w:rsidR="009642E2" w:rsidRPr="007E778F" w:rsidRDefault="009642E2" w:rsidP="00F60C3E">
            <w:pPr>
              <w:jc w:val="center"/>
              <w:rPr>
                <w:rFonts w:eastAsia="Calibri" w:cstheme="minorHAnsi"/>
                <w:sz w:val="18"/>
                <w:szCs w:val="18"/>
              </w:rPr>
            </w:pPr>
            <w:r w:rsidRPr="007E778F">
              <w:rPr>
                <w:rFonts w:eastAsia="Calibri" w:cstheme="minorHAnsi"/>
                <w:sz w:val="18"/>
                <w:szCs w:val="18"/>
              </w:rPr>
              <w:t>[PREEMPT2]</w:t>
            </w:r>
          </w:p>
        </w:tc>
        <w:tc>
          <w:tcPr>
            <w:tcW w:w="786" w:type="pct"/>
            <w:vMerge w:val="restart"/>
            <w:vAlign w:val="center"/>
          </w:tcPr>
          <w:p w14:paraId="39FD1EB8" w14:textId="02C830AA"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Dodick</w:t>
            </w:r>
            <w:r>
              <w:rPr>
                <w:rFonts w:eastAsia="Calibri" w:cstheme="minorHAnsi"/>
                <w:sz w:val="18"/>
                <w:szCs w:val="18"/>
              </w:rPr>
              <w:t xml:space="preserve"> </w:t>
            </w:r>
            <w:r w:rsidRPr="007E778F">
              <w:rPr>
                <w:rFonts w:eastAsia="Calibri" w:cstheme="minorHAnsi"/>
                <w:sz w:val="18"/>
                <w:szCs w:val="18"/>
              </w:rPr>
              <w:t>2019</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&lt;EndNote&gt;&lt;Cite&gt;&lt;Author&gt;Dodick&lt;/Author&gt;&lt;Year&gt;2019&lt;/Year&gt;&lt;RecNum&gt;45&lt;/RecNum&gt;&lt;DisplayText&gt;&lt;style face="superscript"&gt;2&lt;/style&gt;&lt;/DisplayText&gt;&lt;record&gt;&lt;rec-number&gt;45&lt;/rec-number&gt;&lt;foreign-keys&gt;&lt;key app="EN" db-id="fsz20seeavzsfie29wsx20a60watx2ffv2wz" timestamp="1662728680"&gt;45&lt;/key&gt;&lt;/foreign-keys&gt;&lt;ref-type name="Journal Article"&gt;17&lt;/ref-type&gt;&lt;contributors&gt;&lt;authors&gt;&lt;author&gt;Dodick, David W&lt;/author&gt;&lt;author&gt;Silberstein, Stephen D&lt;/author&gt;&lt;author&gt;Lipton, Richard B&lt;/author&gt;&lt;author&gt;DeGryse, Ronald E&lt;/author&gt;&lt;author&gt;Adams, Aubrey Manack&lt;/author&gt;&lt;author&gt;Diener, Hans-Christoph&lt;/author&gt;&lt;/authors&gt;&lt;/contributors&gt;&lt;titles&gt;&lt;title&gt;Early onset of effect of onabotulinumtoxinA for chronic migraine treatment: analysis of PREEMPT data&lt;/title&gt;&lt;secondary-title&gt;Cephalalgia&lt;/secondary-title&gt;&lt;/titles&gt;&lt;periodical&gt;&lt;full-title&gt;Cephalalgia&lt;/full-title&gt;&lt;/periodical&gt;&lt;pages&gt;945-956&lt;/pages&gt;&lt;volume&gt;39&lt;/volume&gt;&lt;number&gt;8&lt;/number&gt;&lt;dates&gt;&lt;year&gt;2019&lt;/year&gt;&lt;/dates&gt;&lt;isbn&gt;0333-1024&lt;/isbn&gt;&lt;label&gt;45&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2</w:t>
            </w:r>
            <w:r w:rsidRPr="007E778F">
              <w:rPr>
                <w:rFonts w:eastAsia="Calibri" w:cstheme="minorHAnsi"/>
                <w:sz w:val="18"/>
                <w:szCs w:val="18"/>
              </w:rPr>
              <w:fldChar w:fldCharType="end"/>
            </w:r>
            <w:r w:rsidRPr="007E778F">
              <w:rPr>
                <w:rFonts w:eastAsia="Calibri" w:cstheme="minorHAnsi"/>
                <w:sz w:val="18"/>
                <w:szCs w:val="18"/>
              </w:rPr>
              <w:t>, and 2010</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&lt;EndNote&gt;&lt;Cite&gt;&lt;Author&gt;Dodick&lt;/Author&gt;&lt;Year&gt;2010&lt;/Year&gt;&lt;RecNum&gt;46&lt;/RecNum&gt;&lt;DisplayText&gt;&lt;style face="superscript"&gt;3&lt;/style&gt;&lt;/DisplayText&gt;&lt;record&gt;&lt;rec-number&gt;46&lt;/rec-number&gt;&lt;foreign-keys&gt;&lt;key app="EN" db-id="fsz20seeavzsfie29wsx20a60watx2ffv2wz" timestamp="1662728927"&gt;46&lt;/key&gt;&lt;/foreign-keys&gt;&lt;ref-type name="Journal Article"&gt;17&lt;/ref-type&gt;&lt;contributors&gt;&lt;authors&gt;&lt;author&gt;Dodick, David W&lt;/author&gt;&lt;author&gt;Turkel, Catherine C&lt;/author&gt;&lt;author&gt;DeGryse, Ronald E&lt;/author&gt;&lt;author&gt;Aurora, Sheena K&lt;/author&gt;&lt;author&gt;Silberstein, Stephen D&lt;/author&gt;&lt;author&gt;Lipton, Richard B&lt;/author&gt;&lt;author&gt;Diener, Hans‐Christoph&lt;/author&gt;&lt;author&gt;Brin, Mitchell F&lt;/author&gt;&lt;/authors&gt;&lt;/contributors&gt;&lt;titles&gt;&lt;title&gt;OnabotulinumtoxinA for treatment of chronic migraine: Pooled results from the double‐blind, randomized, placebo‐controlled phases of the PREEMPT clinical program&lt;/title&gt;&lt;secondary-title&gt;Headache: The Journal of Head and Face Pain&lt;/secondary-title&gt;&lt;/titles&gt;&lt;periodical&gt;&lt;full-title&gt;Headache: The Journal of Head and Face Pain&lt;/full-title&gt;&lt;/periodical&gt;&lt;pages&gt;921-936&lt;/pages&gt;&lt;volume&gt;50&lt;/volume&gt;&lt;number&gt;6&lt;/number&gt;&lt;dates&gt;&lt;year&gt;2010&lt;/year&gt;&lt;/dates&gt;&lt;isbn&gt;0017-8748&lt;/isbn&gt;&lt;label&gt;46&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3</w:t>
            </w:r>
            <w:r w:rsidRPr="007E778F">
              <w:rPr>
                <w:rFonts w:eastAsia="Calibri" w:cstheme="minorHAnsi"/>
                <w:sz w:val="18"/>
                <w:szCs w:val="18"/>
              </w:rPr>
              <w:fldChar w:fldCharType="end"/>
            </w:r>
            <w:r w:rsidRPr="007E778F">
              <w:rPr>
                <w:rFonts w:eastAsia="Calibri" w:cstheme="minorHAnsi"/>
                <w:sz w:val="18"/>
                <w:szCs w:val="18"/>
              </w:rPr>
              <w:t>,</w:t>
            </w:r>
          </w:p>
          <w:p w14:paraId="3E903E87" w14:textId="1A96CE0F"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Silberstein</w:t>
            </w:r>
            <w:r>
              <w:rPr>
                <w:rFonts w:eastAsia="Calibri" w:cstheme="minorHAnsi"/>
                <w:sz w:val="18"/>
                <w:szCs w:val="18"/>
              </w:rPr>
              <w:t xml:space="preserve"> </w:t>
            </w:r>
            <w:r w:rsidRPr="007E778F">
              <w:rPr>
                <w:rFonts w:eastAsia="Calibri" w:cstheme="minorHAnsi"/>
                <w:sz w:val="18"/>
                <w:szCs w:val="18"/>
              </w:rPr>
              <w:t xml:space="preserve">2020 </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&lt;EndNote&gt;&lt;Cite&gt;&lt;Author&gt;Silberstein&lt;/Author&gt;&lt;Year&gt;2020&lt;/Year&gt;&lt;RecNum&gt;47&lt;/RecNum&gt;&lt;DisplayText&gt;&lt;style face="superscript"&gt;4&lt;/style&gt;&lt;/DisplayText&gt;&lt;record&gt;&lt;rec-number&gt;47&lt;/rec-number&gt;&lt;foreign-keys&gt;&lt;key app="EN" db-id="fsz20seeavzsfie29wsx20a60watx2ffv2wz" timestamp="1662729065"&gt;47&lt;/key&gt;&lt;/foreign-keys&gt;&lt;ref-type name="Journal Article"&gt;17&lt;/ref-type&gt;&lt;contributors&gt;&lt;authors&gt;&lt;author&gt;Silberstein, Stephen D&lt;/author&gt;&lt;author&gt;Diener, Hans-Christoph&lt;/author&gt;&lt;author&gt;Dodick, David W&lt;/author&gt;&lt;author&gt;Manack Adams, Aubrey&lt;/author&gt;&lt;author&gt;DeGryse, Ronald E&lt;/author&gt;&lt;author&gt;Lipton, Richard B&lt;/author&gt;&lt;/authors&gt;&lt;/contributors&gt;&lt;titles&gt;&lt;title&gt;The impact of onabotulinumtoxinA vs. placebo on efficacy outcomes in headache day responder and nonresponder patients with chronic migraine&lt;/title&gt;&lt;secondary-title&gt;Pain and Therapy&lt;/secondary-title&gt;&lt;/titles&gt;&lt;periodical&gt;&lt;full-title&gt;Pain and Therapy&lt;/full-title&gt;&lt;/periodical&gt;&lt;pages&gt;695-707&lt;/pages&gt;&lt;volume&gt;9&lt;/volume&gt;&lt;number&gt;2&lt;/number&gt;&lt;dates&gt;&lt;year&gt;2020&lt;/year&gt;&lt;/dates&gt;&lt;isbn&gt;2193-651X&lt;/isbn&gt;&lt;label&gt;47&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4</w:t>
            </w:r>
            <w:r w:rsidRPr="007E778F">
              <w:rPr>
                <w:rFonts w:eastAsia="Calibri" w:cstheme="minorHAnsi"/>
                <w:sz w:val="18"/>
                <w:szCs w:val="18"/>
              </w:rPr>
              <w:fldChar w:fldCharType="end"/>
            </w:r>
            <w:r w:rsidRPr="007E778F">
              <w:rPr>
                <w:rFonts w:eastAsia="Calibri" w:cstheme="minorHAnsi"/>
                <w:sz w:val="18"/>
                <w:szCs w:val="18"/>
              </w:rPr>
              <w:t>,</w:t>
            </w:r>
          </w:p>
          <w:p w14:paraId="3EBB9809" w14:textId="676AEC54"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Aurora</w:t>
            </w:r>
            <w:r>
              <w:rPr>
                <w:rFonts w:eastAsia="Calibri" w:cstheme="minorHAnsi"/>
                <w:sz w:val="18"/>
                <w:szCs w:val="18"/>
              </w:rPr>
              <w:t xml:space="preserve"> </w:t>
            </w:r>
            <w:r w:rsidRPr="007E778F">
              <w:rPr>
                <w:rFonts w:eastAsia="Calibri" w:cstheme="minorHAnsi"/>
                <w:sz w:val="18"/>
                <w:szCs w:val="18"/>
              </w:rPr>
              <w:t xml:space="preserve">2014 </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&lt;EndNote&gt;&lt;Cite&gt;&lt;Author&gt;Aurora&lt;/Author&gt;&lt;Year&gt;2014&lt;/Year&gt;&lt;RecNum&gt;48&lt;/RecNum&gt;&lt;DisplayText&gt;&lt;style face="superscript"&gt;5&lt;/style&gt;&lt;/DisplayText&gt;&lt;record&gt;&lt;rec-number&gt;48&lt;/rec-number&gt;&lt;foreign-keys&gt;&lt;key app="EN" db-id="fsz20seeavzsfie29wsx20a60watx2ffv2wz" timestamp="1662729317"&gt;48&lt;/key&gt;&lt;/foreign-keys&gt;&lt;ref-type name="Journal Article"&gt;17&lt;/ref-type&gt;&lt;contributors&gt;&lt;authors&gt;&lt;author&gt;Aurora, SK&lt;/author&gt;&lt;author&gt;Dodick, DW&lt;/author&gt;&lt;author&gt;Diener, H‐C&lt;/author&gt;&lt;author&gt;DeGryse, RE&lt;/author&gt;&lt;author&gt;Turkel, CC&lt;/author&gt;&lt;author&gt;Lipton, RB&lt;/author&gt;&lt;author&gt;Silberstein, SD&lt;/author&gt;&lt;/authors&gt;&lt;/contributors&gt;&lt;titles&gt;&lt;title&gt;OnabotulinumtoxinA for chronic migraine: efficacy, safety, and tolerability in patients who received all five treatment cycles in the PREEMPT clinical program&lt;/title&gt;&lt;secondary-title&gt;Acta Neurologica Scandinavica&lt;/secondary-title&gt;&lt;/titles&gt;&lt;periodical&gt;&lt;full-title&gt;Acta Neurologica Scandinavica&lt;/full-title&gt;&lt;/periodical&gt;&lt;pages&gt;61-70&lt;/pages&gt;&lt;volume&gt;129&lt;/volume&gt;&lt;number&gt;1&lt;/number&gt;&lt;dates&gt;&lt;year&gt;2014&lt;/year&gt;&lt;/dates&gt;&lt;isbn&gt;0001-6314&lt;/isbn&gt;&lt;label&gt;48&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5</w:t>
            </w:r>
            <w:r w:rsidRPr="007E778F">
              <w:rPr>
                <w:rFonts w:eastAsia="Calibri" w:cstheme="minorHAnsi"/>
                <w:sz w:val="18"/>
                <w:szCs w:val="18"/>
              </w:rPr>
              <w:fldChar w:fldCharType="end"/>
            </w:r>
            <w:r>
              <w:rPr>
                <w:rFonts w:eastAsia="Calibri" w:cstheme="minorHAnsi"/>
                <w:sz w:val="18"/>
                <w:szCs w:val="18"/>
              </w:rPr>
              <w:t>,</w:t>
            </w:r>
          </w:p>
          <w:p w14:paraId="3DC466B0" w14:textId="39F73FFE"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Lipton</w:t>
            </w:r>
            <w:r>
              <w:rPr>
                <w:rFonts w:eastAsia="Calibri" w:cstheme="minorHAnsi"/>
                <w:sz w:val="18"/>
                <w:szCs w:val="18"/>
              </w:rPr>
              <w:t xml:space="preserve"> </w:t>
            </w:r>
            <w:r w:rsidRPr="007E778F">
              <w:rPr>
                <w:rFonts w:eastAsia="Calibri" w:cstheme="minorHAnsi"/>
                <w:sz w:val="18"/>
                <w:szCs w:val="18"/>
              </w:rPr>
              <w:t>2016</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&lt;EndNote&gt;&lt;Cite&gt;&lt;Author&gt;Lipton&lt;/Author&gt;&lt;Year&gt;2016&lt;/Year&gt;&lt;RecNum&gt;49&lt;/RecNum&gt;&lt;DisplayText&gt;&lt;style face="superscript"&gt;6&lt;/style&gt;&lt;/DisplayText&gt;&lt;record&gt;&lt;rec-number&gt;49&lt;/rec-number&gt;&lt;foreign-keys&gt;&lt;key app="EN" db-id="fsz20seeavzsfie29wsx20a60watx2ffv2wz" timestamp="1662729626"&gt;49&lt;/key&gt;&lt;/foreign-keys&gt;&lt;ref-type name="Journal Article"&gt;17&lt;/ref-type&gt;&lt;contributors&gt;&lt;authors&gt;&lt;author&gt;Lipton, Richard B&lt;/author&gt;&lt;author&gt;Rosen, Noah L&lt;/author&gt;&lt;author&gt;Ailani, Jessica&lt;/author&gt;&lt;author&gt;DeGryse, Ronald E&lt;/author&gt;&lt;author&gt;Gillard, Patrick J&lt;/author&gt;&lt;author&gt;Varon, Sepideh F&lt;/author&gt;&lt;/authors&gt;&lt;/contributors&gt;&lt;titles&gt;&lt;title&gt;OnabotulinumtoxinA improves quality of life and reduces impact of chronic migraine over one year of treatment: pooled results from the PREEMPT randomized clinical trial program&lt;/title&gt;&lt;secondary-title&gt;Cephalalgia&lt;/secondary-title&gt;&lt;/titles&gt;&lt;periodical&gt;&lt;full-title&gt;Cephalalgia&lt;/full-title&gt;&lt;/periodical&gt;&lt;pages&gt;899-908&lt;/pages&gt;&lt;volume&gt;36&lt;/volume&gt;&lt;number&gt;9&lt;/number&gt;&lt;dates&gt;&lt;year&gt;2016&lt;/year&gt;&lt;/dates&gt;&lt;isbn&gt;0333-1024&lt;/isbn&gt;&lt;label&gt;49&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6</w:t>
            </w:r>
            <w:r w:rsidRPr="007E778F">
              <w:rPr>
                <w:rFonts w:eastAsia="Calibri" w:cstheme="minorHAnsi"/>
                <w:sz w:val="18"/>
                <w:szCs w:val="18"/>
              </w:rPr>
              <w:fldChar w:fldCharType="end"/>
            </w:r>
          </w:p>
        </w:tc>
        <w:tc>
          <w:tcPr>
            <w:tcW w:w="700" w:type="pct"/>
            <w:vMerge w:val="restart"/>
            <w:vAlign w:val="center"/>
          </w:tcPr>
          <w:p w14:paraId="32A44A7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 xml:space="preserve">56 sites in </w:t>
            </w:r>
            <w:r w:rsidRPr="007E778F">
              <w:rPr>
                <w:rFonts w:eastAsia="Calibri" w:cstheme="minorHAnsi"/>
                <w:sz w:val="18"/>
                <w:szCs w:val="18"/>
              </w:rPr>
              <w:t>North America</w:t>
            </w:r>
          </w:p>
        </w:tc>
        <w:tc>
          <w:tcPr>
            <w:tcW w:w="171" w:type="pct"/>
            <w:vMerge w:val="restart"/>
            <w:vAlign w:val="center"/>
          </w:tcPr>
          <w:p w14:paraId="63C9EA4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 xml:space="preserve">ICHD-3 </w:t>
            </w:r>
          </w:p>
        </w:tc>
        <w:tc>
          <w:tcPr>
            <w:tcW w:w="161" w:type="pct"/>
            <w:vMerge w:val="restart"/>
            <w:vAlign w:val="center"/>
          </w:tcPr>
          <w:p w14:paraId="542EB72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24DB</w:t>
            </w:r>
          </w:p>
        </w:tc>
        <w:tc>
          <w:tcPr>
            <w:tcW w:w="778" w:type="pct"/>
            <w:vAlign w:val="center"/>
          </w:tcPr>
          <w:p w14:paraId="1F3661C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Placebo</w:t>
            </w:r>
          </w:p>
        </w:tc>
        <w:tc>
          <w:tcPr>
            <w:tcW w:w="379" w:type="pct"/>
            <w:vAlign w:val="center"/>
          </w:tcPr>
          <w:p w14:paraId="0452427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39" w:type="pct"/>
            <w:vAlign w:val="center"/>
          </w:tcPr>
          <w:p w14:paraId="62CBF4D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243" w:type="pct"/>
            <w:vAlign w:val="center"/>
          </w:tcPr>
          <w:p w14:paraId="457DC03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18" w:type="pct"/>
            <w:vAlign w:val="center"/>
          </w:tcPr>
          <w:p w14:paraId="0444CAF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358</w:t>
            </w:r>
          </w:p>
        </w:tc>
        <w:tc>
          <w:tcPr>
            <w:tcW w:w="135" w:type="pct"/>
            <w:vAlign w:val="center"/>
          </w:tcPr>
          <w:p w14:paraId="5E2B214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84.6</w:t>
            </w:r>
          </w:p>
        </w:tc>
        <w:tc>
          <w:tcPr>
            <w:tcW w:w="135" w:type="pct"/>
            <w:vAlign w:val="center"/>
          </w:tcPr>
          <w:p w14:paraId="37A949F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40.9</w:t>
            </w:r>
          </w:p>
        </w:tc>
        <w:tc>
          <w:tcPr>
            <w:tcW w:w="135" w:type="pct"/>
            <w:vAlign w:val="center"/>
          </w:tcPr>
          <w:p w14:paraId="748724A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27.1</w:t>
            </w:r>
          </w:p>
        </w:tc>
        <w:tc>
          <w:tcPr>
            <w:tcW w:w="135" w:type="pct"/>
            <w:vAlign w:val="center"/>
          </w:tcPr>
          <w:p w14:paraId="7F96F78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18.7</w:t>
            </w:r>
          </w:p>
        </w:tc>
        <w:tc>
          <w:tcPr>
            <w:tcW w:w="135" w:type="pct"/>
            <w:vAlign w:val="center"/>
          </w:tcPr>
          <w:p w14:paraId="5DA311D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19.7</w:t>
            </w:r>
          </w:p>
        </w:tc>
        <w:tc>
          <w:tcPr>
            <w:tcW w:w="167" w:type="pct"/>
            <w:vAlign w:val="center"/>
          </w:tcPr>
          <w:p w14:paraId="53EF710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38.8*</w:t>
            </w:r>
          </w:p>
        </w:tc>
        <w:tc>
          <w:tcPr>
            <w:tcW w:w="167" w:type="pct"/>
            <w:vAlign w:val="center"/>
          </w:tcPr>
          <w:p w14:paraId="23D07EF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56.1*</w:t>
            </w:r>
          </w:p>
        </w:tc>
        <w:tc>
          <w:tcPr>
            <w:tcW w:w="167" w:type="pct"/>
            <w:vAlign w:val="center"/>
          </w:tcPr>
          <w:p w14:paraId="10A3F75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43.3*</w:t>
            </w:r>
          </w:p>
        </w:tc>
      </w:tr>
      <w:tr w:rsidR="009642E2" w:rsidRPr="001303D6" w14:paraId="04017F30" w14:textId="77777777" w:rsidTr="005A68A6">
        <w:trPr>
          <w:trHeight w:val="706"/>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31833645" w14:textId="77777777" w:rsidR="009642E2" w:rsidRPr="007E778F" w:rsidRDefault="009642E2" w:rsidP="00F60C3E">
            <w:pPr>
              <w:jc w:val="center"/>
              <w:rPr>
                <w:rFonts w:eastAsia="Calibri" w:cstheme="minorHAnsi"/>
                <w:sz w:val="18"/>
                <w:szCs w:val="18"/>
              </w:rPr>
            </w:pPr>
          </w:p>
        </w:tc>
        <w:tc>
          <w:tcPr>
            <w:tcW w:w="786" w:type="pct"/>
            <w:vMerge/>
            <w:vAlign w:val="center"/>
          </w:tcPr>
          <w:p w14:paraId="11C5C03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6A6C054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4D14367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1B7A1E6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Align w:val="center"/>
          </w:tcPr>
          <w:p w14:paraId="36ECADC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OnabotulinumtoxinA</w:t>
            </w:r>
          </w:p>
        </w:tc>
        <w:tc>
          <w:tcPr>
            <w:tcW w:w="379" w:type="pct"/>
            <w:vAlign w:val="center"/>
          </w:tcPr>
          <w:p w14:paraId="30D3A82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155U+40 U</w:t>
            </w:r>
          </w:p>
        </w:tc>
        <w:tc>
          <w:tcPr>
            <w:tcW w:w="139" w:type="pct"/>
            <w:vAlign w:val="center"/>
          </w:tcPr>
          <w:p w14:paraId="42E59EA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IM</w:t>
            </w:r>
            <w:r w:rsidRPr="007E778F">
              <w:rPr>
                <w:rFonts w:eastAsia="Calibri" w:cstheme="minorHAnsi"/>
                <w:sz w:val="18"/>
                <w:szCs w:val="18"/>
              </w:rPr>
              <w:t xml:space="preserve"> at 39 sites</w:t>
            </w:r>
          </w:p>
        </w:tc>
        <w:tc>
          <w:tcPr>
            <w:tcW w:w="243" w:type="pct"/>
            <w:vAlign w:val="center"/>
          </w:tcPr>
          <w:p w14:paraId="7E03598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Every 12 week</w:t>
            </w:r>
          </w:p>
        </w:tc>
        <w:tc>
          <w:tcPr>
            <w:tcW w:w="118" w:type="pct"/>
            <w:vAlign w:val="center"/>
          </w:tcPr>
          <w:p w14:paraId="618DB3F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347</w:t>
            </w:r>
          </w:p>
        </w:tc>
        <w:tc>
          <w:tcPr>
            <w:tcW w:w="135" w:type="pct"/>
            <w:vAlign w:val="center"/>
          </w:tcPr>
          <w:p w14:paraId="143D8ED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86.2</w:t>
            </w:r>
          </w:p>
        </w:tc>
        <w:tc>
          <w:tcPr>
            <w:tcW w:w="135" w:type="pct"/>
            <w:vAlign w:val="center"/>
          </w:tcPr>
          <w:p w14:paraId="189E1AA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41</w:t>
            </w:r>
          </w:p>
        </w:tc>
        <w:tc>
          <w:tcPr>
            <w:tcW w:w="135" w:type="pct"/>
            <w:vAlign w:val="center"/>
          </w:tcPr>
          <w:p w14:paraId="04719A9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26.7</w:t>
            </w:r>
          </w:p>
        </w:tc>
        <w:tc>
          <w:tcPr>
            <w:tcW w:w="135" w:type="pct"/>
            <w:vAlign w:val="center"/>
          </w:tcPr>
          <w:p w14:paraId="15445A7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19.2</w:t>
            </w:r>
          </w:p>
        </w:tc>
        <w:tc>
          <w:tcPr>
            <w:tcW w:w="135" w:type="pct"/>
            <w:vAlign w:val="center"/>
          </w:tcPr>
          <w:p w14:paraId="7A5039C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19.9</w:t>
            </w:r>
          </w:p>
        </w:tc>
        <w:tc>
          <w:tcPr>
            <w:tcW w:w="167" w:type="pct"/>
            <w:vAlign w:val="center"/>
          </w:tcPr>
          <w:p w14:paraId="72C4CB3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39*</w:t>
            </w:r>
          </w:p>
        </w:tc>
        <w:tc>
          <w:tcPr>
            <w:tcW w:w="167" w:type="pct"/>
            <w:vAlign w:val="center"/>
          </w:tcPr>
          <w:p w14:paraId="02B449F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56.7*</w:t>
            </w:r>
          </w:p>
        </w:tc>
        <w:tc>
          <w:tcPr>
            <w:tcW w:w="167" w:type="pct"/>
            <w:vAlign w:val="center"/>
          </w:tcPr>
          <w:p w14:paraId="5985FB2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43.3*</w:t>
            </w:r>
          </w:p>
        </w:tc>
      </w:tr>
      <w:tr w:rsidR="009642E2" w:rsidRPr="001303D6" w14:paraId="101C022F" w14:textId="77777777" w:rsidTr="005A68A6">
        <w:trPr>
          <w:trHeight w:val="407"/>
        </w:trPr>
        <w:tc>
          <w:tcPr>
            <w:cnfStyle w:val="001000000000" w:firstRow="0" w:lastRow="0" w:firstColumn="1" w:lastColumn="0" w:oddVBand="0" w:evenVBand="0" w:oddHBand="0" w:evenHBand="0" w:firstRowFirstColumn="0" w:firstRowLastColumn="0" w:lastRowFirstColumn="0" w:lastRowLastColumn="0"/>
            <w:tcW w:w="351" w:type="pct"/>
            <w:vMerge w:val="restart"/>
            <w:vAlign w:val="center"/>
          </w:tcPr>
          <w:p w14:paraId="48790165" w14:textId="1BD69EF1" w:rsidR="009642E2" w:rsidRPr="007E778F" w:rsidRDefault="009642E2" w:rsidP="00F60C3E">
            <w:pPr>
              <w:jc w:val="center"/>
              <w:rPr>
                <w:rFonts w:eastAsia="Calibri" w:cstheme="minorHAnsi"/>
                <w:sz w:val="18"/>
                <w:szCs w:val="18"/>
              </w:rPr>
            </w:pPr>
            <w:r w:rsidRPr="007E778F">
              <w:rPr>
                <w:rFonts w:eastAsia="Calibri" w:cstheme="minorHAnsi"/>
                <w:sz w:val="18"/>
                <w:szCs w:val="18"/>
              </w:rPr>
              <w:t xml:space="preserve">Dodick 2019 </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&lt;EndNote&gt;&lt;Cite&gt;&lt;Author&gt;Dodick&lt;/Author&gt;&lt;Year&gt;2019&lt;/Year&gt;&lt;RecNum&gt;38&lt;/RecNum&gt;&lt;DisplayText&gt;&lt;style face="superscript"&gt;17&lt;/style&gt;&lt;/DisplayText&gt;&lt;record&gt;&lt;rec-number&gt;38&lt;/rec-number&gt;&lt;foreign-keys&gt;&lt;key app="EN" db-id="fsz20seeavzsfie29wsx20a60watx2ffv2wz" timestamp="1662640654"&gt;38&lt;/key&gt;&lt;/foreign-keys&gt;&lt;ref-type name="Journal Article"&gt;17&lt;/ref-type&gt;&lt;contributors&gt;&lt;authors&gt;&lt;author&gt;Dodick, David W&lt;/author&gt;&lt;author&gt;Lipton, Richard B&lt;/author&gt;&lt;author&gt;Silberstein, Stephen&lt;/author&gt;&lt;author&gt;Goadsby, Peter J&lt;/author&gt;&lt;author&gt;Biondi, David&lt;/author&gt;&lt;author&gt;Hirman, Joe&lt;/author&gt;&lt;author&gt;Cady, Roger&lt;/author&gt;&lt;author&gt;Smith, Jeff&lt;/author&gt;&lt;/authors&gt;&lt;/contributors&gt;&lt;titles&gt;&lt;title&gt;Eptinezumab for prevention of chronic migraine: a randomized phase 2b clinical trial&lt;/title&gt;&lt;secondary-title&gt;Cephalalgia&lt;/secondary-title&gt;&lt;/titles&gt;&lt;periodical&gt;&lt;full-title&gt;Cephalalgia&lt;/full-title&gt;&lt;/periodical&gt;&lt;pages&gt;1075-1085&lt;/pages&gt;&lt;volume&gt;39&lt;/volume&gt;&lt;number&gt;9&lt;/number&gt;&lt;dates&gt;&lt;year&gt;2019&lt;/year&gt;&lt;/dates&gt;&lt;isbn&gt;0333-1024&lt;/isbn&gt;&lt;label&gt;38&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17</w:t>
            </w:r>
            <w:r w:rsidRPr="007E778F">
              <w:rPr>
                <w:rFonts w:eastAsia="Calibri" w:cstheme="minorHAnsi"/>
                <w:sz w:val="18"/>
                <w:szCs w:val="18"/>
              </w:rPr>
              <w:fldChar w:fldCharType="end"/>
            </w:r>
          </w:p>
        </w:tc>
        <w:tc>
          <w:tcPr>
            <w:tcW w:w="786" w:type="pct"/>
            <w:vMerge w:val="restart"/>
            <w:vAlign w:val="center"/>
          </w:tcPr>
          <w:p w14:paraId="653758E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700" w:type="pct"/>
            <w:vMerge w:val="restart"/>
            <w:vAlign w:val="center"/>
          </w:tcPr>
          <w:p w14:paraId="175B891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 xml:space="preserve">92 clinics/sites in </w:t>
            </w:r>
            <w:r w:rsidRPr="007E778F">
              <w:rPr>
                <w:rFonts w:eastAsia="Calibri" w:cstheme="minorHAnsi"/>
                <w:sz w:val="18"/>
                <w:szCs w:val="18"/>
              </w:rPr>
              <w:t>USA, Australia, New Zealand, and republic of Georgia.</w:t>
            </w:r>
          </w:p>
          <w:p w14:paraId="2DA7F188" w14:textId="77777777"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restart"/>
            <w:vAlign w:val="center"/>
          </w:tcPr>
          <w:p w14:paraId="1EE9B9A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 xml:space="preserve">ICHD-3 </w:t>
            </w:r>
          </w:p>
        </w:tc>
        <w:tc>
          <w:tcPr>
            <w:tcW w:w="161" w:type="pct"/>
            <w:vMerge w:val="restart"/>
            <w:vAlign w:val="center"/>
          </w:tcPr>
          <w:p w14:paraId="078363C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12DB</w:t>
            </w:r>
          </w:p>
        </w:tc>
        <w:tc>
          <w:tcPr>
            <w:tcW w:w="778" w:type="pct"/>
            <w:vAlign w:val="center"/>
          </w:tcPr>
          <w:p w14:paraId="5697A0A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Placebo</w:t>
            </w:r>
          </w:p>
        </w:tc>
        <w:tc>
          <w:tcPr>
            <w:tcW w:w="379" w:type="pct"/>
            <w:vAlign w:val="center"/>
          </w:tcPr>
          <w:p w14:paraId="11FB454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39" w:type="pct"/>
            <w:vAlign w:val="center"/>
          </w:tcPr>
          <w:p w14:paraId="6F9E162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243" w:type="pct"/>
            <w:vAlign w:val="center"/>
          </w:tcPr>
          <w:p w14:paraId="1EC5A49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18" w:type="pct"/>
            <w:vAlign w:val="center"/>
          </w:tcPr>
          <w:p w14:paraId="1F47685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121</w:t>
            </w:r>
          </w:p>
        </w:tc>
        <w:tc>
          <w:tcPr>
            <w:tcW w:w="135" w:type="pct"/>
            <w:vAlign w:val="center"/>
          </w:tcPr>
          <w:p w14:paraId="117B337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90</w:t>
            </w:r>
          </w:p>
        </w:tc>
        <w:tc>
          <w:tcPr>
            <w:tcW w:w="135" w:type="pct"/>
            <w:vAlign w:val="center"/>
          </w:tcPr>
          <w:p w14:paraId="3E713B5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37.2</w:t>
            </w:r>
          </w:p>
        </w:tc>
        <w:tc>
          <w:tcPr>
            <w:tcW w:w="135" w:type="pct"/>
            <w:vAlign w:val="center"/>
          </w:tcPr>
          <w:p w14:paraId="18FF12F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27.6</w:t>
            </w:r>
          </w:p>
        </w:tc>
        <w:tc>
          <w:tcPr>
            <w:tcW w:w="135" w:type="pct"/>
            <w:vAlign w:val="center"/>
          </w:tcPr>
          <w:p w14:paraId="0C8644D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16.4</w:t>
            </w:r>
          </w:p>
        </w:tc>
        <w:tc>
          <w:tcPr>
            <w:tcW w:w="135" w:type="pct"/>
            <w:vAlign w:val="center"/>
          </w:tcPr>
          <w:p w14:paraId="160C138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21.1</w:t>
            </w:r>
          </w:p>
        </w:tc>
        <w:tc>
          <w:tcPr>
            <w:tcW w:w="167" w:type="pct"/>
            <w:vAlign w:val="center"/>
          </w:tcPr>
          <w:p w14:paraId="6854C0B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1672BEB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4B0B6B3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r>
      <w:tr w:rsidR="009642E2" w:rsidRPr="001303D6" w14:paraId="6EDAF012" w14:textId="77777777" w:rsidTr="005A68A6">
        <w:trPr>
          <w:trHeight w:val="407"/>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1D8C6E36" w14:textId="77777777" w:rsidR="009642E2" w:rsidRPr="007E778F" w:rsidRDefault="009642E2" w:rsidP="00F60C3E">
            <w:pPr>
              <w:jc w:val="center"/>
              <w:rPr>
                <w:rFonts w:eastAsia="Calibri" w:cstheme="minorHAnsi"/>
                <w:sz w:val="18"/>
                <w:szCs w:val="18"/>
              </w:rPr>
            </w:pPr>
          </w:p>
        </w:tc>
        <w:tc>
          <w:tcPr>
            <w:tcW w:w="786" w:type="pct"/>
            <w:vMerge/>
            <w:vAlign w:val="center"/>
          </w:tcPr>
          <w:p w14:paraId="2F6CDCB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7E5D37AA" w14:textId="77777777"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592D825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41EF5C0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Merge w:val="restart"/>
            <w:vAlign w:val="center"/>
          </w:tcPr>
          <w:p w14:paraId="16AACA3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Eptinezumab</w:t>
            </w:r>
          </w:p>
        </w:tc>
        <w:tc>
          <w:tcPr>
            <w:tcW w:w="379" w:type="pct"/>
            <w:vAlign w:val="center"/>
          </w:tcPr>
          <w:p w14:paraId="311B9C7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300 mg</w:t>
            </w:r>
          </w:p>
        </w:tc>
        <w:tc>
          <w:tcPr>
            <w:tcW w:w="139" w:type="pct"/>
            <w:vAlign w:val="center"/>
          </w:tcPr>
          <w:p w14:paraId="0B4EFCF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IV</w:t>
            </w:r>
          </w:p>
        </w:tc>
        <w:tc>
          <w:tcPr>
            <w:tcW w:w="243" w:type="pct"/>
            <w:vAlign w:val="center"/>
          </w:tcPr>
          <w:p w14:paraId="704C5BB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Single dose</w:t>
            </w:r>
          </w:p>
        </w:tc>
        <w:tc>
          <w:tcPr>
            <w:tcW w:w="118" w:type="pct"/>
            <w:vAlign w:val="center"/>
          </w:tcPr>
          <w:p w14:paraId="3C6835B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121</w:t>
            </w:r>
          </w:p>
        </w:tc>
        <w:tc>
          <w:tcPr>
            <w:tcW w:w="135" w:type="pct"/>
            <w:vAlign w:val="center"/>
          </w:tcPr>
          <w:p w14:paraId="04E2194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81</w:t>
            </w:r>
          </w:p>
        </w:tc>
        <w:tc>
          <w:tcPr>
            <w:tcW w:w="135" w:type="pct"/>
            <w:vAlign w:val="center"/>
          </w:tcPr>
          <w:p w14:paraId="70F0AA8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37.2</w:t>
            </w:r>
          </w:p>
        </w:tc>
        <w:tc>
          <w:tcPr>
            <w:tcW w:w="135" w:type="pct"/>
            <w:vAlign w:val="center"/>
          </w:tcPr>
          <w:p w14:paraId="5BCB194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27.3</w:t>
            </w:r>
          </w:p>
        </w:tc>
        <w:tc>
          <w:tcPr>
            <w:tcW w:w="135" w:type="pct"/>
            <w:vAlign w:val="center"/>
          </w:tcPr>
          <w:p w14:paraId="19953B4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16.5</w:t>
            </w:r>
          </w:p>
        </w:tc>
        <w:tc>
          <w:tcPr>
            <w:tcW w:w="135" w:type="pct"/>
            <w:vAlign w:val="center"/>
          </w:tcPr>
          <w:p w14:paraId="0D0F795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21.1</w:t>
            </w:r>
          </w:p>
        </w:tc>
        <w:tc>
          <w:tcPr>
            <w:tcW w:w="167" w:type="pct"/>
            <w:vAlign w:val="center"/>
          </w:tcPr>
          <w:p w14:paraId="25ADFB8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1E985C5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561B42B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r>
      <w:tr w:rsidR="009642E2" w:rsidRPr="001303D6" w14:paraId="7CD17B12" w14:textId="77777777" w:rsidTr="005A68A6">
        <w:trPr>
          <w:trHeight w:val="407"/>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6038C5F8" w14:textId="77777777" w:rsidR="009642E2" w:rsidRPr="007E778F" w:rsidRDefault="009642E2" w:rsidP="00F60C3E">
            <w:pPr>
              <w:jc w:val="center"/>
              <w:rPr>
                <w:rFonts w:eastAsia="Calibri" w:cstheme="minorHAnsi"/>
                <w:sz w:val="18"/>
                <w:szCs w:val="18"/>
              </w:rPr>
            </w:pPr>
          </w:p>
        </w:tc>
        <w:tc>
          <w:tcPr>
            <w:tcW w:w="786" w:type="pct"/>
            <w:vMerge/>
            <w:vAlign w:val="center"/>
          </w:tcPr>
          <w:p w14:paraId="7D0F966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5A0AE3E9" w14:textId="77777777"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6ED6357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2ACEE01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Merge/>
            <w:vAlign w:val="center"/>
          </w:tcPr>
          <w:p w14:paraId="5D76B62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379" w:type="pct"/>
            <w:vAlign w:val="center"/>
          </w:tcPr>
          <w:p w14:paraId="2E35F48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100 mg</w:t>
            </w:r>
          </w:p>
        </w:tc>
        <w:tc>
          <w:tcPr>
            <w:tcW w:w="139" w:type="pct"/>
            <w:vAlign w:val="center"/>
          </w:tcPr>
          <w:p w14:paraId="66F3493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IV</w:t>
            </w:r>
          </w:p>
        </w:tc>
        <w:tc>
          <w:tcPr>
            <w:tcW w:w="243" w:type="pct"/>
            <w:vAlign w:val="center"/>
          </w:tcPr>
          <w:p w14:paraId="1E4BCEB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Single dose</w:t>
            </w:r>
          </w:p>
        </w:tc>
        <w:tc>
          <w:tcPr>
            <w:tcW w:w="118" w:type="pct"/>
            <w:vAlign w:val="center"/>
          </w:tcPr>
          <w:p w14:paraId="5D4539B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122</w:t>
            </w:r>
          </w:p>
        </w:tc>
        <w:tc>
          <w:tcPr>
            <w:tcW w:w="135" w:type="pct"/>
            <w:vAlign w:val="center"/>
          </w:tcPr>
          <w:p w14:paraId="43C4CE8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85</w:t>
            </w:r>
          </w:p>
        </w:tc>
        <w:tc>
          <w:tcPr>
            <w:tcW w:w="135" w:type="pct"/>
            <w:vAlign w:val="center"/>
          </w:tcPr>
          <w:p w14:paraId="70347DE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36.7</w:t>
            </w:r>
          </w:p>
        </w:tc>
        <w:tc>
          <w:tcPr>
            <w:tcW w:w="135" w:type="pct"/>
            <w:vAlign w:val="center"/>
          </w:tcPr>
          <w:p w14:paraId="28CE740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27.9</w:t>
            </w:r>
          </w:p>
        </w:tc>
        <w:tc>
          <w:tcPr>
            <w:tcW w:w="135" w:type="pct"/>
            <w:vAlign w:val="center"/>
          </w:tcPr>
          <w:p w14:paraId="13465FC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16.9</w:t>
            </w:r>
          </w:p>
        </w:tc>
        <w:tc>
          <w:tcPr>
            <w:tcW w:w="135" w:type="pct"/>
            <w:vAlign w:val="center"/>
          </w:tcPr>
          <w:p w14:paraId="0DD60FD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21.7</w:t>
            </w:r>
          </w:p>
        </w:tc>
        <w:tc>
          <w:tcPr>
            <w:tcW w:w="167" w:type="pct"/>
            <w:vAlign w:val="center"/>
          </w:tcPr>
          <w:p w14:paraId="682A992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454326A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3C2F475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r>
      <w:tr w:rsidR="009642E2" w:rsidRPr="001303D6" w14:paraId="467684C0" w14:textId="77777777" w:rsidTr="005A68A6">
        <w:trPr>
          <w:trHeight w:val="407"/>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0B6B5BE7" w14:textId="77777777" w:rsidR="009642E2" w:rsidRPr="007E778F" w:rsidRDefault="009642E2" w:rsidP="00F60C3E">
            <w:pPr>
              <w:jc w:val="center"/>
              <w:rPr>
                <w:rFonts w:eastAsia="Calibri" w:cstheme="minorHAnsi"/>
                <w:sz w:val="18"/>
                <w:szCs w:val="18"/>
              </w:rPr>
            </w:pPr>
          </w:p>
        </w:tc>
        <w:tc>
          <w:tcPr>
            <w:tcW w:w="786" w:type="pct"/>
            <w:vMerge/>
            <w:vAlign w:val="center"/>
          </w:tcPr>
          <w:p w14:paraId="30B151D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1D9E2D74" w14:textId="77777777"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58428E6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0C5D3E3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Merge/>
            <w:vAlign w:val="center"/>
          </w:tcPr>
          <w:p w14:paraId="70296E9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379" w:type="pct"/>
            <w:vAlign w:val="center"/>
          </w:tcPr>
          <w:p w14:paraId="0083AAA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30 mg</w:t>
            </w:r>
          </w:p>
        </w:tc>
        <w:tc>
          <w:tcPr>
            <w:tcW w:w="139" w:type="pct"/>
            <w:vAlign w:val="center"/>
          </w:tcPr>
          <w:p w14:paraId="5636E42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IV</w:t>
            </w:r>
          </w:p>
        </w:tc>
        <w:tc>
          <w:tcPr>
            <w:tcW w:w="243" w:type="pct"/>
            <w:vAlign w:val="center"/>
          </w:tcPr>
          <w:p w14:paraId="12DB359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Single dose</w:t>
            </w:r>
          </w:p>
        </w:tc>
        <w:tc>
          <w:tcPr>
            <w:tcW w:w="118" w:type="pct"/>
            <w:vAlign w:val="center"/>
          </w:tcPr>
          <w:p w14:paraId="7EA482A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122</w:t>
            </w:r>
          </w:p>
        </w:tc>
        <w:tc>
          <w:tcPr>
            <w:tcW w:w="135" w:type="pct"/>
            <w:vAlign w:val="center"/>
          </w:tcPr>
          <w:p w14:paraId="083435F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91</w:t>
            </w:r>
          </w:p>
        </w:tc>
        <w:tc>
          <w:tcPr>
            <w:tcW w:w="135" w:type="pct"/>
            <w:vAlign w:val="center"/>
          </w:tcPr>
          <w:p w14:paraId="5607896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35.7</w:t>
            </w:r>
          </w:p>
        </w:tc>
        <w:tc>
          <w:tcPr>
            <w:tcW w:w="135" w:type="pct"/>
            <w:vAlign w:val="center"/>
          </w:tcPr>
          <w:p w14:paraId="7A2FA04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27.1</w:t>
            </w:r>
          </w:p>
        </w:tc>
        <w:tc>
          <w:tcPr>
            <w:tcW w:w="135" w:type="pct"/>
            <w:vAlign w:val="center"/>
          </w:tcPr>
          <w:p w14:paraId="10252F9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16.2</w:t>
            </w:r>
          </w:p>
        </w:tc>
        <w:tc>
          <w:tcPr>
            <w:tcW w:w="135" w:type="pct"/>
            <w:vAlign w:val="center"/>
          </w:tcPr>
          <w:p w14:paraId="7D9FA5A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21</w:t>
            </w:r>
          </w:p>
        </w:tc>
        <w:tc>
          <w:tcPr>
            <w:tcW w:w="167" w:type="pct"/>
            <w:vAlign w:val="center"/>
          </w:tcPr>
          <w:p w14:paraId="70A38DF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4D8994C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321E10C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r>
      <w:tr w:rsidR="009642E2" w:rsidRPr="001303D6" w14:paraId="43434F83" w14:textId="77777777" w:rsidTr="005A68A6">
        <w:trPr>
          <w:trHeight w:val="64"/>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4BCF8727" w14:textId="77777777" w:rsidR="009642E2" w:rsidRPr="007E778F" w:rsidRDefault="009642E2" w:rsidP="00F60C3E">
            <w:pPr>
              <w:jc w:val="center"/>
              <w:rPr>
                <w:rFonts w:eastAsia="Calibri" w:cstheme="minorHAnsi"/>
                <w:sz w:val="18"/>
                <w:szCs w:val="18"/>
              </w:rPr>
            </w:pPr>
          </w:p>
        </w:tc>
        <w:tc>
          <w:tcPr>
            <w:tcW w:w="786" w:type="pct"/>
            <w:vMerge/>
            <w:vAlign w:val="center"/>
          </w:tcPr>
          <w:p w14:paraId="7380AEF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2AC63F95" w14:textId="77777777"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128213F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2344C69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Merge/>
            <w:vAlign w:val="center"/>
          </w:tcPr>
          <w:p w14:paraId="2083833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379" w:type="pct"/>
            <w:vAlign w:val="center"/>
          </w:tcPr>
          <w:p w14:paraId="704DD88D" w14:textId="77777777"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10 mg</w:t>
            </w:r>
          </w:p>
          <w:p w14:paraId="757997EC" w14:textId="77777777"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p w14:paraId="54C63EE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39" w:type="pct"/>
            <w:vAlign w:val="center"/>
          </w:tcPr>
          <w:p w14:paraId="5469169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IV</w:t>
            </w:r>
          </w:p>
        </w:tc>
        <w:tc>
          <w:tcPr>
            <w:tcW w:w="243" w:type="pct"/>
            <w:vAlign w:val="center"/>
          </w:tcPr>
          <w:p w14:paraId="5E94686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Single dose</w:t>
            </w:r>
          </w:p>
        </w:tc>
        <w:tc>
          <w:tcPr>
            <w:tcW w:w="118" w:type="pct"/>
            <w:vAlign w:val="center"/>
          </w:tcPr>
          <w:p w14:paraId="7E77526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130</w:t>
            </w:r>
          </w:p>
        </w:tc>
        <w:tc>
          <w:tcPr>
            <w:tcW w:w="135" w:type="pct"/>
            <w:vAlign w:val="center"/>
          </w:tcPr>
          <w:p w14:paraId="42A0F85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87</w:t>
            </w:r>
          </w:p>
        </w:tc>
        <w:tc>
          <w:tcPr>
            <w:tcW w:w="135" w:type="pct"/>
            <w:vAlign w:val="center"/>
          </w:tcPr>
          <w:p w14:paraId="3464AB1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36.4</w:t>
            </w:r>
          </w:p>
        </w:tc>
        <w:tc>
          <w:tcPr>
            <w:tcW w:w="135" w:type="pct"/>
            <w:vAlign w:val="center"/>
          </w:tcPr>
          <w:p w14:paraId="1503E6F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27.4</w:t>
            </w:r>
          </w:p>
        </w:tc>
        <w:tc>
          <w:tcPr>
            <w:tcW w:w="135" w:type="pct"/>
            <w:vAlign w:val="center"/>
          </w:tcPr>
          <w:p w14:paraId="51BFB31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16.4</w:t>
            </w:r>
          </w:p>
        </w:tc>
        <w:tc>
          <w:tcPr>
            <w:tcW w:w="135" w:type="pct"/>
            <w:vAlign w:val="center"/>
          </w:tcPr>
          <w:p w14:paraId="4246901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21</w:t>
            </w:r>
          </w:p>
        </w:tc>
        <w:tc>
          <w:tcPr>
            <w:tcW w:w="167" w:type="pct"/>
            <w:vAlign w:val="center"/>
          </w:tcPr>
          <w:p w14:paraId="28136DB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0C64123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761CA06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r>
      <w:tr w:rsidR="009642E2" w:rsidRPr="001303D6" w14:paraId="0EACBA13" w14:textId="77777777" w:rsidTr="005A68A6">
        <w:trPr>
          <w:trHeight w:val="407"/>
        </w:trPr>
        <w:tc>
          <w:tcPr>
            <w:cnfStyle w:val="001000000000" w:firstRow="0" w:lastRow="0" w:firstColumn="1" w:lastColumn="0" w:oddVBand="0" w:evenVBand="0" w:oddHBand="0" w:evenHBand="0" w:firstRowFirstColumn="0" w:firstRowLastColumn="0" w:lastRowFirstColumn="0" w:lastRowLastColumn="0"/>
            <w:tcW w:w="351" w:type="pct"/>
            <w:vMerge w:val="restart"/>
            <w:vAlign w:val="center"/>
          </w:tcPr>
          <w:p w14:paraId="084E2D3C" w14:textId="0A349857" w:rsidR="009642E2" w:rsidRPr="007E778F" w:rsidRDefault="009642E2" w:rsidP="00F60C3E">
            <w:pPr>
              <w:jc w:val="center"/>
              <w:rPr>
                <w:rFonts w:eastAsia="Calibri" w:cstheme="minorHAnsi"/>
                <w:sz w:val="18"/>
                <w:szCs w:val="18"/>
              </w:rPr>
            </w:pPr>
            <w:r w:rsidRPr="007E778F">
              <w:rPr>
                <w:rFonts w:eastAsia="Calibri" w:cstheme="minorHAnsi"/>
                <w:sz w:val="18"/>
                <w:szCs w:val="18"/>
              </w:rPr>
              <w:t xml:space="preserve">Ferrari 2019 </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&lt;EndNote&gt;&lt;Cite&gt;&lt;Author&gt;Ferrari&lt;/Author&gt;&lt;Year&gt;2019&lt;/Year&gt;&lt;RecNum&gt;36&lt;/RecNum&gt;&lt;DisplayText&gt;&lt;style face="superscript"&gt;18&lt;/style&gt;&lt;/DisplayText&gt;&lt;record&gt;&lt;rec-number&gt;36&lt;/rec-number&gt;&lt;foreign-keys&gt;&lt;key app="EN" db-id="fsz20seeavzsfie29wsx20a60watx2ffv2wz" timestamp="1662393905"&gt;36&lt;/key&gt;&lt;/foreign-keys&gt;&lt;ref-type name="Journal Article"&gt;17&lt;/ref-type&gt;&lt;contributors&gt;&lt;authors&gt;&lt;author&gt;Ferrari, Michel D&lt;/author&gt;&lt;author&gt;Diener, Hans Christoph&lt;/author&gt;&lt;author&gt;Ning, Xiaoping&lt;/author&gt;&lt;author&gt;Galic, Maja&lt;/author&gt;&lt;author&gt;Cohen, Joshua M&lt;/author&gt;&lt;author&gt;Yang, Ronghua&lt;/author&gt;&lt;author&gt;Mueller, Matthias&lt;/author&gt;&lt;author&gt;Ahn, Andrew H&lt;/author&gt;&lt;author&gt;Schwartz, Yael Carmeli&lt;/author&gt;&lt;author&gt;Grozinski-Wolff, Melissa&lt;/author&gt;&lt;/authors&gt;&lt;/contributors&gt;&lt;titles&gt;&lt;title&gt;Fremanezumab versus placebo for migraine prevention in patients with documented failure to up to four migraine preventive medication classes (FOCUS): a randomised, double-blind, placebo-controlled, phase 3b trial&lt;/title&gt;&lt;secondary-title&gt;The Lancet&lt;/secondary-title&gt;&lt;/titles&gt;&lt;periodical&gt;&lt;full-title&gt;The Lancet&lt;/full-title&gt;&lt;/periodical&gt;&lt;pages&gt;1030-1040&lt;/pages&gt;&lt;volume&gt;394&lt;/volume&gt;&lt;number&gt;10203&lt;/number&gt;&lt;dates&gt;&lt;year&gt;2019&lt;/year&gt;&lt;/dates&gt;&lt;isbn&gt;0140-6736&lt;/isbn&gt;&lt;label&gt;36&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18</w:t>
            </w:r>
            <w:r w:rsidRPr="007E778F">
              <w:rPr>
                <w:rFonts w:eastAsia="Calibri" w:cstheme="minorHAnsi"/>
                <w:sz w:val="18"/>
                <w:szCs w:val="18"/>
              </w:rPr>
              <w:fldChar w:fldCharType="end"/>
            </w:r>
          </w:p>
          <w:p w14:paraId="3A2A05B4" w14:textId="77777777" w:rsidR="009642E2" w:rsidRPr="007E778F" w:rsidRDefault="009642E2" w:rsidP="00F60C3E">
            <w:pPr>
              <w:jc w:val="center"/>
              <w:rPr>
                <w:rFonts w:eastAsia="Calibri" w:cstheme="minorHAnsi"/>
                <w:sz w:val="18"/>
                <w:szCs w:val="18"/>
              </w:rPr>
            </w:pPr>
            <w:r w:rsidRPr="007E778F">
              <w:rPr>
                <w:rFonts w:eastAsia="Calibri" w:cstheme="minorHAnsi"/>
                <w:sz w:val="18"/>
                <w:szCs w:val="18"/>
              </w:rPr>
              <w:t>[FOCUS]</w:t>
            </w:r>
          </w:p>
        </w:tc>
        <w:tc>
          <w:tcPr>
            <w:tcW w:w="786" w:type="pct"/>
            <w:vMerge w:val="restart"/>
            <w:vAlign w:val="center"/>
          </w:tcPr>
          <w:p w14:paraId="7E5AA982" w14:textId="319556DF"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Spierings 2021</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&lt;EndNote&gt;&lt;Cite&gt;&lt;Author&gt;Spierings&lt;/Author&gt;&lt;Year&gt;2021&lt;/Year&gt;&lt;RecNum&gt;61&lt;/RecNum&gt;&lt;DisplayText&gt;&lt;style face="superscript"&gt;19&lt;/style&gt;&lt;/DisplayText&gt;&lt;record&gt;&lt;rec-number&gt;61&lt;/rec-number&gt;&lt;foreign-keys&gt;&lt;key app="EN" db-id="fsz20seeavzsfie29wsx20a60watx2ffv2wz" timestamp="1662732945"&gt;61&lt;/key&gt;&lt;/foreign-keys&gt;&lt;ref-type name="Journal Article"&gt;17&lt;/ref-type&gt;&lt;contributors&gt;&lt;authors&gt;&lt;author&gt;Spierings, Egilius LH&lt;/author&gt;&lt;author&gt;Ning, Xiaoping&lt;/author&gt;&lt;author&gt;Ramirez Campos, Verena&lt;/author&gt;&lt;author&gt;Cohen, Joshua M&lt;/author&gt;&lt;author&gt;Barash, Steve&lt;/author&gt;&lt;author&gt;Buse, Dawn C&lt;/author&gt;&lt;/authors&gt;&lt;/contributors&gt;&lt;titles&gt;&lt;title&gt;Improvements in quality of life and work productivity with up to 6 months of fremanezumab treatment in patients with episodic and chronic migraine and documented inadequate response to 2 to 4 classes of migraine‐preventive medications in the phase 3b FOCUS study&lt;/title&gt;&lt;secondary-title&gt;Headache: The Journal of Head and Face Pain&lt;/secondary-title&gt;&lt;/titles&gt;&lt;periodical&gt;&lt;full-title&gt;Headache: The Journal of Head and Face Pain&lt;/full-title&gt;&lt;/periodical&gt;&lt;pages&gt;1376-1386&lt;/pages&gt;&lt;volume&gt;61&lt;/volume&gt;&lt;number&gt;9&lt;/number&gt;&lt;dates&gt;&lt;year&gt;2021&lt;/year&gt;&lt;/dates&gt;&lt;isbn&gt;0017-8748&lt;/isbn&gt;&lt;label&gt;61&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19</w:t>
            </w:r>
            <w:r w:rsidRPr="007E778F">
              <w:rPr>
                <w:rFonts w:eastAsia="Calibri" w:cstheme="minorHAnsi"/>
                <w:sz w:val="18"/>
                <w:szCs w:val="18"/>
              </w:rPr>
              <w:fldChar w:fldCharType="end"/>
            </w:r>
          </w:p>
          <w:p w14:paraId="725EC070" w14:textId="500BEAA0" w:rsidR="00835A00" w:rsidRDefault="00835A00"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Ferrari 2022</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&lt;EndNote&gt;&lt;Cite&gt;&lt;Author&gt;Ferrari&lt;/Author&gt;&lt;Year&gt;2022&lt;/Year&gt;&lt;RecNum&gt;509&lt;/RecNum&gt;&lt;DisplayText&gt;&lt;style face="superscript"&gt;20&lt;/style&gt;&lt;/DisplayText&gt;&lt;record&gt;&lt;rec-number&gt;509&lt;/rec-number&gt;&lt;foreign-keys&gt;&lt;key app="EN" db-id="fsz20seeavzsfie29wsx20a60watx2ffv2wz" timestamp="1681423002"&gt;509&lt;/key&gt;&lt;/foreign-keys&gt;&lt;ref-type name="Journal Article"&gt;17&lt;/ref-type&gt;&lt;contributors&gt;&lt;authors&gt;&lt;author&gt;Ferrari, Michel D&lt;/author&gt;&lt;author&gt;Zuurbier, Karin WM&lt;/author&gt;&lt;author&gt;Barash, Steve&lt;/author&gt;&lt;author&gt;Ning, Xiaoping&lt;/author&gt;&lt;author&gt;Cohen, Joshua M&lt;/author&gt;&lt;/authors&gt;&lt;/contributors&gt;&lt;titles&gt;&lt;title&gt;Fremanezumab in individuals with chronic migraine who had inadequate response to onabotulinumtoxinA and topiramate or valproic acid&lt;/title&gt;&lt;secondary-title&gt;Headache&lt;/secondary-title&gt;&lt;/titles&gt;&lt;periodical&gt;&lt;full-title&gt;Headache&lt;/full-title&gt;&lt;/periodical&gt;&lt;pages&gt;530&lt;/pages&gt;&lt;volume&gt;62&lt;/volume&gt;&lt;number&gt;4&lt;/number&gt;&lt;dates&gt;&lt;year&gt;2022&lt;/year&gt;&lt;/dates&gt;&lt;label&gt;509&lt;/label&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20</w:t>
            </w:r>
            <w:r>
              <w:rPr>
                <w:rFonts w:eastAsia="Calibri" w:cstheme="minorHAnsi"/>
                <w:sz w:val="18"/>
                <w:szCs w:val="18"/>
              </w:rPr>
              <w:fldChar w:fldCharType="end"/>
            </w:r>
          </w:p>
          <w:p w14:paraId="792998FD" w14:textId="70B309B1" w:rsidR="00835A00" w:rsidRPr="007E778F" w:rsidRDefault="00835A00"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35A00">
              <w:rPr>
                <w:rFonts w:eastAsia="Calibri" w:cstheme="minorHAnsi"/>
                <w:sz w:val="18"/>
                <w:szCs w:val="18"/>
              </w:rPr>
              <w:t>Maassen</w:t>
            </w:r>
            <w:r w:rsidR="00C117A3">
              <w:rPr>
                <w:rFonts w:eastAsia="Calibri" w:cstheme="minorHAnsi"/>
                <w:sz w:val="18"/>
                <w:szCs w:val="18"/>
              </w:rPr>
              <w:t xml:space="preserve"> </w:t>
            </w:r>
            <w:r w:rsidRPr="00835A00">
              <w:rPr>
                <w:rFonts w:eastAsia="Calibri" w:cstheme="minorHAnsi"/>
                <w:sz w:val="18"/>
                <w:szCs w:val="18"/>
              </w:rPr>
              <w:t>Van</w:t>
            </w:r>
            <w:r w:rsidR="00C117A3">
              <w:rPr>
                <w:rFonts w:eastAsia="Calibri" w:cstheme="minorHAnsi"/>
                <w:sz w:val="18"/>
                <w:szCs w:val="18"/>
              </w:rPr>
              <w:t xml:space="preserve"> </w:t>
            </w:r>
            <w:r w:rsidRPr="00835A00">
              <w:rPr>
                <w:rFonts w:eastAsia="Calibri" w:cstheme="minorHAnsi"/>
                <w:sz w:val="18"/>
                <w:szCs w:val="18"/>
              </w:rPr>
              <w:t>Den</w:t>
            </w:r>
            <w:r w:rsidR="00C117A3">
              <w:rPr>
                <w:rFonts w:eastAsia="Calibri" w:cstheme="minorHAnsi"/>
                <w:sz w:val="18"/>
                <w:szCs w:val="18"/>
              </w:rPr>
              <w:t xml:space="preserve"> </w:t>
            </w:r>
            <w:r w:rsidRPr="00835A00">
              <w:rPr>
                <w:rFonts w:eastAsia="Calibri" w:cstheme="minorHAnsi"/>
                <w:sz w:val="18"/>
                <w:szCs w:val="18"/>
              </w:rPr>
              <w:t>Brink</w:t>
            </w:r>
            <w:r>
              <w:rPr>
                <w:rFonts w:eastAsia="Calibri" w:cstheme="minorHAnsi"/>
                <w:sz w:val="18"/>
                <w:szCs w:val="18"/>
              </w:rPr>
              <w:t xml:space="preserve"> 2022</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&lt;EndNote&gt;&lt;Cite&gt;&lt;Author&gt;MaassenVanDenBrink&lt;/Author&gt;&lt;Year&gt;2021&lt;/Year&gt;&lt;RecNum&gt;510&lt;/RecNum&gt;&lt;DisplayText&gt;&lt;style face="superscript"&gt;21&lt;/style&gt;&lt;/DisplayText&gt;&lt;record&gt;&lt;rec-number&gt;510&lt;/rec-number&gt;&lt;foreign-keys&gt;&lt;key app="EN" db-id="fsz20seeavzsfie29wsx20a60watx2ffv2wz" timestamp="1681423062"&gt;510&lt;/key&gt;&lt;/foreign-keys&gt;&lt;ref-type name="Journal Article"&gt;17&lt;/ref-type&gt;&lt;contributors&gt;&lt;authors&gt;&lt;author&gt;MaassenVanDenBrink, Antoinette&lt;/author&gt;&lt;author&gt;Terwindt, Gisela M&lt;/author&gt;&lt;author&gt;Cohen, Joshua M&lt;/author&gt;&lt;author&gt;Barash, Steve&lt;/author&gt;&lt;author&gt;Campos, Verena Ramirez&lt;/author&gt;&lt;author&gt;Galic, Maja&lt;/author&gt;&lt;author&gt;Ning, Xiaoping&lt;/author&gt;&lt;author&gt;Kärppä, Mikko&lt;/author&gt;&lt;/authors&gt;&lt;/contributors&gt;&lt;titles&gt;&lt;title&gt;Impact of age and sex on the efficacy of fremanezumab in patients with difficult-to-treat migraine: results of the randomized, placebo-controlled, phase 3b FOCUS study&lt;/title&gt;&lt;secondary-title&gt;The journal of headache and pain&lt;/secondary-title&gt;&lt;/titles&gt;&lt;periodical&gt;&lt;full-title&gt;The journal of headache and pain&lt;/full-title&gt;&lt;/periodical&gt;&lt;pages&gt;152&lt;/pages&gt;&lt;volume&gt;22&lt;/volume&gt;&lt;number&gt;1&lt;/number&gt;&lt;dates&gt;&lt;year&gt;2021&lt;/year&gt;&lt;/dates&gt;&lt;isbn&gt;1129-2369&lt;/isbn&gt;&lt;label&gt;510&lt;/label&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21</w:t>
            </w:r>
            <w:r>
              <w:rPr>
                <w:rFonts w:eastAsia="Calibri" w:cstheme="minorHAnsi"/>
                <w:sz w:val="18"/>
                <w:szCs w:val="18"/>
              </w:rPr>
              <w:fldChar w:fldCharType="end"/>
            </w:r>
          </w:p>
        </w:tc>
        <w:tc>
          <w:tcPr>
            <w:tcW w:w="700" w:type="pct"/>
            <w:vMerge w:val="restart"/>
            <w:vAlign w:val="center"/>
          </w:tcPr>
          <w:p w14:paraId="4BDF1081" w14:textId="77777777"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104 sites</w:t>
            </w:r>
            <w:r>
              <w:rPr>
                <w:rFonts w:eastAsia="Calibri" w:cstheme="minorHAnsi"/>
                <w:sz w:val="18"/>
                <w:szCs w:val="18"/>
              </w:rPr>
              <w:t xml:space="preserve"> in </w:t>
            </w:r>
            <w:r w:rsidRPr="007E778F">
              <w:rPr>
                <w:rFonts w:eastAsia="Calibri" w:cstheme="minorHAnsi"/>
                <w:sz w:val="18"/>
                <w:szCs w:val="18"/>
              </w:rPr>
              <w:t>Europe and the USA</w:t>
            </w:r>
          </w:p>
        </w:tc>
        <w:tc>
          <w:tcPr>
            <w:tcW w:w="171" w:type="pct"/>
            <w:vMerge w:val="restart"/>
            <w:vAlign w:val="center"/>
          </w:tcPr>
          <w:p w14:paraId="4789029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 xml:space="preserve">ICHD-3 </w:t>
            </w:r>
          </w:p>
        </w:tc>
        <w:tc>
          <w:tcPr>
            <w:tcW w:w="161" w:type="pct"/>
            <w:vMerge w:val="restart"/>
            <w:vAlign w:val="center"/>
          </w:tcPr>
          <w:p w14:paraId="6E358A5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12DB</w:t>
            </w:r>
          </w:p>
        </w:tc>
        <w:tc>
          <w:tcPr>
            <w:tcW w:w="778" w:type="pct"/>
            <w:vAlign w:val="center"/>
          </w:tcPr>
          <w:p w14:paraId="1708EE8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Placebo</w:t>
            </w:r>
          </w:p>
        </w:tc>
        <w:tc>
          <w:tcPr>
            <w:tcW w:w="379" w:type="pct"/>
            <w:vAlign w:val="center"/>
          </w:tcPr>
          <w:p w14:paraId="4CB31FB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39" w:type="pct"/>
            <w:vAlign w:val="center"/>
          </w:tcPr>
          <w:p w14:paraId="0ED54AB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243" w:type="pct"/>
            <w:vAlign w:val="center"/>
          </w:tcPr>
          <w:p w14:paraId="279FF2A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18" w:type="pct"/>
            <w:vAlign w:val="center"/>
          </w:tcPr>
          <w:p w14:paraId="3E2D800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279</w:t>
            </w:r>
          </w:p>
        </w:tc>
        <w:tc>
          <w:tcPr>
            <w:tcW w:w="135" w:type="pct"/>
            <w:vAlign w:val="center"/>
          </w:tcPr>
          <w:p w14:paraId="7296958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84</w:t>
            </w:r>
          </w:p>
        </w:tc>
        <w:tc>
          <w:tcPr>
            <w:tcW w:w="135" w:type="pct"/>
            <w:vAlign w:val="center"/>
          </w:tcPr>
          <w:p w14:paraId="15F3C40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46.8</w:t>
            </w:r>
          </w:p>
        </w:tc>
        <w:tc>
          <w:tcPr>
            <w:tcW w:w="135" w:type="pct"/>
            <w:vAlign w:val="center"/>
          </w:tcPr>
          <w:p w14:paraId="43B3DB7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25.3</w:t>
            </w:r>
          </w:p>
        </w:tc>
        <w:tc>
          <w:tcPr>
            <w:tcW w:w="135" w:type="pct"/>
            <w:vAlign w:val="center"/>
          </w:tcPr>
          <w:p w14:paraId="65F65FE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35" w:type="pct"/>
            <w:vAlign w:val="center"/>
          </w:tcPr>
          <w:p w14:paraId="37CA29A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61AD253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4A7898C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0F88D05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w:t>
            </w:r>
          </w:p>
        </w:tc>
      </w:tr>
      <w:tr w:rsidR="009642E2" w:rsidRPr="001303D6" w14:paraId="20276E94" w14:textId="77777777" w:rsidTr="005A68A6">
        <w:trPr>
          <w:trHeight w:val="407"/>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136B2E0B" w14:textId="77777777" w:rsidR="009642E2" w:rsidRPr="007E778F" w:rsidRDefault="009642E2" w:rsidP="00F60C3E">
            <w:pPr>
              <w:jc w:val="center"/>
              <w:rPr>
                <w:rFonts w:eastAsia="Calibri" w:cstheme="minorHAnsi"/>
                <w:sz w:val="18"/>
                <w:szCs w:val="18"/>
              </w:rPr>
            </w:pPr>
          </w:p>
        </w:tc>
        <w:tc>
          <w:tcPr>
            <w:tcW w:w="786" w:type="pct"/>
            <w:vMerge/>
            <w:vAlign w:val="center"/>
          </w:tcPr>
          <w:p w14:paraId="11D205E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4138772F" w14:textId="77777777"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2E4115E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11F0F70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Merge w:val="restart"/>
            <w:vAlign w:val="center"/>
          </w:tcPr>
          <w:p w14:paraId="6440F04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Fremanezumab</w:t>
            </w:r>
          </w:p>
        </w:tc>
        <w:tc>
          <w:tcPr>
            <w:tcW w:w="379" w:type="pct"/>
            <w:vAlign w:val="center"/>
          </w:tcPr>
          <w:p w14:paraId="2A4DB00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675 mg</w:t>
            </w:r>
          </w:p>
        </w:tc>
        <w:tc>
          <w:tcPr>
            <w:tcW w:w="139" w:type="pct"/>
            <w:vAlign w:val="center"/>
          </w:tcPr>
          <w:p w14:paraId="0165C74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SC</w:t>
            </w:r>
          </w:p>
        </w:tc>
        <w:tc>
          <w:tcPr>
            <w:tcW w:w="243" w:type="pct"/>
            <w:vAlign w:val="center"/>
          </w:tcPr>
          <w:p w14:paraId="389B532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Single dose</w:t>
            </w:r>
          </w:p>
        </w:tc>
        <w:tc>
          <w:tcPr>
            <w:tcW w:w="118" w:type="pct"/>
            <w:vAlign w:val="center"/>
          </w:tcPr>
          <w:p w14:paraId="39D2B16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276</w:t>
            </w:r>
          </w:p>
        </w:tc>
        <w:tc>
          <w:tcPr>
            <w:tcW w:w="135" w:type="pct"/>
            <w:vAlign w:val="center"/>
          </w:tcPr>
          <w:p w14:paraId="62EC895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83</w:t>
            </w:r>
          </w:p>
        </w:tc>
        <w:tc>
          <w:tcPr>
            <w:tcW w:w="135" w:type="pct"/>
            <w:vAlign w:val="center"/>
          </w:tcPr>
          <w:p w14:paraId="275EC9E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45.8</w:t>
            </w:r>
          </w:p>
        </w:tc>
        <w:tc>
          <w:tcPr>
            <w:tcW w:w="135" w:type="pct"/>
            <w:vAlign w:val="center"/>
          </w:tcPr>
          <w:p w14:paraId="7A741B7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25.1</w:t>
            </w:r>
          </w:p>
        </w:tc>
        <w:tc>
          <w:tcPr>
            <w:tcW w:w="135" w:type="pct"/>
            <w:vAlign w:val="center"/>
          </w:tcPr>
          <w:p w14:paraId="534FD80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35" w:type="pct"/>
            <w:vAlign w:val="center"/>
          </w:tcPr>
          <w:p w14:paraId="391ED51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6EE2943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055C3A2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3E2EB01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w:t>
            </w:r>
          </w:p>
        </w:tc>
      </w:tr>
      <w:tr w:rsidR="009642E2" w:rsidRPr="001303D6" w14:paraId="0C39AC89" w14:textId="77777777" w:rsidTr="005A68A6">
        <w:trPr>
          <w:trHeight w:val="407"/>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23C9EB06" w14:textId="77777777" w:rsidR="009642E2" w:rsidRPr="007E778F" w:rsidRDefault="009642E2" w:rsidP="00F60C3E">
            <w:pPr>
              <w:jc w:val="center"/>
              <w:rPr>
                <w:rFonts w:eastAsia="Calibri" w:cstheme="minorHAnsi"/>
                <w:sz w:val="18"/>
                <w:szCs w:val="18"/>
              </w:rPr>
            </w:pPr>
          </w:p>
        </w:tc>
        <w:tc>
          <w:tcPr>
            <w:tcW w:w="786" w:type="pct"/>
            <w:vMerge/>
            <w:vAlign w:val="center"/>
          </w:tcPr>
          <w:p w14:paraId="144A150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791685AF" w14:textId="77777777"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7013955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3A5513B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Merge/>
            <w:vAlign w:val="center"/>
          </w:tcPr>
          <w:p w14:paraId="6CE2C0C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379" w:type="pct"/>
            <w:vAlign w:val="center"/>
          </w:tcPr>
          <w:p w14:paraId="520A75F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675+225+225 mg</w:t>
            </w:r>
          </w:p>
        </w:tc>
        <w:tc>
          <w:tcPr>
            <w:tcW w:w="139" w:type="pct"/>
            <w:vAlign w:val="center"/>
          </w:tcPr>
          <w:p w14:paraId="765BB53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SC</w:t>
            </w:r>
          </w:p>
        </w:tc>
        <w:tc>
          <w:tcPr>
            <w:tcW w:w="243" w:type="pct"/>
            <w:vAlign w:val="center"/>
          </w:tcPr>
          <w:p w14:paraId="37447CF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Monthly</w:t>
            </w:r>
          </w:p>
        </w:tc>
        <w:tc>
          <w:tcPr>
            <w:tcW w:w="118" w:type="pct"/>
            <w:vAlign w:val="center"/>
          </w:tcPr>
          <w:p w14:paraId="597BC6C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283</w:t>
            </w:r>
          </w:p>
        </w:tc>
        <w:tc>
          <w:tcPr>
            <w:tcW w:w="135" w:type="pct"/>
            <w:vAlign w:val="center"/>
          </w:tcPr>
          <w:p w14:paraId="7C84D9F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84</w:t>
            </w:r>
          </w:p>
        </w:tc>
        <w:tc>
          <w:tcPr>
            <w:tcW w:w="135" w:type="pct"/>
            <w:vAlign w:val="center"/>
          </w:tcPr>
          <w:p w14:paraId="0FA9C7B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45.9</w:t>
            </w:r>
          </w:p>
        </w:tc>
        <w:tc>
          <w:tcPr>
            <w:tcW w:w="135" w:type="pct"/>
            <w:vAlign w:val="center"/>
          </w:tcPr>
          <w:p w14:paraId="7F60B21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25.3</w:t>
            </w:r>
          </w:p>
        </w:tc>
        <w:tc>
          <w:tcPr>
            <w:tcW w:w="135" w:type="pct"/>
            <w:vAlign w:val="center"/>
          </w:tcPr>
          <w:p w14:paraId="3B9D160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35" w:type="pct"/>
            <w:vAlign w:val="center"/>
          </w:tcPr>
          <w:p w14:paraId="146356E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42088FA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5D7C40C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02CCF75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w:t>
            </w:r>
          </w:p>
        </w:tc>
      </w:tr>
      <w:tr w:rsidR="009642E2" w:rsidRPr="001303D6" w14:paraId="0B716A68" w14:textId="77777777" w:rsidTr="005A68A6">
        <w:trPr>
          <w:trHeight w:val="884"/>
        </w:trPr>
        <w:tc>
          <w:tcPr>
            <w:cnfStyle w:val="001000000000" w:firstRow="0" w:lastRow="0" w:firstColumn="1" w:lastColumn="0" w:oddVBand="0" w:evenVBand="0" w:oddHBand="0" w:evenHBand="0" w:firstRowFirstColumn="0" w:firstRowLastColumn="0" w:lastRowFirstColumn="0" w:lastRowLastColumn="0"/>
            <w:tcW w:w="351" w:type="pct"/>
            <w:vMerge w:val="restart"/>
            <w:vAlign w:val="center"/>
          </w:tcPr>
          <w:p w14:paraId="1B9CB4C7" w14:textId="7BE63D43" w:rsidR="009642E2" w:rsidRPr="007E778F" w:rsidRDefault="009642E2" w:rsidP="00F60C3E">
            <w:pPr>
              <w:jc w:val="center"/>
              <w:rPr>
                <w:rFonts w:eastAsia="Calibri" w:cstheme="minorHAnsi"/>
                <w:sz w:val="18"/>
                <w:szCs w:val="18"/>
              </w:rPr>
            </w:pPr>
            <w:r w:rsidRPr="007E778F">
              <w:rPr>
                <w:rFonts w:eastAsia="Calibri" w:cstheme="minorHAnsi"/>
                <w:sz w:val="18"/>
                <w:szCs w:val="18"/>
              </w:rPr>
              <w:t>Lipton 2020</w:t>
            </w:r>
            <w:r>
              <w:rPr>
                <w:rFonts w:eastAsia="Calibri" w:cstheme="minorHAnsi"/>
                <w:sz w:val="18"/>
                <w:szCs w:val="18"/>
              </w:rPr>
              <w:t xml:space="preserve"> </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&lt;EndNote&gt;&lt;Cite&gt;&lt;Author&gt;Lipton&lt;/Author&gt;&lt;Year&gt;2020&lt;/Year&gt;&lt;RecNum&gt;33&lt;/RecNum&gt;&lt;DisplayText&gt;&lt;style face="superscript"&gt;22&lt;/style&gt;&lt;/DisplayText&gt;&lt;record&gt;&lt;rec-number&gt;33&lt;/rec-number&gt;&lt;foreign-keys&gt;&lt;key app="EN" db-id="fsz20seeavzsfie29wsx20a60watx2ffv2wz" timestamp="1662393822"&gt;33&lt;/key&gt;&lt;/foreign-keys&gt;&lt;ref-type name="Journal Article"&gt;17&lt;/ref-type&gt;&lt;contributors&gt;&lt;authors&gt;&lt;author&gt;Lipton, Richard B&lt;/author&gt;&lt;author&gt;Goadsby, Peter J&lt;/author&gt;&lt;author&gt;Smith, Jeff&lt;/author&gt;&lt;author&gt;Schaeffler, Barbara A&lt;/author&gt;&lt;author&gt;Biondi, David M&lt;/author&gt;&lt;author&gt;Hirman, Joe&lt;/author&gt;&lt;author&gt;Pederson, Susan&lt;/author&gt;&lt;author&gt;Allan, Brent&lt;/author&gt;&lt;author&gt;Cady, Roger&lt;/author&gt;&lt;/authors&gt;&lt;/contributors&gt;&lt;titles&gt;&lt;title&gt;Efficacy and safety of eptinezumab in patients with chronic migraine: PROMISE-2&lt;/title&gt;&lt;secondary-title&gt;Neurology&lt;/secondary-title&gt;&lt;/titles&gt;&lt;periodical&gt;&lt;full-title&gt;Neurology&lt;/full-title&gt;&lt;/periodical&gt;&lt;pages&gt;e1365-e1377&lt;/pages&gt;&lt;volume&gt;94&lt;/volume&gt;&lt;number&gt;13&lt;/number&gt;&lt;dates&gt;&lt;year&gt;2020&lt;/year&gt;&lt;/dates&gt;&lt;isbn&gt;0028-3878&lt;/isbn&gt;&lt;label&gt;33&lt;/label&gt;&lt;urls&gt;&lt;/urls&gt;&lt;/record&gt;&lt;/Cite&gt;&lt;Cite&gt;&lt;Author&gt;Lipton&lt;/Author&gt;&lt;Year&gt;2020&lt;/Year&gt;&lt;RecNum&gt;33&lt;/RecNum&gt;&lt;record&gt;&lt;rec-number&gt;33&lt;/rec-number&gt;&lt;foreign-keys&gt;&lt;key app="EN" db-id="fsz20seeavzsfie29wsx20a60watx2ffv2wz" timestamp="1662393822"&gt;33&lt;/key&gt;&lt;/foreign-keys&gt;&lt;ref-type name="Journal Article"&gt;17&lt;/ref-type&gt;&lt;contributors&gt;&lt;authors&gt;&lt;author&gt;Lipton, Richard B&lt;/author&gt;&lt;author&gt;Goadsby, Peter J&lt;/author&gt;&lt;author&gt;Smith, Jeff&lt;/author&gt;&lt;author&gt;Schaeffler, Barbara A&lt;/author&gt;&lt;author&gt;Biondi, David M&lt;/author&gt;&lt;author&gt;Hirman, Joe&lt;/author&gt;&lt;author&gt;Pederson, Susan&lt;/author&gt;&lt;author&gt;Allan, Brent&lt;/author&gt;&lt;author&gt;Cady, Roger&lt;/author&gt;&lt;/authors&gt;&lt;/contributors&gt;&lt;titles&gt;&lt;title&gt;Efficacy and safety of eptinezumab in patients with chronic migraine: PROMISE-2&lt;/title&gt;&lt;secondary-title&gt;Neurology&lt;/secondary-title&gt;&lt;/titles&gt;&lt;periodical&gt;&lt;full-title&gt;Neurology&lt;/full-title&gt;&lt;/periodical&gt;&lt;pages&gt;e1365-e1377&lt;/pages&gt;&lt;volume&gt;94&lt;/volume&gt;&lt;number&gt;13&lt;/number&gt;&lt;dates&gt;&lt;year&gt;2020&lt;/year&gt;&lt;/dates&gt;&lt;isbn&gt;0028-3878&lt;/isbn&gt;&lt;label&gt;33&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22</w:t>
            </w:r>
            <w:r w:rsidRPr="007E778F">
              <w:rPr>
                <w:rFonts w:eastAsia="Calibri" w:cstheme="minorHAnsi"/>
                <w:sz w:val="18"/>
                <w:szCs w:val="18"/>
              </w:rPr>
              <w:fldChar w:fldCharType="end"/>
            </w:r>
          </w:p>
          <w:p w14:paraId="65CFF8D1" w14:textId="77777777" w:rsidR="009642E2" w:rsidRPr="007E778F" w:rsidRDefault="009642E2" w:rsidP="00F60C3E">
            <w:pPr>
              <w:jc w:val="center"/>
              <w:rPr>
                <w:rFonts w:eastAsia="Calibri" w:cstheme="minorHAnsi"/>
                <w:sz w:val="18"/>
                <w:szCs w:val="18"/>
              </w:rPr>
            </w:pPr>
            <w:r w:rsidRPr="007E778F">
              <w:rPr>
                <w:rFonts w:eastAsia="Calibri" w:cstheme="minorHAnsi"/>
                <w:sz w:val="18"/>
                <w:szCs w:val="18"/>
              </w:rPr>
              <w:t>[PROMISE2]</w:t>
            </w:r>
          </w:p>
        </w:tc>
        <w:tc>
          <w:tcPr>
            <w:tcW w:w="786" w:type="pct"/>
            <w:vMerge w:val="restart"/>
            <w:vAlign w:val="center"/>
          </w:tcPr>
          <w:p w14:paraId="76896644" w14:textId="4026F808"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Di</w:t>
            </w:r>
            <w:r>
              <w:rPr>
                <w:rFonts w:eastAsia="Calibri" w:cstheme="minorHAnsi"/>
                <w:sz w:val="18"/>
                <w:szCs w:val="18"/>
              </w:rPr>
              <w:t>e</w:t>
            </w:r>
            <w:r w:rsidRPr="007E778F">
              <w:rPr>
                <w:rFonts w:eastAsia="Calibri" w:cstheme="minorHAnsi"/>
                <w:sz w:val="18"/>
                <w:szCs w:val="18"/>
              </w:rPr>
              <w:t>ner</w:t>
            </w:r>
            <w:r>
              <w:rPr>
                <w:rFonts w:eastAsia="Calibri" w:cstheme="minorHAnsi"/>
                <w:sz w:val="18"/>
                <w:szCs w:val="18"/>
              </w:rPr>
              <w:t xml:space="preserve"> </w:t>
            </w:r>
            <w:r w:rsidRPr="007E778F">
              <w:rPr>
                <w:rFonts w:eastAsia="Calibri" w:cstheme="minorHAnsi"/>
                <w:sz w:val="18"/>
                <w:szCs w:val="18"/>
              </w:rPr>
              <w:t>2021</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&lt;EndNote&gt;&lt;Cite&gt;&lt;Author&gt;Diener&lt;/Author&gt;&lt;Year&gt;2021&lt;/Year&gt;&lt;RecNum&gt;50&lt;/RecNum&gt;&lt;DisplayText&gt;&lt;style face="superscript"&gt;23&lt;/style&gt;&lt;/DisplayText&gt;&lt;record&gt;&lt;rec-number&gt;50&lt;/rec-number&gt;&lt;foreign-keys&gt;&lt;key app="EN" db-id="fsz20seeavzsfie29wsx20a60watx2ffv2wz" timestamp="1662729995"&gt;50&lt;/key&gt;&lt;/foreign-keys&gt;&lt;ref-type name="Journal Article"&gt;17&lt;/ref-type&gt;&lt;contributors&gt;&lt;authors&gt;&lt;author&gt;Diener, Hans‐Christoph&lt;/author&gt;&lt;author&gt;Marmura, Michael J&lt;/author&gt;&lt;author&gt;Tepper, Stewart J&lt;/author&gt;&lt;author&gt;Cowan, Robert&lt;/author&gt;&lt;author&gt;Starling, Amaal J&lt;/author&gt;&lt;author&gt;Diamond, Merle L&lt;/author&gt;&lt;author&gt;Hirman, Joe&lt;/author&gt;&lt;author&gt;Mehta, Lahar&lt;/author&gt;&lt;author&gt;Brevig, Thomas&lt;/author&gt;&lt;author&gt;Sperling, Bjørn&lt;/author&gt;&lt;/authors&gt;&lt;/contributors&gt;&lt;titles&gt;&lt;title&gt;Efficacy, tolerability, and safety of eptinezumab in patients with a dual diagnosis of chronic migraine and medication‐overuse headache: subgroup analysis of PROMISE‐2&lt;/title&gt;&lt;secondary-title&gt;Headache: The Journal of Head and Face Pain&lt;/secondary-title&gt;&lt;/titles&gt;&lt;periodical&gt;&lt;full-title&gt;Headache: The Journal of Head and Face Pain&lt;/full-title&gt;&lt;/periodical&gt;&lt;pages&gt;125-136&lt;/pages&gt;&lt;volume&gt;61&lt;/volume&gt;&lt;number&gt;1&lt;/number&gt;&lt;dates&gt;&lt;year&gt;2021&lt;/year&gt;&lt;/dates&gt;&lt;isbn&gt;0017-8748&lt;/isbn&gt;&lt;label&gt;50&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23</w:t>
            </w:r>
            <w:r w:rsidRPr="007E778F">
              <w:rPr>
                <w:rFonts w:eastAsia="Calibri" w:cstheme="minorHAnsi"/>
                <w:sz w:val="18"/>
                <w:szCs w:val="18"/>
              </w:rPr>
              <w:fldChar w:fldCharType="end"/>
            </w:r>
            <w:r w:rsidRPr="007E778F">
              <w:rPr>
                <w:rFonts w:eastAsia="Calibri" w:cstheme="minorHAnsi"/>
                <w:sz w:val="18"/>
                <w:szCs w:val="18"/>
              </w:rPr>
              <w:t>,</w:t>
            </w:r>
          </w:p>
          <w:p w14:paraId="2ECCEEAC" w14:textId="11CB0663"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Silberstein 2020</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&lt;EndNote&gt;&lt;Cite&gt;&lt;Author&gt;Silberstein&lt;/Author&gt;&lt;Year&gt;2020&lt;/Year&gt;&lt;RecNum&gt;51&lt;/RecNum&gt;&lt;DisplayText&gt;&lt;style face="superscript"&gt;24&lt;/style&gt;&lt;/DisplayText&gt;&lt;record&gt;&lt;rec-number&gt;51&lt;/rec-number&gt;&lt;foreign-keys&gt;&lt;key app="EN" db-id="fsz20seeavzsfie29wsx20a60watx2ffv2wz" timestamp="1662730188"&gt;51&lt;/key&gt;&lt;/foreign-keys&gt;&lt;ref-type name="Journal Article"&gt;17&lt;/ref-type&gt;&lt;contributors&gt;&lt;authors&gt;&lt;author&gt;Silberstein, Stephen&lt;/author&gt;&lt;author&gt;Diamond, Merle&lt;/author&gt;&lt;author&gt;Hindiyeh, Nada A&lt;/author&gt;&lt;author&gt;Biondi, David M&lt;/author&gt;&lt;author&gt;Cady, Roger&lt;/author&gt;&lt;author&gt;Hirman, Joe&lt;/author&gt;&lt;author&gt;Allan, Brent&lt;/author&gt;&lt;author&gt;Pederson, Susan&lt;/author&gt;&lt;author&gt;Schaeffler, Barbara&lt;/author&gt;&lt;author&gt;Smith, Jeff&lt;/author&gt;&lt;/authors&gt;&lt;/contributors&gt;&lt;titles&gt;&lt;title&gt;Eptinezumab for the prevention of chronic migraine: efficacy and safety through 24 weeks of treatment in the phase 3 PROMISE-2 (Prevention of migraine via intravenous ALD403 safety and efficacy–2) study&lt;/title&gt;&lt;secondary-title&gt;The journal of headache and pain&lt;/secondary-title&gt;&lt;/titles&gt;&lt;periodical&gt;&lt;full-title&gt;The journal of headache and pain&lt;/full-title&gt;&lt;/periodical&gt;&lt;pages&gt;1-12&lt;/pages&gt;&lt;volume&gt;21&lt;/volume&gt;&lt;number&gt;1&lt;/number&gt;&lt;dates&gt;&lt;year&gt;2020&lt;/year&gt;&lt;/dates&gt;&lt;isbn&gt;1129-2377&lt;/isbn&gt;&lt;label&gt;51&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24</w:t>
            </w:r>
            <w:r w:rsidRPr="007E778F">
              <w:rPr>
                <w:rFonts w:eastAsia="Calibri" w:cstheme="minorHAnsi"/>
                <w:sz w:val="18"/>
                <w:szCs w:val="18"/>
              </w:rPr>
              <w:fldChar w:fldCharType="end"/>
            </w:r>
          </w:p>
          <w:p w14:paraId="400BA3A6" w14:textId="7BAA5803" w:rsidR="00D639B8" w:rsidRDefault="00D639B8"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Buse 2022</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&lt;EndNote&gt;&lt;Cite&gt;&lt;Author&gt;Buse&lt;/Author&gt;&lt;Year&gt;2022&lt;/Year&gt;&lt;RecNum&gt;497&lt;/RecNum&gt;&lt;DisplayText&gt;&lt;style face="superscript"&gt;25&lt;/style&gt;&lt;/DisplayText&gt;&lt;record&gt;&lt;rec-number&gt;497&lt;/rec-number&gt;&lt;foreign-keys&gt;&lt;key app="EN" db-id="fsz20seeavzsfie29wsx20a60watx2ffv2wz" timestamp="1681422291"&gt;497&lt;/key&gt;&lt;/foreign-keys&gt;&lt;ref-type name="Journal Article"&gt;17&lt;/ref-type&gt;&lt;contributors&gt;&lt;authors&gt;&lt;author&gt;Buse, Dawn C&lt;/author&gt;&lt;author&gt;Winner, Paul K&lt;/author&gt;&lt;author&gt;Charleston IV, Larry&lt;/author&gt;&lt;author&gt;Hirman, Joe&lt;/author&gt;&lt;author&gt;Cady, Roger&lt;/author&gt;&lt;author&gt;Brevig, Thomas&lt;/author&gt;&lt;/authors&gt;&lt;/contributors&gt;&lt;titles&gt;&lt;title&gt;Early response to eptinezumab indicates high likelihood of continued response in patients with chronic migraine&lt;/title&gt;&lt;secondary-title&gt;The journal of headache and pain&lt;/secondary-title&gt;&lt;/titles&gt;&lt;periodical&gt;&lt;full-title&gt;The journal of headache and pain&lt;/full-title&gt;&lt;/periodical&gt;&lt;pages&gt;29&lt;/pages&gt;&lt;volume&gt;23&lt;/volume&gt;&lt;number&gt;1&lt;/number&gt;&lt;dates&gt;&lt;year&gt;2022&lt;/year&gt;&lt;/dates&gt;&lt;isbn&gt;1129-2369&lt;/isbn&gt;&lt;label&gt;497&lt;/label&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25</w:t>
            </w:r>
            <w:r>
              <w:rPr>
                <w:rFonts w:eastAsia="Calibri" w:cstheme="minorHAnsi"/>
                <w:sz w:val="18"/>
                <w:szCs w:val="18"/>
              </w:rPr>
              <w:fldChar w:fldCharType="end"/>
            </w:r>
          </w:p>
          <w:p w14:paraId="70C0BF15" w14:textId="4224A5E8" w:rsidR="00D639B8" w:rsidRDefault="00D639B8"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Cowan 2022</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&lt;EndNote&gt;&lt;Cite&gt;&lt;Author&gt;Cowan&lt;/Author&gt;&lt;Year&gt;2022&lt;/Year&gt;&lt;RecNum&gt;498&lt;/RecNum&gt;&lt;DisplayText&gt;&lt;style face="superscript"&gt;26&lt;/style&gt;&lt;/DisplayText&gt;&lt;record&gt;&lt;rec-number&gt;498&lt;/rec-number&gt;&lt;foreign-keys&gt;&lt;key app="EN" db-id="fsz20seeavzsfie29wsx20a60watx2ffv2wz" timestamp="1681422330"&gt;498&lt;/key&gt;&lt;/foreign-keys&gt;&lt;ref-type name="Journal Article"&gt;17&lt;/ref-type&gt;&lt;contributors&gt;&lt;authors&gt;&lt;author&gt;Cowan, Robert P&lt;/author&gt;&lt;author&gt;Marmura, Michael J&lt;/author&gt;&lt;author&gt;Diener, Hans-Christoph&lt;/author&gt;&lt;author&gt;Starling, Amaal J&lt;/author&gt;&lt;author&gt;Schim, Jack&lt;/author&gt;&lt;author&gt;Hirman, Joe&lt;/author&gt;&lt;author&gt;Brevig, Thomas&lt;/author&gt;&lt;author&gt;Cady, Roger&lt;/author&gt;&lt;/authors&gt;&lt;/contributors&gt;&lt;titles&gt;&lt;title&gt;Quantity changes in acute headache medication use among patients with chronic migraine treated with eptinezumab: subanalysis of the PROMISE-2 study&lt;/title&gt;&lt;secondary-title&gt;The Journal of Headache and Pain&lt;/secondary-title&gt;&lt;/titles&gt;&lt;periodical&gt;&lt;full-title&gt;The journal of headache and pain&lt;/full-title&gt;&lt;/periodical&gt;&lt;pages&gt;1-11&lt;/pages&gt;&lt;volume&gt;23&lt;/volume&gt;&lt;number&gt;1&lt;/number&gt;&lt;dates&gt;&lt;year&gt;2022&lt;/year&gt;&lt;/dates&gt;&lt;isbn&gt;1129-2377&lt;/isbn&gt;&lt;label&gt;498&lt;/label&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26</w:t>
            </w:r>
            <w:r>
              <w:rPr>
                <w:rFonts w:eastAsia="Calibri" w:cstheme="minorHAnsi"/>
                <w:sz w:val="18"/>
                <w:szCs w:val="18"/>
              </w:rPr>
              <w:fldChar w:fldCharType="end"/>
            </w:r>
          </w:p>
          <w:p w14:paraId="01C9A61A" w14:textId="0C5B21F5" w:rsidR="00D639B8" w:rsidRDefault="00D639B8"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Marmura 2022</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&lt;EndNote&gt;&lt;Cite&gt;&lt;Author&gt;Marmura&lt;/Author&gt;&lt;Year&gt;2021&lt;/Year&gt;&lt;RecNum&gt;499&lt;/RecNum&gt;&lt;DisplayText&gt;&lt;style face="superscript"&gt;27&lt;/style&gt;&lt;/DisplayText&gt;&lt;record&gt;&lt;rec-number&gt;499&lt;/rec-number&gt;&lt;foreign-keys&gt;&lt;key app="EN" db-id="fsz20seeavzsfie29wsx20a60watx2ffv2wz" timestamp="1681422370"&gt;499&lt;/key&gt;&lt;/foreign-keys&gt;&lt;ref-type name="Journal Article"&gt;17&lt;/ref-type&gt;&lt;contributors&gt;&lt;authors&gt;&lt;author&gt;Marmura, Michael J&lt;/author&gt;&lt;author&gt;Diener, Hans‐Christoph&lt;/author&gt;&lt;author&gt;Cowan, Robert P&lt;/author&gt;&lt;author&gt;Tepper, Stewart J&lt;/author&gt;&lt;author&gt;Diamond, Merle L&lt;/author&gt;&lt;author&gt;Starling, Amaal J&lt;/author&gt;&lt;author&gt;Hirman, Joe&lt;/author&gt;&lt;author&gt;Mehta, Lahar&lt;/author&gt;&lt;author&gt;Brevig, Thomas&lt;/author&gt;&lt;author&gt;Cady, Roger&lt;/author&gt;&lt;/authors&gt;&lt;/contributors&gt;&lt;titles&gt;&lt;title&gt;Preventive migraine treatment with eptinezumab reduced acute headache medication and headache frequency to below diagnostic thresholds in patients with chronic migraine and medication‐overuse headache&lt;/title&gt;&lt;secondary-title&gt;Headache: The Journal of Head and Face Pain&lt;/secondary-title&gt;&lt;/titles&gt;&lt;periodical&gt;&lt;full-title&gt;Headache: The Journal of Head and Face Pain&lt;/full-title&gt;&lt;/periodical&gt;&lt;pages&gt;1421-1431&lt;/pages&gt;&lt;volume&gt;61&lt;/volume&gt;&lt;number&gt;9&lt;/number&gt;&lt;dates&gt;&lt;year&gt;2021&lt;/year&gt;&lt;/dates&gt;&lt;isbn&gt;0017-8748&lt;/isbn&gt;&lt;label&gt;499&lt;/label&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27</w:t>
            </w:r>
            <w:r>
              <w:rPr>
                <w:rFonts w:eastAsia="Calibri" w:cstheme="minorHAnsi"/>
                <w:sz w:val="18"/>
                <w:szCs w:val="18"/>
              </w:rPr>
              <w:fldChar w:fldCharType="end"/>
            </w:r>
          </w:p>
          <w:p w14:paraId="5634422E" w14:textId="03FED46C" w:rsidR="00D639B8" w:rsidRDefault="00D639B8"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Lipton 2022</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&lt;EndNote&gt;&lt;Cite&gt;&lt;Author&gt;Lipton&lt;/Author&gt;&lt;Year&gt;2022&lt;/Year&gt;&lt;RecNum&gt;500&lt;/RecNum&gt;&lt;DisplayText&gt;&lt;style face="superscript"&gt;28&lt;/style&gt;&lt;/DisplayText&gt;&lt;record&gt;&lt;rec-number&gt;500&lt;/rec-number&gt;&lt;foreign-keys&gt;&lt;key app="EN" db-id="fsz20seeavzsfie29wsx20a60watx2ffv2wz" timestamp="1681422419"&gt;500&lt;/key&gt;&lt;/foreign-keys&gt;&lt;ref-type name="Journal Article"&gt;17&lt;/ref-type&gt;&lt;contributors&gt;&lt;authors&gt;&lt;author&gt;Lipton, Richard B&lt;/author&gt;&lt;author&gt;Goadsby, Peter J&lt;/author&gt;&lt;author&gt;Dodick, David W&lt;/author&gt;&lt;author&gt;McGinley, James S&lt;/author&gt;&lt;author&gt;Houts, Carrie R&lt;/author&gt;&lt;author&gt;Wirth, RJ&lt;/author&gt;&lt;author&gt;Kymes, Steve&lt;/author&gt;&lt;author&gt;Ettrup, Anders&lt;/author&gt;&lt;author&gt;Østerberg, Ole&lt;/author&gt;&lt;author&gt;Cady, Roger&lt;/author&gt;&lt;/authors&gt;&lt;/contributors&gt;&lt;titles&gt;&lt;title&gt;Evaluating the clinical utility of the patient‐identified most bothersome symptom measure from PROMISE‐2 for research in migraine prevention&lt;/title&gt;&lt;secondary-title&gt;Headache: The Journal of Head and Face Pain&lt;/secondary-title&gt;&lt;/titles&gt;&lt;periodical&gt;&lt;full-title&gt;Headache: The Journal of Head and Face Pain&lt;/full-title&gt;&lt;/periodical&gt;&lt;pages&gt;690-699&lt;/pages&gt;&lt;volume&gt;62&lt;/volume&gt;&lt;number&gt;6&lt;/number&gt;&lt;dates&gt;&lt;year&gt;2022&lt;/year&gt;&lt;/dates&gt;&lt;isbn&gt;0017-8748&lt;/isbn&gt;&lt;label&gt;500&lt;/label&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28</w:t>
            </w:r>
            <w:r>
              <w:rPr>
                <w:rFonts w:eastAsia="Calibri" w:cstheme="minorHAnsi"/>
                <w:sz w:val="18"/>
                <w:szCs w:val="18"/>
              </w:rPr>
              <w:fldChar w:fldCharType="end"/>
            </w:r>
          </w:p>
          <w:p w14:paraId="2B940A69" w14:textId="1AB4CF96" w:rsidR="00D639B8" w:rsidRDefault="00D639B8"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Apelian 2022</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&lt;EndNote&gt;&lt;Cite&gt;&lt;Author&gt;Apelian&lt;/Author&gt;&lt;Year&gt;2022&lt;/Year&gt;&lt;RecNum&gt;501&lt;/RecNum&gt;&lt;DisplayText&gt;&lt;style face="superscript"&gt;29&lt;/style&gt;&lt;/DisplayText&gt;&lt;record&gt;&lt;rec-number&gt;501&lt;/rec-number&gt;&lt;foreign-keys&gt;&lt;key app="EN" db-id="fsz20seeavzsfie29wsx20a60watx2ffv2wz" timestamp="1681422456"&gt;501&lt;/key&gt;&lt;/foreign-keys&gt;&lt;ref-type name="Journal Article"&gt;17&lt;/ref-type&gt;&lt;contributors&gt;&lt;authors&gt;&lt;author&gt;Apelian, Rami&lt;/author&gt;&lt;author&gt;Boyle, Lee&lt;/author&gt;&lt;author&gt;Hirman, Joe&lt;/author&gt;&lt;author&gt;Asher, Divya&lt;/author&gt;&lt;/authors&gt;&lt;/contributors&gt;&lt;titles&gt;&lt;title&gt;Measuring dose-related efficacy of eptinezumab for migraine prevention: post hoc analysis of PROMISE-1 and PROMISE-2&lt;/title&gt;&lt;secondary-title&gt;The journal of headache and pain&lt;/secondary-title&gt;&lt;/titles&gt;&lt;periodical&gt;&lt;full-title&gt;The journal of headache and pain&lt;/full-title&gt;&lt;/periodical&gt;&lt;pages&gt;1-12&lt;/pages&gt;&lt;volume&gt;23&lt;/volume&gt;&lt;number&gt;1&lt;/number&gt;&lt;dates&gt;&lt;year&gt;2022&lt;/year&gt;&lt;/dates&gt;&lt;isbn&gt;1129-2377&lt;/isbn&gt;&lt;label&gt;501&lt;/label&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29</w:t>
            </w:r>
            <w:r>
              <w:rPr>
                <w:rFonts w:eastAsia="Calibri" w:cstheme="minorHAnsi"/>
                <w:sz w:val="18"/>
                <w:szCs w:val="18"/>
              </w:rPr>
              <w:fldChar w:fldCharType="end"/>
            </w:r>
          </w:p>
          <w:p w14:paraId="3A4EAD8E" w14:textId="757B13D2" w:rsidR="00D639B8" w:rsidRDefault="00D639B8"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Ashina 2022</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&lt;EndNote&gt;&lt;Cite&gt;&lt;Author&gt;Ashina&lt;/Author&gt;&lt;Year&gt;2022&lt;/Year&gt;&lt;RecNum&gt;502&lt;/RecNum&gt;&lt;DisplayText&gt;&lt;style face="superscript"&gt;30&lt;/style&gt;&lt;/DisplayText&gt;&lt;record&gt;&lt;rec-number&gt;502&lt;/rec-number&gt;&lt;foreign-keys&gt;&lt;key app="EN" db-id="fsz20seeavzsfie29wsx20a60watx2ffv2wz" timestamp="1681422524"&gt;502&lt;/key&gt;&lt;/foreign-keys&gt;&lt;ref-type name="Journal Article"&gt;17&lt;/ref-type&gt;&lt;contributors&gt;&lt;authors&gt;&lt;author&gt;Ashina, Messoud&lt;/author&gt;&lt;author&gt;McAllister, Peter&lt;/author&gt;&lt;author&gt;Cady, Roger&lt;/author&gt;&lt;author&gt;Hirman, Joe&lt;/author&gt;&lt;author&gt;Ettrup, Anders&lt;/author&gt;&lt;/authors&gt;&lt;/contributors&gt;&lt;titles&gt;&lt;title&gt;Efficacy and safety of eptinezumab in patients with migraine and self-reported aura: Post hoc analysis of PROMISE-1 and PROMISE-2&lt;/title&gt;&lt;secondary-title&gt;Cephalalgia&lt;/secondary-title&gt;&lt;/titles&gt;&lt;periodical&gt;&lt;full-title&gt;Cephalalgia&lt;/full-title&gt;&lt;/periodical&gt;&lt;pages&gt;696-704&lt;/pages&gt;&lt;volume&gt;42&lt;/volume&gt;&lt;number&gt;8&lt;/number&gt;&lt;dates&gt;&lt;year&gt;2022&lt;/year&gt;&lt;/dates&gt;&lt;isbn&gt;0333-1024&lt;/isbn&gt;&lt;label&gt;502&lt;/label&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30</w:t>
            </w:r>
            <w:r>
              <w:rPr>
                <w:rFonts w:eastAsia="Calibri" w:cstheme="minorHAnsi"/>
                <w:sz w:val="18"/>
                <w:szCs w:val="18"/>
              </w:rPr>
              <w:fldChar w:fldCharType="end"/>
            </w:r>
          </w:p>
          <w:p w14:paraId="4C94A00B" w14:textId="67E16B89" w:rsidR="00D639B8" w:rsidRDefault="00D639B8"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Vincent 2022</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&lt;EndNote&gt;&lt;Cite&gt;&lt;Author&gt;Martin&lt;/Author&gt;&lt;Year&gt;2022&lt;/Year&gt;&lt;RecNum&gt;503&lt;/RecNum&gt;&lt;DisplayText&gt;&lt;style face="superscript"&gt;31&lt;/style&gt;&lt;/DisplayText&gt;&lt;record&gt;&lt;rec-number&gt;503&lt;/rec-number&gt;&lt;foreign-keys&gt;&lt;key app="EN" db-id="fsz20seeavzsfie29wsx20a60watx2ffv2wz" timestamp="1681422556"&gt;503&lt;/key&gt;&lt;/foreign-keys&gt;&lt;ref-type name="Journal Article"&gt;17&lt;/ref-type&gt;&lt;contributors&gt;&lt;authors&gt;&lt;author&gt;Martin, Vincent&lt;/author&gt;&lt;author&gt;Nagy, A Jim&lt;/author&gt;&lt;author&gt;Janelidze, Marina&lt;/author&gt;&lt;author&gt;Giorgadze, Gvantsa&lt;/author&gt;&lt;author&gt;Hirman, Joe&lt;/author&gt;&lt;author&gt;Cady, Roger&lt;/author&gt;&lt;author&gt;Mehta, Lahar&lt;/author&gt;&lt;author&gt;Buse, Dawn C&lt;/author&gt;&lt;/authors&gt;&lt;/contributors&gt;&lt;titles&gt;&lt;title&gt;Impact of baseline characteristics on the efficacy and safety of Eptinezumab in patients with migraine: subgroup analyses of PROMISE-1 and PROMISE-2&lt;/title&gt;&lt;secondary-title&gt;Clinical Therapeutics&lt;/secondary-title&gt;&lt;/titles&gt;&lt;periodical&gt;&lt;full-title&gt;Clinical therapeutics&lt;/full-title&gt;&lt;/periodical&gt;&lt;pages&gt;389-402&lt;/pages&gt;&lt;volume&gt;44&lt;/volume&gt;&lt;number&gt;3&lt;/number&gt;&lt;dates&gt;&lt;year&gt;2022&lt;/year&gt;&lt;/dates&gt;&lt;isbn&gt;0149-2918&lt;/isbn&gt;&lt;label&gt;503&lt;/label&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31</w:t>
            </w:r>
            <w:r>
              <w:rPr>
                <w:rFonts w:eastAsia="Calibri" w:cstheme="minorHAnsi"/>
                <w:sz w:val="18"/>
                <w:szCs w:val="18"/>
              </w:rPr>
              <w:fldChar w:fldCharType="end"/>
            </w:r>
          </w:p>
          <w:p w14:paraId="76C201ED" w14:textId="63123213" w:rsidR="00D639B8" w:rsidRDefault="00D639B8"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Vincent 2022</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&lt;EndNote&gt;&lt;Cite&gt;&lt;Author&gt;Martin&lt;/Author&gt;&lt;Year&gt;2022&lt;/Year&gt;&lt;RecNum&gt;504&lt;/RecNum&gt;&lt;DisplayText&gt;&lt;style face="superscript"&gt;32&lt;/style&gt;&lt;/DisplayText&gt;&lt;record&gt;&lt;rec-number&gt;504&lt;/rec-number&gt;&lt;foreign-keys&gt;&lt;key app="EN" db-id="fsz20seeavzsfie29wsx20a60watx2ffv2wz" timestamp="1681422604"&gt;504&lt;/key&gt;&lt;/foreign-keys&gt;&lt;ref-type name="Journal Article"&gt;17&lt;/ref-type&gt;&lt;contributors&gt;&lt;authors&gt;&lt;author&gt;Martin, Vincent&lt;/author&gt;&lt;author&gt;Tassorelli, Cristina&lt;/author&gt;&lt;author&gt;Ettrup, Anders&lt;/author&gt;&lt;author&gt;Hirman, Joe&lt;/author&gt;&lt;author&gt;Cady, Roger&lt;/author&gt;&lt;/authors&gt;&lt;/contributors&gt;&lt;titles&gt;&lt;title&gt;Eptinezumab for migraine prevention in patients 50 years or older&lt;/title&gt;&lt;secondary-title&gt;Acta Neurologica Scandinavica&lt;/secondary-title&gt;&lt;/titles&gt;&lt;periodical&gt;&lt;full-title&gt;Acta Neurologica Scandinavica&lt;/full-title&gt;&lt;/periodical&gt;&lt;pages&gt;698-705&lt;/pages&gt;&lt;volume&gt;145&lt;/volume&gt;&lt;number&gt;6&lt;/number&gt;&lt;dates&gt;&lt;year&gt;2022&lt;/year&gt;&lt;/dates&gt;&lt;isbn&gt;0001-6314&lt;/isbn&gt;&lt;label&gt;504&lt;/label&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32</w:t>
            </w:r>
            <w:r>
              <w:rPr>
                <w:rFonts w:eastAsia="Calibri" w:cstheme="minorHAnsi"/>
                <w:sz w:val="18"/>
                <w:szCs w:val="18"/>
              </w:rPr>
              <w:fldChar w:fldCharType="end"/>
            </w:r>
          </w:p>
          <w:p w14:paraId="2300F193" w14:textId="5AB230E0" w:rsidR="00D639B8" w:rsidRDefault="00D639B8"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McAllister 2022</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&lt;EndNote&gt;&lt;Cite&gt;&lt;Author&gt;McAllister&lt;/Author&gt;&lt;Year&gt;2022&lt;/Year&gt;&lt;RecNum&gt;505&lt;/RecNum&gt;&lt;DisplayText&gt;&lt;style face="superscript"&gt;33&lt;/style&gt;&lt;/DisplayText&gt;&lt;record&gt;&lt;rec-number&gt;505&lt;/rec-number&gt;&lt;foreign-keys&gt;&lt;key app="EN" db-id="fsz20seeavzsfie29wsx20a60watx2ffv2wz" timestamp="1681422644"&gt;505&lt;/key&gt;&lt;/foreign-keys&gt;&lt;ref-type name="Journal Article"&gt;17&lt;/ref-type&gt;&lt;contributors&gt;&lt;authors&gt;&lt;author&gt;McAllister, Peter&lt;/author&gt;&lt;author&gt;Kudrow, David&lt;/author&gt;&lt;author&gt;Cady, Roger&lt;/author&gt;&lt;author&gt;Hirman, Joe&lt;/author&gt;&lt;author&gt;Ettrup, Anders&lt;/author&gt;&lt;/authors&gt;&lt;/contributors&gt;&lt;titles&gt;&lt;title&gt;Reduction in migraine-associated burden after eptinezumab treatment in patients with chronic migraine&lt;/title&gt;&lt;secondary-title&gt;Cephalalgia&lt;/secondary-title&gt;&lt;/titles&gt;&lt;periodical&gt;&lt;full-title&gt;Cephalalgia&lt;/full-title&gt;&lt;/periodical&gt;&lt;pages&gt;1005-1012&lt;/pages&gt;&lt;volume&gt;42&lt;/volume&gt;&lt;number&gt;10&lt;/number&gt;&lt;dates&gt;&lt;year&gt;2022&lt;/year&gt;&lt;/dates&gt;&lt;isbn&gt;0333-1024&lt;/isbn&gt;&lt;label&gt;505&lt;/label&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33</w:t>
            </w:r>
            <w:r>
              <w:rPr>
                <w:rFonts w:eastAsia="Calibri" w:cstheme="minorHAnsi"/>
                <w:sz w:val="18"/>
                <w:szCs w:val="18"/>
              </w:rPr>
              <w:fldChar w:fldCharType="end"/>
            </w:r>
          </w:p>
          <w:p w14:paraId="09E06830" w14:textId="3A847717" w:rsidR="00D639B8" w:rsidRDefault="00F95B69"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Ashina 2022</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&lt;EndNote&gt;&lt;Cite&gt;&lt;Author&gt;Ashina&lt;/Author&gt;&lt;Year&gt;2022&lt;/Year&gt;&lt;RecNum&gt;508&lt;/RecNum&gt;&lt;DisplayText&gt;&lt;style face="superscript"&gt;34&lt;/style&gt;&lt;/DisplayText&gt;&lt;record&gt;&lt;rec-number&gt;508&lt;/rec-number&gt;&lt;foreign-keys&gt;&lt;key app="EN" db-id="fsz20seeavzsfie29wsx20a60watx2ffv2wz" timestamp="1681422939"&gt;508&lt;/key&gt;&lt;/foreign-keys&gt;&lt;ref-type name="Journal Article"&gt;17&lt;/ref-type&gt;&lt;contributors&gt;&lt;authors&gt;&lt;author&gt;Ashina, Messoud&lt;/author&gt;&lt;author&gt;Tepper, Stewart J&lt;/author&gt;&lt;author&gt;Brandes, Jan Lewis&lt;/author&gt;&lt;author&gt;Reuter, Uwe&lt;/author&gt;&lt;author&gt;Boudreau, Guy P&lt;/author&gt;&lt;author&gt;Weatherall, Mark&lt;/author&gt;&lt;author&gt;Gantenbein, Andreas R&lt;/author&gt;&lt;author&gt;Doležil, David&lt;/author&gt;&lt;author&gt;Klatt, Jan&lt;/author&gt;&lt;author&gt;Wang, Andrea&lt;/author&gt;&lt;/authors&gt;&lt;/contributors&gt;&lt;titles&gt;&lt;title&gt;Long‐term efficacy and safety of erenumab in patients with chronic migraine in whom prior preventive treatments had failed: A subgroup analysis&lt;/title&gt;&lt;secondary-title&gt;Headache: The Journal of Head and Face Pain&lt;/secondary-title&gt;&lt;/titles&gt;&lt;periodical&gt;&lt;full-title&gt;Headache: The Journal of Head and Face Pain&lt;/full-title&gt;&lt;/periodical&gt;&lt;pages&gt;624-633&lt;/pages&gt;&lt;volume&gt;62&lt;/volume&gt;&lt;number&gt;5&lt;/number&gt;&lt;dates&gt;&lt;year&gt;2022&lt;/year&gt;&lt;/dates&gt;&lt;isbn&gt;0017-8748&lt;/isbn&gt;&lt;label&gt;508&lt;/label&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34</w:t>
            </w:r>
            <w:r>
              <w:rPr>
                <w:rFonts w:eastAsia="Calibri" w:cstheme="minorHAnsi"/>
                <w:sz w:val="18"/>
                <w:szCs w:val="18"/>
              </w:rPr>
              <w:fldChar w:fldCharType="end"/>
            </w:r>
          </w:p>
          <w:p w14:paraId="10253C49" w14:textId="227AE9F6" w:rsidR="00F95B69" w:rsidRPr="007E778F" w:rsidRDefault="00F95B69"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Starling 2023</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&lt;EndNote&gt;&lt;Cite&gt;&lt;Author&gt;Starling&lt;/Author&gt;&lt;Year&gt;2023&lt;/Year&gt;&lt;RecNum&gt;155&lt;/RecNum&gt;&lt;DisplayText&gt;&lt;style face="superscript"&gt;35&lt;/style&gt;&lt;/DisplayText&gt;&lt;record&gt;&lt;rec-number&gt;155&lt;/rec-number&gt;&lt;foreign-keys&gt;&lt;key app="EN" db-id="fsz20seeavzsfie29wsx20a60watx2ffv2wz" timestamp="1688400258"&gt;155&lt;/key&gt;&lt;/foreign-keys&gt;&lt;ref-type name="Journal Article"&gt;17&lt;/ref-type&gt;&lt;contributors&gt;&lt;authors&gt;&lt;author&gt;Starling, Amaal J&lt;/author&gt;&lt;author&gt;Cowan, Robert P&lt;/author&gt;&lt;author&gt;Buse, Dawn C&lt;/author&gt;&lt;author&gt;Diener, Hans‐Christoph&lt;/author&gt;&lt;author&gt;Marmura, Michael J&lt;/author&gt;&lt;author&gt;Hirman, Joe&lt;/author&gt;&lt;author&gt;Brevig, Thomas&lt;/author&gt;&lt;author&gt;Cady, Roger&lt;/author&gt;&lt;/authors&gt;&lt;/contributors&gt;&lt;titles&gt;&lt;title&gt;Eptinezumab improved patient‐reported outcomes in patients with migraine and medication‐overuse headache: Subgroup analysis of the randomized PROMISE‐2 trial&lt;/title&gt;&lt;secondary-title&gt;Headache: The Journal of Head and Face Pain&lt;/secondary-title&gt;&lt;/titles&gt;&lt;periodical&gt;&lt;full-title&gt;Headache: The Journal of Head and Face Pain&lt;/full-title&gt;&lt;/periodical&gt;&lt;pages&gt;264-274&lt;/pages&gt;&lt;volume&gt;63&lt;/volume&gt;&lt;number&gt;2&lt;/number&gt;&lt;dates&gt;&lt;year&gt;2023&lt;/year&gt;&lt;/dates&gt;&lt;isbn&gt;0017-8748&lt;/isbn&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35</w:t>
            </w:r>
            <w:r>
              <w:rPr>
                <w:rFonts w:eastAsia="Calibri" w:cstheme="minorHAnsi"/>
                <w:sz w:val="18"/>
                <w:szCs w:val="18"/>
              </w:rPr>
              <w:fldChar w:fldCharType="end"/>
            </w:r>
          </w:p>
        </w:tc>
        <w:tc>
          <w:tcPr>
            <w:tcW w:w="700" w:type="pct"/>
            <w:vMerge w:val="restart"/>
            <w:vAlign w:val="center"/>
          </w:tcPr>
          <w:p w14:paraId="7F86807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128</w:t>
            </w:r>
          </w:p>
          <w:p w14:paraId="65FBBED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 xml:space="preserve">sites in 13 countries across </w:t>
            </w:r>
            <w:r>
              <w:rPr>
                <w:rFonts w:eastAsia="Calibri" w:cstheme="minorHAnsi"/>
                <w:sz w:val="18"/>
                <w:szCs w:val="18"/>
              </w:rPr>
              <w:t xml:space="preserve">the USA </w:t>
            </w:r>
            <w:r w:rsidRPr="007E778F">
              <w:rPr>
                <w:rFonts w:eastAsia="Calibri" w:cstheme="minorHAnsi"/>
                <w:sz w:val="18"/>
                <w:szCs w:val="18"/>
              </w:rPr>
              <w:t>and Europe</w:t>
            </w:r>
          </w:p>
        </w:tc>
        <w:tc>
          <w:tcPr>
            <w:tcW w:w="171" w:type="pct"/>
            <w:vMerge w:val="restart"/>
            <w:vAlign w:val="center"/>
          </w:tcPr>
          <w:p w14:paraId="05D5BF30" w14:textId="77777777" w:rsidR="009642E2" w:rsidRPr="007E778F" w:rsidRDefault="009642E2" w:rsidP="00F60C3E">
            <w:pP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 xml:space="preserve">ICHD-3 </w:t>
            </w:r>
          </w:p>
        </w:tc>
        <w:tc>
          <w:tcPr>
            <w:tcW w:w="161" w:type="pct"/>
            <w:vMerge w:val="restart"/>
            <w:vAlign w:val="center"/>
          </w:tcPr>
          <w:p w14:paraId="74144FED" w14:textId="77777777" w:rsidR="009642E2" w:rsidRPr="007E778F" w:rsidRDefault="009642E2" w:rsidP="00F60C3E">
            <w:pP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24DB</w:t>
            </w:r>
          </w:p>
        </w:tc>
        <w:tc>
          <w:tcPr>
            <w:tcW w:w="778" w:type="pct"/>
            <w:vAlign w:val="center"/>
          </w:tcPr>
          <w:p w14:paraId="4A4B3FD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Placebo</w:t>
            </w:r>
          </w:p>
        </w:tc>
        <w:tc>
          <w:tcPr>
            <w:tcW w:w="379" w:type="pct"/>
            <w:vAlign w:val="center"/>
          </w:tcPr>
          <w:p w14:paraId="43DD07F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39" w:type="pct"/>
            <w:vAlign w:val="center"/>
          </w:tcPr>
          <w:p w14:paraId="1187D8B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243" w:type="pct"/>
            <w:vAlign w:val="center"/>
          </w:tcPr>
          <w:p w14:paraId="2392991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18" w:type="pct"/>
            <w:vAlign w:val="center"/>
          </w:tcPr>
          <w:p w14:paraId="4A08A7D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366</w:t>
            </w:r>
          </w:p>
        </w:tc>
        <w:tc>
          <w:tcPr>
            <w:tcW w:w="135" w:type="pct"/>
            <w:vAlign w:val="center"/>
          </w:tcPr>
          <w:p w14:paraId="491B55F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88.8</w:t>
            </w:r>
          </w:p>
        </w:tc>
        <w:tc>
          <w:tcPr>
            <w:tcW w:w="135" w:type="pct"/>
            <w:vAlign w:val="center"/>
          </w:tcPr>
          <w:p w14:paraId="38BED34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39.6</w:t>
            </w:r>
          </w:p>
        </w:tc>
        <w:tc>
          <w:tcPr>
            <w:tcW w:w="135" w:type="pct"/>
            <w:vAlign w:val="center"/>
          </w:tcPr>
          <w:p w14:paraId="0BBC3B1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27</w:t>
            </w:r>
          </w:p>
        </w:tc>
        <w:tc>
          <w:tcPr>
            <w:tcW w:w="135" w:type="pct"/>
            <w:vAlign w:val="center"/>
          </w:tcPr>
          <w:p w14:paraId="4F3485B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16.2</w:t>
            </w:r>
          </w:p>
        </w:tc>
        <w:tc>
          <w:tcPr>
            <w:tcW w:w="135" w:type="pct"/>
            <w:vAlign w:val="center"/>
          </w:tcPr>
          <w:p w14:paraId="2CFB014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20.6</w:t>
            </w:r>
          </w:p>
        </w:tc>
        <w:tc>
          <w:tcPr>
            <w:tcW w:w="167" w:type="pct"/>
            <w:vAlign w:val="center"/>
          </w:tcPr>
          <w:p w14:paraId="346C7F9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4167C7A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45633EE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r>
      <w:tr w:rsidR="009642E2" w:rsidRPr="001303D6" w14:paraId="36766441" w14:textId="77777777" w:rsidTr="005A68A6">
        <w:trPr>
          <w:trHeight w:val="840"/>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190BD1A1" w14:textId="77777777" w:rsidR="009642E2" w:rsidRPr="007E778F" w:rsidRDefault="009642E2" w:rsidP="00F60C3E">
            <w:pPr>
              <w:rPr>
                <w:rFonts w:eastAsia="Calibri" w:cstheme="minorHAnsi"/>
                <w:sz w:val="18"/>
                <w:szCs w:val="18"/>
              </w:rPr>
            </w:pPr>
          </w:p>
        </w:tc>
        <w:tc>
          <w:tcPr>
            <w:tcW w:w="786" w:type="pct"/>
            <w:vMerge/>
            <w:vAlign w:val="center"/>
          </w:tcPr>
          <w:p w14:paraId="7575C9A7" w14:textId="77777777" w:rsidR="009642E2" w:rsidRPr="007E778F" w:rsidRDefault="009642E2" w:rsidP="00F60C3E">
            <w:pP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42C60667" w14:textId="77777777" w:rsidR="009642E2" w:rsidRPr="007E778F" w:rsidRDefault="009642E2" w:rsidP="00F60C3E">
            <w:pP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41F06546" w14:textId="77777777" w:rsidR="009642E2" w:rsidRPr="007E778F" w:rsidRDefault="009642E2" w:rsidP="00F60C3E">
            <w:pP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3E6A0FB0" w14:textId="77777777" w:rsidR="009642E2" w:rsidRPr="007E778F" w:rsidRDefault="009642E2" w:rsidP="00F60C3E">
            <w:pP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Merge w:val="restart"/>
            <w:vAlign w:val="center"/>
          </w:tcPr>
          <w:p w14:paraId="05E8A3F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Eptinezumab</w:t>
            </w:r>
          </w:p>
        </w:tc>
        <w:tc>
          <w:tcPr>
            <w:tcW w:w="379" w:type="pct"/>
            <w:vAlign w:val="center"/>
          </w:tcPr>
          <w:p w14:paraId="48E5EF3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300 mg</w:t>
            </w:r>
          </w:p>
        </w:tc>
        <w:tc>
          <w:tcPr>
            <w:tcW w:w="139" w:type="pct"/>
            <w:vAlign w:val="center"/>
          </w:tcPr>
          <w:p w14:paraId="3817510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IV</w:t>
            </w:r>
          </w:p>
        </w:tc>
        <w:tc>
          <w:tcPr>
            <w:tcW w:w="243" w:type="pct"/>
            <w:vAlign w:val="center"/>
          </w:tcPr>
          <w:p w14:paraId="718C1B8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Single dose</w:t>
            </w:r>
          </w:p>
        </w:tc>
        <w:tc>
          <w:tcPr>
            <w:tcW w:w="118" w:type="pct"/>
            <w:vAlign w:val="center"/>
          </w:tcPr>
          <w:p w14:paraId="270A289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350</w:t>
            </w:r>
          </w:p>
        </w:tc>
        <w:tc>
          <w:tcPr>
            <w:tcW w:w="135" w:type="pct"/>
            <w:vAlign w:val="center"/>
          </w:tcPr>
          <w:p w14:paraId="4BC5365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89.7</w:t>
            </w:r>
          </w:p>
        </w:tc>
        <w:tc>
          <w:tcPr>
            <w:tcW w:w="135" w:type="pct"/>
            <w:vAlign w:val="center"/>
          </w:tcPr>
          <w:p w14:paraId="67C2E55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41</w:t>
            </w:r>
          </w:p>
        </w:tc>
        <w:tc>
          <w:tcPr>
            <w:tcW w:w="135" w:type="pct"/>
            <w:vAlign w:val="center"/>
          </w:tcPr>
          <w:p w14:paraId="3AE477B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26.2</w:t>
            </w:r>
          </w:p>
        </w:tc>
        <w:tc>
          <w:tcPr>
            <w:tcW w:w="135" w:type="pct"/>
            <w:vAlign w:val="center"/>
          </w:tcPr>
          <w:p w14:paraId="69D0B9A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16.1</w:t>
            </w:r>
          </w:p>
        </w:tc>
        <w:tc>
          <w:tcPr>
            <w:tcW w:w="135" w:type="pct"/>
            <w:vAlign w:val="center"/>
          </w:tcPr>
          <w:p w14:paraId="076E711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20.6</w:t>
            </w:r>
          </w:p>
        </w:tc>
        <w:tc>
          <w:tcPr>
            <w:tcW w:w="167" w:type="pct"/>
            <w:vAlign w:val="center"/>
          </w:tcPr>
          <w:p w14:paraId="32F649A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2D73E5D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5244DA4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r>
      <w:tr w:rsidR="009642E2" w:rsidRPr="001303D6" w14:paraId="48476785" w14:textId="77777777" w:rsidTr="005A68A6">
        <w:trPr>
          <w:trHeight w:val="558"/>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76F0ED9F" w14:textId="77777777" w:rsidR="009642E2" w:rsidRPr="007E778F" w:rsidRDefault="009642E2" w:rsidP="00F60C3E">
            <w:pPr>
              <w:rPr>
                <w:rFonts w:eastAsia="Calibri" w:cstheme="minorHAnsi"/>
                <w:sz w:val="18"/>
                <w:szCs w:val="18"/>
              </w:rPr>
            </w:pPr>
          </w:p>
        </w:tc>
        <w:tc>
          <w:tcPr>
            <w:tcW w:w="786" w:type="pct"/>
            <w:vMerge/>
            <w:vAlign w:val="center"/>
          </w:tcPr>
          <w:p w14:paraId="13D8EF11" w14:textId="77777777" w:rsidR="009642E2" w:rsidRPr="007E778F" w:rsidRDefault="009642E2" w:rsidP="00F60C3E">
            <w:pP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04580DDC" w14:textId="77777777" w:rsidR="009642E2" w:rsidRPr="007E778F" w:rsidRDefault="009642E2" w:rsidP="00F60C3E">
            <w:pP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41186A9E" w14:textId="77777777" w:rsidR="009642E2" w:rsidRPr="007E778F" w:rsidRDefault="009642E2" w:rsidP="00F60C3E">
            <w:pP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60BF03FE" w14:textId="77777777" w:rsidR="009642E2" w:rsidRPr="007E778F" w:rsidRDefault="009642E2" w:rsidP="00F60C3E">
            <w:pP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Merge/>
            <w:vAlign w:val="center"/>
          </w:tcPr>
          <w:p w14:paraId="1B0903E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379" w:type="pct"/>
            <w:vAlign w:val="center"/>
          </w:tcPr>
          <w:p w14:paraId="43E6E26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100 mg</w:t>
            </w:r>
          </w:p>
        </w:tc>
        <w:tc>
          <w:tcPr>
            <w:tcW w:w="139" w:type="pct"/>
            <w:vAlign w:val="center"/>
          </w:tcPr>
          <w:p w14:paraId="0B89239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IV</w:t>
            </w:r>
          </w:p>
        </w:tc>
        <w:tc>
          <w:tcPr>
            <w:tcW w:w="243" w:type="pct"/>
            <w:vAlign w:val="center"/>
          </w:tcPr>
          <w:p w14:paraId="272780A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Single dose</w:t>
            </w:r>
          </w:p>
        </w:tc>
        <w:tc>
          <w:tcPr>
            <w:tcW w:w="118" w:type="pct"/>
            <w:vAlign w:val="center"/>
          </w:tcPr>
          <w:p w14:paraId="3180030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356</w:t>
            </w:r>
          </w:p>
        </w:tc>
        <w:tc>
          <w:tcPr>
            <w:tcW w:w="135" w:type="pct"/>
            <w:vAlign w:val="center"/>
          </w:tcPr>
          <w:p w14:paraId="1700F46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86.2</w:t>
            </w:r>
          </w:p>
        </w:tc>
        <w:tc>
          <w:tcPr>
            <w:tcW w:w="135" w:type="pct"/>
            <w:vAlign w:val="center"/>
          </w:tcPr>
          <w:p w14:paraId="1AAC79C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41</w:t>
            </w:r>
          </w:p>
        </w:tc>
        <w:tc>
          <w:tcPr>
            <w:tcW w:w="135" w:type="pct"/>
            <w:vAlign w:val="center"/>
          </w:tcPr>
          <w:p w14:paraId="65C935F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26.4</w:t>
            </w:r>
          </w:p>
        </w:tc>
        <w:tc>
          <w:tcPr>
            <w:tcW w:w="135" w:type="pct"/>
            <w:vAlign w:val="center"/>
          </w:tcPr>
          <w:p w14:paraId="7327262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16.1</w:t>
            </w:r>
          </w:p>
        </w:tc>
        <w:tc>
          <w:tcPr>
            <w:tcW w:w="135" w:type="pct"/>
            <w:vAlign w:val="center"/>
          </w:tcPr>
          <w:p w14:paraId="3FF0A56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20.4</w:t>
            </w:r>
          </w:p>
        </w:tc>
        <w:tc>
          <w:tcPr>
            <w:tcW w:w="167" w:type="pct"/>
            <w:vAlign w:val="center"/>
          </w:tcPr>
          <w:p w14:paraId="0E07240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42FE342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2D238F9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r>
      <w:tr w:rsidR="009642E2" w:rsidRPr="001303D6" w14:paraId="4B977F38" w14:textId="77777777" w:rsidTr="005A68A6">
        <w:trPr>
          <w:trHeight w:val="407"/>
        </w:trPr>
        <w:tc>
          <w:tcPr>
            <w:cnfStyle w:val="001000000000" w:firstRow="0" w:lastRow="0" w:firstColumn="1" w:lastColumn="0" w:oddVBand="0" w:evenVBand="0" w:oddHBand="0" w:evenHBand="0" w:firstRowFirstColumn="0" w:firstRowLastColumn="0" w:lastRowFirstColumn="0" w:lastRowLastColumn="0"/>
            <w:tcW w:w="351" w:type="pct"/>
            <w:vMerge w:val="restart"/>
            <w:vAlign w:val="center"/>
          </w:tcPr>
          <w:p w14:paraId="765B3BD8" w14:textId="7609163C" w:rsidR="009642E2" w:rsidRPr="007E778F" w:rsidRDefault="009642E2" w:rsidP="00F60C3E">
            <w:pPr>
              <w:jc w:val="center"/>
              <w:rPr>
                <w:rFonts w:eastAsia="Calibri" w:cstheme="minorHAnsi"/>
                <w:sz w:val="18"/>
                <w:szCs w:val="18"/>
              </w:rPr>
            </w:pPr>
            <w:r w:rsidRPr="007E778F">
              <w:rPr>
                <w:rFonts w:eastAsia="Calibri" w:cstheme="minorHAnsi"/>
                <w:sz w:val="18"/>
                <w:szCs w:val="18"/>
              </w:rPr>
              <w:t xml:space="preserve">Rothrock 2019 </w:t>
            </w:r>
            <w:r w:rsidRPr="007E778F">
              <w:rPr>
                <w:rFonts w:eastAsia="Calibri" w:cstheme="minorHAnsi"/>
                <w:sz w:val="18"/>
                <w:szCs w:val="18"/>
              </w:rPr>
              <w:fldChar w:fldCharType="begin">
                <w:fldData xml:space="preserve">PEVuZE5vdGU+PENpdGU+PEF1dGhvcj5Sb3Rocm9jazwvQXV0aG9yPjxZZWFyPjIwMTk8L1llYXI+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</w:fldData>
              </w:fldChar>
            </w:r>
            <w:r w:rsidR="008D698C">
              <w:rPr>
                <w:rFonts w:eastAsia="Calibri" w:cstheme="minorHAnsi"/>
                <w:sz w:val="18"/>
                <w:szCs w:val="18"/>
              </w:rPr>
              <w:instrText xml:space="preserve"> ADDIN EN.CITE </w:instrText>
            </w:r>
            <w:r w:rsidR="008D698C">
              <w:rPr>
                <w:rFonts w:eastAsia="Calibri" w:cstheme="minorHAnsi"/>
                <w:sz w:val="18"/>
                <w:szCs w:val="18"/>
              </w:rPr>
              <w:fldChar w:fldCharType="begin">
                <w:fldData xml:space="preserve">PEVuZE5vdGU+PENpdGU+PEF1dGhvcj5Sb3Rocm9jazwvQXV0aG9yPjxZZWFyPjIwMTk8L1llYXI+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</w:fldData>
              </w:fldChar>
            </w:r>
            <w:r w:rsidR="008D698C">
              <w:rPr>
                <w:rFonts w:eastAsia="Calibri" w:cstheme="minorHAnsi"/>
                <w:sz w:val="18"/>
                <w:szCs w:val="18"/>
              </w:rPr>
              <w:instrText xml:space="preserve"> ADDIN EN.CITE.DATA </w:instrText>
            </w:r>
            <w:r w:rsidR="008D698C">
              <w:rPr>
                <w:rFonts w:eastAsia="Calibri" w:cstheme="minorHAnsi"/>
                <w:sz w:val="18"/>
                <w:szCs w:val="18"/>
              </w:rPr>
            </w:r>
            <w:r w:rsidR="008D698C">
              <w:rPr>
                <w:rFonts w:eastAsia="Calibri" w:cstheme="minorHAnsi"/>
                <w:sz w:val="18"/>
                <w:szCs w:val="18"/>
              </w:rPr>
              <w:fldChar w:fldCharType="end"/>
            </w:r>
            <w:r w:rsidRPr="007E778F">
              <w:rPr>
                <w:rFonts w:eastAsia="Calibri" w:cstheme="minorHAnsi"/>
                <w:sz w:val="18"/>
                <w:szCs w:val="18"/>
              </w:rPr>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36</w:t>
            </w:r>
            <w:r w:rsidRPr="007E778F">
              <w:rPr>
                <w:rFonts w:eastAsia="Calibri" w:cstheme="minorHAnsi"/>
                <w:sz w:val="18"/>
                <w:szCs w:val="18"/>
              </w:rPr>
              <w:fldChar w:fldCharType="end"/>
            </w:r>
          </w:p>
          <w:p w14:paraId="2513C834" w14:textId="77777777" w:rsidR="009642E2" w:rsidRPr="007E778F" w:rsidRDefault="009642E2" w:rsidP="00F60C3E">
            <w:pPr>
              <w:jc w:val="center"/>
              <w:rPr>
                <w:rFonts w:eastAsia="Calibri" w:cstheme="minorHAnsi"/>
                <w:sz w:val="18"/>
                <w:szCs w:val="18"/>
              </w:rPr>
            </w:pPr>
            <w:r w:rsidRPr="007E778F">
              <w:rPr>
                <w:rFonts w:eastAsia="Calibri" w:cstheme="minorHAnsi"/>
                <w:sz w:val="18"/>
                <w:szCs w:val="18"/>
              </w:rPr>
              <w:t>[FORWARD]</w:t>
            </w:r>
          </w:p>
        </w:tc>
        <w:tc>
          <w:tcPr>
            <w:tcW w:w="786" w:type="pct"/>
            <w:vMerge w:val="restart"/>
            <w:vAlign w:val="center"/>
          </w:tcPr>
          <w:p w14:paraId="02F43AC0" w14:textId="73663D3E"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Blumenfeld 2020</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&lt;EndNote&gt;&lt;Cite&gt;&lt;Author&gt;Blumenfeld&lt;/Author&gt;&lt;Year&gt;2020&lt;/Year&gt;&lt;RecNum&gt;62&lt;/RecNum&gt;&lt;DisplayText&gt;&lt;style face="superscript"&gt;37&lt;/style&gt;&lt;/DisplayText&gt;&lt;record&gt;&lt;rec-number&gt;62&lt;/rec-number&gt;&lt;foreign-keys&gt;&lt;key app="EN" db-id="fsz20seeavzsfie29wsx20a60watx2ffv2wz" timestamp="1662733055"&gt;62&lt;/key&gt;&lt;/foreign-keys&gt;&lt;ref-type name="Journal Article"&gt;17&lt;/ref-type&gt;&lt;contributors&gt;&lt;authors&gt;&lt;author&gt;Blumenfeld, Andrew M&lt;/author&gt;&lt;author&gt;Patel, Atul T&lt;/author&gt;&lt;author&gt;Turner, Ira M&lt;/author&gt;&lt;author&gt;Mullin, Kathleen B&lt;/author&gt;&lt;author&gt;Manack Adams, Aubrey&lt;/author&gt;&lt;author&gt;Rothrock, John F&lt;/author&gt;&lt;/authors&gt;&lt;/contributors&gt;&lt;titles&gt;&lt;title&gt;Patient-reported outcomes from a 1-year, real-world, head-to-head comparison of onabotulinumtoxinA and topiramate for headache prevention in adults with chronic migraine&lt;/title&gt;&lt;secondary-title&gt;Journal of Primary Care &amp;amp; Community Health&lt;/secondary-title&gt;&lt;/titles&gt;&lt;periodical&gt;&lt;full-title&gt;Journal of Primary Care &amp;amp; Community Health&lt;/full-title&gt;&lt;/periodical&gt;&lt;pages&gt;2150132720959936&lt;/pages&gt;&lt;volume&gt;11&lt;/volume&gt;&lt;dates&gt;&lt;year&gt;2020&lt;/year&gt;&lt;/dates&gt;&lt;isbn&gt;2150-1327&lt;/isbn&gt;&lt;label&gt;62&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37</w:t>
            </w:r>
            <w:r w:rsidRPr="007E778F">
              <w:rPr>
                <w:rFonts w:eastAsia="Calibri" w:cstheme="minorHAnsi"/>
                <w:sz w:val="18"/>
                <w:szCs w:val="18"/>
              </w:rPr>
              <w:fldChar w:fldCharType="end"/>
            </w:r>
          </w:p>
        </w:tc>
        <w:tc>
          <w:tcPr>
            <w:tcW w:w="700" w:type="pct"/>
            <w:vMerge w:val="restart"/>
            <w:vAlign w:val="center"/>
          </w:tcPr>
          <w:p w14:paraId="6E7E92A4" w14:textId="77777777"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USA</w:t>
            </w:r>
          </w:p>
        </w:tc>
        <w:tc>
          <w:tcPr>
            <w:tcW w:w="171" w:type="pct"/>
            <w:vMerge w:val="restart"/>
            <w:vAlign w:val="center"/>
          </w:tcPr>
          <w:p w14:paraId="08CC94F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 xml:space="preserve">ICHD-3 </w:t>
            </w:r>
          </w:p>
        </w:tc>
        <w:tc>
          <w:tcPr>
            <w:tcW w:w="161" w:type="pct"/>
            <w:vMerge w:val="restart"/>
            <w:vAlign w:val="center"/>
          </w:tcPr>
          <w:p w14:paraId="2B7AB99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24OL</w:t>
            </w:r>
          </w:p>
        </w:tc>
        <w:tc>
          <w:tcPr>
            <w:tcW w:w="778" w:type="pct"/>
            <w:vAlign w:val="center"/>
          </w:tcPr>
          <w:p w14:paraId="1E2EC01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OnabotulinumtoxinA</w:t>
            </w:r>
          </w:p>
        </w:tc>
        <w:tc>
          <w:tcPr>
            <w:tcW w:w="379" w:type="pct"/>
            <w:vAlign w:val="center"/>
          </w:tcPr>
          <w:p w14:paraId="028C950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155U</w:t>
            </w:r>
          </w:p>
          <w:p w14:paraId="663D7FA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39" w:type="pct"/>
            <w:vAlign w:val="center"/>
          </w:tcPr>
          <w:p w14:paraId="6058567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IM</w:t>
            </w:r>
            <w:r w:rsidRPr="007E778F">
              <w:rPr>
                <w:rFonts w:eastAsia="Calibri" w:cstheme="minorHAnsi"/>
                <w:sz w:val="18"/>
                <w:szCs w:val="18"/>
              </w:rPr>
              <w:t xml:space="preserve"> at 31 sites</w:t>
            </w:r>
          </w:p>
        </w:tc>
        <w:tc>
          <w:tcPr>
            <w:tcW w:w="243" w:type="pct"/>
            <w:vAlign w:val="center"/>
          </w:tcPr>
          <w:p w14:paraId="37FAB1D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Every 12 week</w:t>
            </w:r>
          </w:p>
        </w:tc>
        <w:tc>
          <w:tcPr>
            <w:tcW w:w="118" w:type="pct"/>
            <w:vAlign w:val="center"/>
          </w:tcPr>
          <w:p w14:paraId="2785099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140</w:t>
            </w:r>
          </w:p>
        </w:tc>
        <w:tc>
          <w:tcPr>
            <w:tcW w:w="135" w:type="pct"/>
            <w:vAlign w:val="center"/>
          </w:tcPr>
          <w:p w14:paraId="35CE2EE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84</w:t>
            </w:r>
          </w:p>
        </w:tc>
        <w:tc>
          <w:tcPr>
            <w:tcW w:w="135" w:type="pct"/>
            <w:vAlign w:val="center"/>
          </w:tcPr>
          <w:p w14:paraId="41E9A16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40.2</w:t>
            </w:r>
          </w:p>
        </w:tc>
        <w:tc>
          <w:tcPr>
            <w:tcW w:w="135" w:type="pct"/>
            <w:vAlign w:val="center"/>
          </w:tcPr>
          <w:p w14:paraId="3AE24F6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28.9</w:t>
            </w:r>
          </w:p>
        </w:tc>
        <w:tc>
          <w:tcPr>
            <w:tcW w:w="135" w:type="pct"/>
            <w:vAlign w:val="center"/>
          </w:tcPr>
          <w:p w14:paraId="170BF6F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35" w:type="pct"/>
            <w:vAlign w:val="center"/>
          </w:tcPr>
          <w:p w14:paraId="410EE49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22.1</w:t>
            </w:r>
          </w:p>
        </w:tc>
        <w:tc>
          <w:tcPr>
            <w:tcW w:w="167" w:type="pct"/>
            <w:vAlign w:val="center"/>
          </w:tcPr>
          <w:p w14:paraId="7364FDF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046F45D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3BD73EF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r>
      <w:tr w:rsidR="009642E2" w:rsidRPr="001303D6" w14:paraId="703AACEE" w14:textId="77777777" w:rsidTr="005A68A6">
        <w:trPr>
          <w:trHeight w:val="407"/>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0DF859FE" w14:textId="77777777" w:rsidR="009642E2" w:rsidRPr="007E778F" w:rsidRDefault="009642E2" w:rsidP="00F60C3E">
            <w:pPr>
              <w:jc w:val="center"/>
              <w:rPr>
                <w:rFonts w:eastAsia="Calibri" w:cstheme="minorHAnsi"/>
                <w:sz w:val="18"/>
                <w:szCs w:val="18"/>
              </w:rPr>
            </w:pPr>
          </w:p>
        </w:tc>
        <w:tc>
          <w:tcPr>
            <w:tcW w:w="786" w:type="pct"/>
            <w:vMerge/>
            <w:vAlign w:val="center"/>
          </w:tcPr>
          <w:p w14:paraId="0BA1262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4041D846" w14:textId="77777777"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3912C60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2044CBA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Align w:val="center"/>
          </w:tcPr>
          <w:p w14:paraId="0A455A8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Topiramate</w:t>
            </w:r>
          </w:p>
        </w:tc>
        <w:tc>
          <w:tcPr>
            <w:tcW w:w="379" w:type="pct"/>
            <w:vAlign w:val="center"/>
          </w:tcPr>
          <w:p w14:paraId="21ADA70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100 mg</w:t>
            </w:r>
          </w:p>
        </w:tc>
        <w:tc>
          <w:tcPr>
            <w:tcW w:w="139" w:type="pct"/>
            <w:vAlign w:val="center"/>
          </w:tcPr>
          <w:p w14:paraId="1DECCEA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Oral</w:t>
            </w:r>
          </w:p>
        </w:tc>
        <w:tc>
          <w:tcPr>
            <w:tcW w:w="243" w:type="pct"/>
            <w:vAlign w:val="center"/>
          </w:tcPr>
          <w:p w14:paraId="20C05E6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Twice daily</w:t>
            </w:r>
          </w:p>
        </w:tc>
        <w:tc>
          <w:tcPr>
            <w:tcW w:w="118" w:type="pct"/>
            <w:vAlign w:val="center"/>
          </w:tcPr>
          <w:p w14:paraId="0EF202F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142</w:t>
            </w:r>
          </w:p>
        </w:tc>
        <w:tc>
          <w:tcPr>
            <w:tcW w:w="135" w:type="pct"/>
            <w:vAlign w:val="center"/>
          </w:tcPr>
          <w:p w14:paraId="7569638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86</w:t>
            </w:r>
          </w:p>
        </w:tc>
        <w:tc>
          <w:tcPr>
            <w:tcW w:w="135" w:type="pct"/>
            <w:vAlign w:val="center"/>
          </w:tcPr>
          <w:p w14:paraId="671BEDA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39.4</w:t>
            </w:r>
          </w:p>
        </w:tc>
        <w:tc>
          <w:tcPr>
            <w:tcW w:w="135" w:type="pct"/>
            <w:vAlign w:val="center"/>
          </w:tcPr>
          <w:p w14:paraId="357A42E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28.8</w:t>
            </w:r>
          </w:p>
        </w:tc>
        <w:tc>
          <w:tcPr>
            <w:tcW w:w="135" w:type="pct"/>
            <w:vAlign w:val="center"/>
          </w:tcPr>
          <w:p w14:paraId="2E65096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35" w:type="pct"/>
            <w:vAlign w:val="center"/>
          </w:tcPr>
          <w:p w14:paraId="7525C54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21.9</w:t>
            </w:r>
          </w:p>
        </w:tc>
        <w:tc>
          <w:tcPr>
            <w:tcW w:w="167" w:type="pct"/>
            <w:vAlign w:val="center"/>
          </w:tcPr>
          <w:p w14:paraId="450EE68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67AD99E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09F7531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r>
      <w:tr w:rsidR="006B2281" w:rsidRPr="001303D6" w14:paraId="367C2355" w14:textId="77777777" w:rsidTr="005A68A6">
        <w:trPr>
          <w:trHeight w:val="512"/>
        </w:trPr>
        <w:tc>
          <w:tcPr>
            <w:cnfStyle w:val="001000000000" w:firstRow="0" w:lastRow="0" w:firstColumn="1" w:lastColumn="0" w:oddVBand="0" w:evenVBand="0" w:oddHBand="0" w:evenHBand="0" w:firstRowFirstColumn="0" w:firstRowLastColumn="0" w:lastRowFirstColumn="0" w:lastRowLastColumn="0"/>
            <w:tcW w:w="351" w:type="pct"/>
            <w:vMerge w:val="restart"/>
            <w:vAlign w:val="center"/>
          </w:tcPr>
          <w:p w14:paraId="16092D09" w14:textId="3D1FB8E5" w:rsidR="009642E2" w:rsidRPr="007E778F" w:rsidRDefault="009642E2" w:rsidP="00F60C3E">
            <w:pPr>
              <w:jc w:val="center"/>
              <w:rPr>
                <w:rFonts w:eastAsia="Calibri" w:cstheme="minorHAnsi"/>
                <w:sz w:val="18"/>
                <w:szCs w:val="18"/>
              </w:rPr>
            </w:pPr>
            <w:r w:rsidRPr="007E778F">
              <w:rPr>
                <w:rFonts w:eastAsia="Calibri" w:cstheme="minorHAnsi"/>
                <w:sz w:val="18"/>
                <w:szCs w:val="18"/>
              </w:rPr>
              <w:t>Sakai 2021</w:t>
            </w:r>
            <w:r>
              <w:rPr>
                <w:rFonts w:eastAsia="Calibri" w:cstheme="minorHAnsi"/>
                <w:sz w:val="18"/>
                <w:szCs w:val="18"/>
              </w:rPr>
              <w:t xml:space="preserve"> </w:t>
            </w:r>
            <w:r w:rsidR="001F454A">
              <w:rPr>
                <w:rFonts w:eastAsia="Calibri" w:cstheme="minorHAnsi"/>
                <w:sz w:val="18"/>
                <w:szCs w:val="18"/>
              </w:rPr>
              <w:fldChar w:fldCharType="begin"/>
            </w:r>
            <w:r w:rsidR="008D698C">
              <w:rPr>
                <w:rFonts w:eastAsia="Calibri" w:cstheme="minorHAnsi"/>
                <w:sz w:val="18"/>
                <w:szCs w:val="18"/>
              </w:rPr>
              <w:instrText xml:space="preserve"> ADDIN EN.CITE &lt;EndNote&gt;&lt;Cite&gt;&lt;Author&gt;Sakai&lt;/Author&gt;&lt;Year&gt;2021&lt;/Year&gt;&lt;RecNum&gt;29&lt;/RecNum&gt;&lt;DisplayText&gt;&lt;style face="superscript"&gt;38&lt;/style&gt;&lt;/DisplayText&gt;&lt;record&gt;&lt;rec-number&gt;29&lt;/rec-number&gt;&lt;foreign-keys&gt;&lt;key app="EN" db-id="fsz20seeavzsfie29wsx20a60watx2ffv2wz" timestamp="1662393706"&gt;29&lt;/key&gt;&lt;/foreign-keys&gt;&lt;ref-type name="Journal Article"&gt;17&lt;/ref-type&gt;&lt;contributors&gt;&lt;authors&gt;&lt;author&gt;Sakai, Fumihiko&lt;/author&gt;&lt;author&gt;Suzuki, Norihiro&lt;/author&gt;&lt;author&gt;Kim, Byung‐Kun&lt;/author&gt;&lt;author&gt;Igarashi, Hisaka&lt;/author&gt;&lt;author&gt;Hirata, Koichi&lt;/author&gt;&lt;author&gt;Takeshima, Takao&lt;/author&gt;&lt;author&gt;Ning, Xiaoping&lt;/author&gt;&lt;author&gt;Shima, Tomoko&lt;/author&gt;&lt;author&gt;Ishida, Miki&lt;/author&gt;&lt;author&gt;Iba, Katsuhiro&lt;/author&gt;&lt;/authors&gt;&lt;/contributors&gt;&lt;titles&gt;&lt;title&gt;Efficacy and safety of fremanezumab for chronic migraine prevention: Multicenter, randomized, double‐blind, placebo‐controlled, parallel‐group trial in Japanese and Korean patients&lt;/title&gt;&lt;secondary-title&gt;Headache: The Journal of Head and Face Pain&lt;/secondary-title&gt;&lt;/titles&gt;&lt;periodical&gt;&lt;full-title&gt;Headache: The Journal of Head and Face Pain&lt;/full-title&gt;&lt;/periodical&gt;&lt;pages&gt;1092-1101&lt;/pages&gt;&lt;volume&gt;61&lt;/volume&gt;&lt;number&gt;7&lt;/number&gt;&lt;dates&gt;&lt;year&gt;2021&lt;/year&gt;&lt;/dates&gt;&lt;isbn&gt;0017-8748&lt;/isbn&gt;&lt;label&gt;29&lt;/label&gt;&lt;urls&gt;&lt;/urls&gt;&lt;/record&gt;&lt;/Cite&gt;&lt;/EndNote&gt;</w:instrText>
            </w:r>
            <w:r w:rsidR="001F454A">
              <w:rPr>
                <w:rFonts w:eastAsia="Calibri" w:cstheme="minorHAnsi"/>
                <w:sz w:val="18"/>
                <w:szCs w:val="18"/>
              </w:rPr>
              <w:fldChar w:fldCharType="separate"/>
            </w:r>
            <w:r w:rsidR="008D698C" w:rsidRPr="008D698C">
              <w:rPr>
                <w:rFonts w:eastAsia="Calibri" w:cstheme="minorHAnsi"/>
                <w:noProof/>
                <w:sz w:val="18"/>
                <w:szCs w:val="18"/>
                <w:vertAlign w:val="superscript"/>
              </w:rPr>
              <w:t>38</w:t>
            </w:r>
            <w:r w:rsidR="001F454A">
              <w:rPr>
                <w:rFonts w:eastAsia="Calibri" w:cstheme="minorHAnsi"/>
                <w:sz w:val="18"/>
                <w:szCs w:val="18"/>
              </w:rPr>
              <w:fldChar w:fldCharType="end"/>
            </w:r>
          </w:p>
        </w:tc>
        <w:tc>
          <w:tcPr>
            <w:tcW w:w="786" w:type="pct"/>
            <w:vMerge w:val="restart"/>
            <w:vAlign w:val="center"/>
          </w:tcPr>
          <w:p w14:paraId="0103CE32" w14:textId="7BC5E784" w:rsidR="009642E2" w:rsidRDefault="001F454A"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Takeshima</w:t>
            </w:r>
            <w:r w:rsidR="00F50C65">
              <w:rPr>
                <w:rFonts w:eastAsia="Calibri" w:cstheme="minorHAnsi"/>
                <w:sz w:val="18"/>
                <w:szCs w:val="18"/>
              </w:rPr>
              <w:t xml:space="preserve"> 2022</w:t>
            </w:r>
            <w:r w:rsidR="00F50C65">
              <w:rPr>
                <w:rFonts w:eastAsia="Calibri" w:cstheme="minorHAnsi"/>
                <w:sz w:val="18"/>
                <w:szCs w:val="18"/>
              </w:rPr>
              <w:fldChar w:fldCharType="begin"/>
            </w:r>
            <w:r w:rsidR="008D698C">
              <w:rPr>
                <w:rFonts w:eastAsia="Calibri" w:cstheme="minorHAnsi"/>
                <w:sz w:val="18"/>
                <w:szCs w:val="18"/>
              </w:rPr>
              <w:instrText xml:space="preserve"> ADDIN EN.CITE &lt;EndNote&gt;&lt;Cite&gt;&lt;Author&gt;Takeshima&lt;/Author&gt;&lt;Year&gt;2022&lt;/Year&gt;&lt;RecNum&gt;496&lt;/RecNum&gt;&lt;DisplayText&gt;&lt;style face="superscript"&gt;39&lt;/style&gt;&lt;/DisplayText&gt;&lt;record&gt;&lt;rec-number&gt;496&lt;/rec-number&gt;&lt;foreign-keys&gt;&lt;key app="EN" db-id="fsz20seeavzsfie29wsx20a60watx2ffv2wz" timestamp="1681421772"&gt;496&lt;/key&gt;&lt;/foreign-keys&gt;&lt;ref-type name="Journal Article"&gt;17&lt;/ref-type&gt;&lt;contributors&gt;&lt;authors&gt;&lt;author&gt;Takeshima, Takao&lt;/author&gt;&lt;author&gt;Nakai, Masami&lt;/author&gt;&lt;author&gt;Shibasaki, Yoshiyuki&lt;/author&gt;&lt;author&gt;Ishida, Miki&lt;/author&gt;&lt;author&gt;Kim, Byung-Kun&lt;/author&gt;&lt;author&gt;Ning, Xiaoping&lt;/author&gt;&lt;author&gt;Koga, Nobuyuki&lt;/author&gt;&lt;/authors&gt;&lt;/contributors&gt;&lt;titles&gt;&lt;title&gt;Early onset of efficacy with fremanezumab in patients with episodic and chronic migraine: subanalysis of two phase 2b/3 trials in Japanese and Korean patients&lt;/title&gt;&lt;secondary-title&gt;The Journal of Headache and Pain&lt;/secondary-title&gt;&lt;/titles&gt;&lt;periodical&gt;&lt;full-title&gt;The journal of headache and pain&lt;/full-title&gt;&lt;/periodical&gt;&lt;pages&gt;1-9&lt;/pages&gt;&lt;volume&gt;23&lt;/volume&gt;&lt;number&gt;1&lt;/number&gt;&lt;dates&gt;&lt;year&gt;2022&lt;/year&gt;&lt;/dates&gt;&lt;isbn&gt;1129-2377&lt;/isbn&gt;&lt;label&gt;496&lt;/label&gt;&lt;urls&gt;&lt;/urls&gt;&lt;/record&gt;&lt;/Cite&gt;&lt;/EndNote&gt;</w:instrText>
            </w:r>
            <w:r w:rsidR="00F50C65">
              <w:rPr>
                <w:rFonts w:eastAsia="Calibri" w:cstheme="minorHAnsi"/>
                <w:sz w:val="18"/>
                <w:szCs w:val="18"/>
              </w:rPr>
              <w:fldChar w:fldCharType="separate"/>
            </w:r>
            <w:r w:rsidR="008D698C" w:rsidRPr="008D698C">
              <w:rPr>
                <w:rFonts w:eastAsia="Calibri" w:cstheme="minorHAnsi"/>
                <w:noProof/>
                <w:sz w:val="18"/>
                <w:szCs w:val="18"/>
                <w:vertAlign w:val="superscript"/>
              </w:rPr>
              <w:t>39</w:t>
            </w:r>
            <w:r w:rsidR="00F50C65">
              <w:rPr>
                <w:rFonts w:eastAsia="Calibri" w:cstheme="minorHAnsi"/>
                <w:sz w:val="18"/>
                <w:szCs w:val="18"/>
              </w:rPr>
              <w:fldChar w:fldCharType="end"/>
            </w:r>
          </w:p>
          <w:p w14:paraId="79116E6F" w14:textId="15C4B70A" w:rsidR="00F95B69" w:rsidRPr="00C064E2" w:rsidRDefault="00F95B69"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Saigoh 2023</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&lt;EndNote&gt;&lt;Cite&gt;&lt;Author&gt;Saigoh&lt;/Author&gt;&lt;Year&gt;2023&lt;/Year&gt;&lt;RecNum&gt;156&lt;/RecNum&gt;&lt;DisplayText&gt;&lt;style face="superscript"&gt;40&lt;/style&gt;&lt;/DisplayText&gt;&lt;record&gt;&lt;rec-number&gt;156&lt;/rec-number&gt;&lt;foreign-keys&gt;&lt;key app="EN" db-id="fsz20seeavzsfie29wsx20a60watx2ffv2wz" timestamp="1688400481"&gt;156&lt;/key&gt;&lt;/foreign-keys&gt;&lt;ref-type name="Journal Article"&gt;17&lt;/ref-type&gt;&lt;contributors&gt;&lt;authors&gt;&lt;author&gt;Saigoh, Kazumasa&lt;/author&gt;&lt;author&gt;Takeshima, Takao&lt;/author&gt;&lt;author&gt;Nakai, Masami&lt;/author&gt;&lt;author&gt;Shibasaki, Yoshiyuki&lt;/author&gt;&lt;author&gt;Ishida, Miki&lt;/author&gt;&lt;author&gt;Ning, Xiaoping&lt;/author&gt;&lt;author&gt;Barash, Steve&lt;/author&gt;&lt;author&gt;Isogai, Yuki&lt;/author&gt;&lt;author&gt;Koga, Nobuyuki&lt;/author&gt;&lt;/authors&gt;&lt;/contributors&gt;&lt;titles&gt;&lt;title&gt;Fremanezumab for Chronic Migraine Prevention in Japanese Patients: Subgroup Analysis from Two International Trials&lt;/title&gt;&lt;secondary-title&gt;Journal of Pain Research&lt;/secondary-title&gt;&lt;/titles&gt;&lt;periodical&gt;&lt;full-title&gt;Journal of Pain Research&lt;/full-title&gt;&lt;/periodical&gt;&lt;pages&gt;1311-1319&lt;/pages&gt;&lt;dates&gt;&lt;year&gt;2023&lt;/year&gt;&lt;/dates&gt;&lt;isbn&gt;1178-7090&lt;/isbn&gt;&lt;urls&gt;&lt;/urls&gt;&lt;/record&gt;&lt;/Cite&gt;&lt;/EndNote&gt;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40</w:t>
            </w:r>
            <w:r>
              <w:rPr>
                <w:rFonts w:eastAsia="Calibri" w:cstheme="minorHAnsi"/>
                <w:sz w:val="18"/>
                <w:szCs w:val="18"/>
              </w:rPr>
              <w:fldChar w:fldCharType="end"/>
            </w:r>
          </w:p>
        </w:tc>
        <w:tc>
          <w:tcPr>
            <w:tcW w:w="700" w:type="pct"/>
            <w:vMerge w:val="restart"/>
            <w:vAlign w:val="center"/>
          </w:tcPr>
          <w:p w14:paraId="2CC6930F" w14:textId="77777777" w:rsidR="009642E2" w:rsidRPr="00C064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 xml:space="preserve">67 institutions in </w:t>
            </w:r>
            <w:bookmarkStart w:id="9" w:name="_Hlk132322039"/>
            <w:r w:rsidRPr="00C064E2">
              <w:rPr>
                <w:rFonts w:eastAsia="Calibri" w:cstheme="minorHAnsi"/>
                <w:sz w:val="18"/>
                <w:szCs w:val="18"/>
              </w:rPr>
              <w:t>Japan and Korea</w:t>
            </w:r>
            <w:bookmarkEnd w:id="9"/>
          </w:p>
        </w:tc>
        <w:tc>
          <w:tcPr>
            <w:tcW w:w="171" w:type="pct"/>
            <w:vMerge w:val="restart"/>
            <w:vAlign w:val="center"/>
          </w:tcPr>
          <w:p w14:paraId="59046E4E" w14:textId="77777777" w:rsidR="009642E2" w:rsidRPr="00C064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C064E2">
              <w:rPr>
                <w:rFonts w:eastAsia="Calibri" w:cstheme="minorHAnsi"/>
                <w:sz w:val="18"/>
                <w:szCs w:val="18"/>
              </w:rPr>
              <w:t xml:space="preserve">ICHD-3 </w:t>
            </w:r>
          </w:p>
        </w:tc>
        <w:tc>
          <w:tcPr>
            <w:tcW w:w="161" w:type="pct"/>
            <w:vMerge w:val="restart"/>
            <w:vAlign w:val="center"/>
          </w:tcPr>
          <w:p w14:paraId="1A088798" w14:textId="77777777" w:rsidR="009642E2" w:rsidRPr="00C064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C064E2">
              <w:rPr>
                <w:rFonts w:eastAsia="Calibri" w:cstheme="minorHAnsi"/>
                <w:sz w:val="18"/>
                <w:szCs w:val="18"/>
              </w:rPr>
              <w:t>12DB</w:t>
            </w:r>
          </w:p>
        </w:tc>
        <w:tc>
          <w:tcPr>
            <w:tcW w:w="778" w:type="pct"/>
            <w:tcBorders>
              <w:top w:val="single" w:sz="4" w:space="0" w:color="auto"/>
              <w:bottom w:val="single" w:sz="2" w:space="0" w:color="666666"/>
            </w:tcBorders>
            <w:vAlign w:val="center"/>
          </w:tcPr>
          <w:p w14:paraId="5446A337" w14:textId="77777777" w:rsidR="009642E2" w:rsidRPr="00C064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C064E2">
              <w:rPr>
                <w:rFonts w:eastAsia="Calibri" w:cstheme="minorHAnsi"/>
                <w:sz w:val="18"/>
                <w:szCs w:val="18"/>
              </w:rPr>
              <w:t>Placebo</w:t>
            </w:r>
          </w:p>
        </w:tc>
        <w:tc>
          <w:tcPr>
            <w:tcW w:w="379" w:type="pct"/>
            <w:tcBorders>
              <w:top w:val="single" w:sz="4" w:space="0" w:color="auto"/>
              <w:bottom w:val="single" w:sz="2" w:space="0" w:color="666666"/>
            </w:tcBorders>
            <w:vAlign w:val="center"/>
          </w:tcPr>
          <w:p w14:paraId="34F05C62" w14:textId="77777777" w:rsidR="009642E2" w:rsidRPr="00C064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C064E2">
              <w:rPr>
                <w:rFonts w:eastAsia="Calibri" w:cstheme="minorHAnsi"/>
                <w:sz w:val="18"/>
                <w:szCs w:val="18"/>
              </w:rPr>
              <w:t>-</w:t>
            </w:r>
          </w:p>
        </w:tc>
        <w:tc>
          <w:tcPr>
            <w:tcW w:w="139" w:type="pct"/>
            <w:tcBorders>
              <w:top w:val="single" w:sz="4" w:space="0" w:color="auto"/>
              <w:bottom w:val="single" w:sz="2" w:space="0" w:color="666666"/>
            </w:tcBorders>
            <w:vAlign w:val="center"/>
          </w:tcPr>
          <w:p w14:paraId="0414E88F" w14:textId="77777777" w:rsidR="009642E2" w:rsidRPr="00C064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C064E2">
              <w:rPr>
                <w:rFonts w:eastAsia="Calibri" w:cstheme="minorHAnsi"/>
                <w:sz w:val="18"/>
                <w:szCs w:val="18"/>
              </w:rPr>
              <w:t>-</w:t>
            </w:r>
          </w:p>
        </w:tc>
        <w:tc>
          <w:tcPr>
            <w:tcW w:w="243" w:type="pct"/>
            <w:tcBorders>
              <w:top w:val="single" w:sz="4" w:space="0" w:color="auto"/>
              <w:bottom w:val="single" w:sz="2" w:space="0" w:color="666666"/>
            </w:tcBorders>
            <w:vAlign w:val="center"/>
          </w:tcPr>
          <w:p w14:paraId="312A57F8" w14:textId="77777777" w:rsidR="009642E2" w:rsidRPr="00C064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C064E2">
              <w:rPr>
                <w:rFonts w:eastAsia="Calibri" w:cstheme="minorHAnsi"/>
                <w:sz w:val="18"/>
                <w:szCs w:val="18"/>
              </w:rPr>
              <w:t>-</w:t>
            </w:r>
          </w:p>
        </w:tc>
        <w:tc>
          <w:tcPr>
            <w:tcW w:w="118" w:type="pct"/>
            <w:tcBorders>
              <w:top w:val="single" w:sz="4" w:space="0" w:color="auto"/>
              <w:bottom w:val="single" w:sz="2" w:space="0" w:color="666666"/>
            </w:tcBorders>
            <w:vAlign w:val="center"/>
          </w:tcPr>
          <w:p w14:paraId="407D8A67" w14:textId="77777777" w:rsidR="009642E2" w:rsidRPr="00C064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C064E2">
              <w:rPr>
                <w:rFonts w:eastAsia="Calibri" w:cstheme="minorHAnsi"/>
                <w:sz w:val="18"/>
                <w:szCs w:val="18"/>
              </w:rPr>
              <w:t>191</w:t>
            </w:r>
          </w:p>
        </w:tc>
        <w:tc>
          <w:tcPr>
            <w:tcW w:w="135" w:type="pct"/>
            <w:tcBorders>
              <w:top w:val="single" w:sz="4" w:space="0" w:color="auto"/>
              <w:bottom w:val="single" w:sz="2" w:space="0" w:color="666666"/>
            </w:tcBorders>
            <w:vAlign w:val="center"/>
          </w:tcPr>
          <w:p w14:paraId="2B336BEF" w14:textId="77777777" w:rsidR="009642E2" w:rsidRPr="00C064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C064E2">
              <w:rPr>
                <w:rFonts w:eastAsia="Calibri" w:cstheme="minorHAnsi"/>
                <w:sz w:val="18"/>
                <w:szCs w:val="18"/>
              </w:rPr>
              <w:t>85.3</w:t>
            </w:r>
          </w:p>
        </w:tc>
        <w:tc>
          <w:tcPr>
            <w:tcW w:w="135" w:type="pct"/>
            <w:tcBorders>
              <w:top w:val="single" w:sz="4" w:space="0" w:color="auto"/>
              <w:bottom w:val="single" w:sz="2" w:space="0" w:color="666666"/>
            </w:tcBorders>
            <w:vAlign w:val="center"/>
          </w:tcPr>
          <w:p w14:paraId="6EC0737B" w14:textId="77777777" w:rsidR="009642E2" w:rsidRPr="00C064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C064E2">
              <w:rPr>
                <w:rFonts w:eastAsia="Calibri" w:cstheme="minorHAnsi"/>
                <w:sz w:val="18"/>
                <w:szCs w:val="18"/>
              </w:rPr>
              <w:t>42.1</w:t>
            </w:r>
          </w:p>
        </w:tc>
        <w:tc>
          <w:tcPr>
            <w:tcW w:w="135" w:type="pct"/>
            <w:tcBorders>
              <w:top w:val="single" w:sz="4" w:space="0" w:color="auto"/>
              <w:bottom w:val="single" w:sz="2" w:space="0" w:color="666666"/>
            </w:tcBorders>
            <w:vAlign w:val="center"/>
          </w:tcPr>
          <w:p w14:paraId="681B36B5" w14:textId="77777777" w:rsidR="009642E2" w:rsidRPr="00C064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C064E2">
              <w:rPr>
                <w:rFonts w:eastAsia="Calibri" w:cstheme="minorHAnsi"/>
                <w:sz w:val="18"/>
                <w:szCs w:val="18"/>
              </w:rPr>
              <w:t>22.8</w:t>
            </w:r>
          </w:p>
        </w:tc>
        <w:tc>
          <w:tcPr>
            <w:tcW w:w="135" w:type="pct"/>
            <w:tcBorders>
              <w:top w:val="single" w:sz="4" w:space="0" w:color="auto"/>
              <w:bottom w:val="single" w:sz="2" w:space="0" w:color="666666"/>
            </w:tcBorders>
            <w:vAlign w:val="center"/>
          </w:tcPr>
          <w:p w14:paraId="770EB5DC" w14:textId="77777777" w:rsidR="009642E2" w:rsidRPr="00C064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C064E2">
              <w:rPr>
                <w:rFonts w:eastAsia="Calibri" w:cstheme="minorHAnsi"/>
                <w:sz w:val="18"/>
                <w:szCs w:val="18"/>
              </w:rPr>
              <w:t>15.4</w:t>
            </w:r>
          </w:p>
        </w:tc>
        <w:tc>
          <w:tcPr>
            <w:tcW w:w="135" w:type="pct"/>
            <w:tcBorders>
              <w:top w:val="single" w:sz="4" w:space="0" w:color="auto"/>
              <w:bottom w:val="single" w:sz="2" w:space="0" w:color="666666"/>
            </w:tcBorders>
            <w:vAlign w:val="center"/>
          </w:tcPr>
          <w:p w14:paraId="0A63BFA6" w14:textId="77777777" w:rsidR="009642E2" w:rsidRPr="00C064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C064E2">
              <w:rPr>
                <w:rFonts w:eastAsia="Calibri" w:cstheme="minorHAnsi"/>
                <w:sz w:val="18"/>
                <w:szCs w:val="18"/>
              </w:rPr>
              <w:t>21.2</w:t>
            </w:r>
          </w:p>
        </w:tc>
        <w:tc>
          <w:tcPr>
            <w:tcW w:w="167" w:type="pct"/>
            <w:tcBorders>
              <w:top w:val="single" w:sz="4" w:space="0" w:color="auto"/>
              <w:bottom w:val="single" w:sz="2" w:space="0" w:color="666666"/>
            </w:tcBorders>
            <w:vAlign w:val="center"/>
          </w:tcPr>
          <w:p w14:paraId="2FBBE732" w14:textId="77777777" w:rsidR="009642E2" w:rsidRPr="00C064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C064E2">
              <w:rPr>
                <w:rFonts w:eastAsia="Calibri" w:cstheme="minorHAnsi"/>
                <w:sz w:val="18"/>
                <w:szCs w:val="18"/>
              </w:rPr>
              <w:t>-</w:t>
            </w:r>
          </w:p>
        </w:tc>
        <w:tc>
          <w:tcPr>
            <w:tcW w:w="167" w:type="pct"/>
            <w:tcBorders>
              <w:top w:val="single" w:sz="4" w:space="0" w:color="auto"/>
              <w:bottom w:val="single" w:sz="2" w:space="0" w:color="666666"/>
            </w:tcBorders>
            <w:vAlign w:val="center"/>
          </w:tcPr>
          <w:p w14:paraId="56A1433A" w14:textId="77777777" w:rsidR="009642E2" w:rsidRPr="00C064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C064E2">
              <w:rPr>
                <w:rFonts w:eastAsia="Calibri" w:cstheme="minorHAnsi"/>
                <w:sz w:val="18"/>
                <w:szCs w:val="18"/>
              </w:rPr>
              <w:t>-</w:t>
            </w:r>
          </w:p>
        </w:tc>
        <w:tc>
          <w:tcPr>
            <w:tcW w:w="167" w:type="pct"/>
            <w:tcBorders>
              <w:top w:val="single" w:sz="4" w:space="0" w:color="auto"/>
              <w:bottom w:val="single" w:sz="2" w:space="0" w:color="666666"/>
            </w:tcBorders>
            <w:vAlign w:val="center"/>
          </w:tcPr>
          <w:p w14:paraId="039CEEA7" w14:textId="77777777" w:rsidR="009642E2" w:rsidRPr="00C064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C064E2">
              <w:rPr>
                <w:rFonts w:eastAsia="Calibri" w:cstheme="minorHAnsi"/>
                <w:sz w:val="18"/>
                <w:szCs w:val="18"/>
              </w:rPr>
              <w:t>-</w:t>
            </w:r>
          </w:p>
        </w:tc>
      </w:tr>
      <w:tr w:rsidR="006B2281" w:rsidRPr="001303D6" w14:paraId="4A6C08BB" w14:textId="77777777" w:rsidTr="005A68A6">
        <w:trPr>
          <w:trHeight w:val="562"/>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5364433A" w14:textId="77777777" w:rsidR="009642E2" w:rsidRPr="007E778F" w:rsidRDefault="009642E2" w:rsidP="00F60C3E">
            <w:pPr>
              <w:rPr>
                <w:rFonts w:eastAsia="Calibri" w:cstheme="minorHAnsi"/>
                <w:sz w:val="18"/>
                <w:szCs w:val="18"/>
              </w:rPr>
            </w:pPr>
          </w:p>
        </w:tc>
        <w:tc>
          <w:tcPr>
            <w:tcW w:w="786" w:type="pct"/>
            <w:vMerge/>
            <w:vAlign w:val="center"/>
          </w:tcPr>
          <w:p w14:paraId="4873EF9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22BC81A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34C6A3C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4387024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Merge w:val="restart"/>
            <w:tcBorders>
              <w:top w:val="single" w:sz="2" w:space="0" w:color="666666"/>
            </w:tcBorders>
            <w:vAlign w:val="center"/>
          </w:tcPr>
          <w:p w14:paraId="2D6E717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Fremanezumab</w:t>
            </w:r>
          </w:p>
        </w:tc>
        <w:tc>
          <w:tcPr>
            <w:tcW w:w="379" w:type="pct"/>
            <w:tcBorders>
              <w:top w:val="single" w:sz="2" w:space="0" w:color="666666"/>
            </w:tcBorders>
            <w:vAlign w:val="center"/>
          </w:tcPr>
          <w:p w14:paraId="0103099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675 mg</w:t>
            </w:r>
          </w:p>
        </w:tc>
        <w:tc>
          <w:tcPr>
            <w:tcW w:w="139" w:type="pct"/>
            <w:tcBorders>
              <w:top w:val="single" w:sz="2" w:space="0" w:color="666666"/>
            </w:tcBorders>
            <w:vAlign w:val="center"/>
          </w:tcPr>
          <w:p w14:paraId="6C93C44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SC</w:t>
            </w:r>
          </w:p>
        </w:tc>
        <w:tc>
          <w:tcPr>
            <w:tcW w:w="243" w:type="pct"/>
            <w:tcBorders>
              <w:top w:val="single" w:sz="2" w:space="0" w:color="666666"/>
            </w:tcBorders>
            <w:vAlign w:val="center"/>
          </w:tcPr>
          <w:p w14:paraId="7BDD397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Single dose</w:t>
            </w:r>
          </w:p>
        </w:tc>
        <w:tc>
          <w:tcPr>
            <w:tcW w:w="118" w:type="pct"/>
            <w:tcBorders>
              <w:top w:val="single" w:sz="2" w:space="0" w:color="666666"/>
            </w:tcBorders>
            <w:vAlign w:val="center"/>
          </w:tcPr>
          <w:p w14:paraId="70F1C09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191</w:t>
            </w:r>
          </w:p>
        </w:tc>
        <w:tc>
          <w:tcPr>
            <w:tcW w:w="135" w:type="pct"/>
            <w:tcBorders>
              <w:top w:val="single" w:sz="2" w:space="0" w:color="666666"/>
            </w:tcBorders>
            <w:vAlign w:val="center"/>
          </w:tcPr>
          <w:p w14:paraId="0575B27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86.4</w:t>
            </w:r>
          </w:p>
        </w:tc>
        <w:tc>
          <w:tcPr>
            <w:tcW w:w="135" w:type="pct"/>
            <w:tcBorders>
              <w:top w:val="single" w:sz="2" w:space="0" w:color="666666"/>
            </w:tcBorders>
            <w:vAlign w:val="center"/>
          </w:tcPr>
          <w:p w14:paraId="0F4CBB8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43.5</w:t>
            </w:r>
          </w:p>
        </w:tc>
        <w:tc>
          <w:tcPr>
            <w:tcW w:w="135" w:type="pct"/>
            <w:tcBorders>
              <w:top w:val="single" w:sz="2" w:space="0" w:color="666666"/>
            </w:tcBorders>
            <w:vAlign w:val="center"/>
          </w:tcPr>
          <w:p w14:paraId="0DC2EF4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22.4</w:t>
            </w:r>
          </w:p>
        </w:tc>
        <w:tc>
          <w:tcPr>
            <w:tcW w:w="135" w:type="pct"/>
            <w:tcBorders>
              <w:top w:val="single" w:sz="2" w:space="0" w:color="666666"/>
            </w:tcBorders>
            <w:vAlign w:val="center"/>
          </w:tcPr>
          <w:p w14:paraId="0A624A5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15.2</w:t>
            </w:r>
          </w:p>
        </w:tc>
        <w:tc>
          <w:tcPr>
            <w:tcW w:w="135" w:type="pct"/>
            <w:tcBorders>
              <w:top w:val="single" w:sz="2" w:space="0" w:color="666666"/>
            </w:tcBorders>
            <w:vAlign w:val="center"/>
          </w:tcPr>
          <w:p w14:paraId="77CAB36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21.1</w:t>
            </w:r>
          </w:p>
        </w:tc>
        <w:tc>
          <w:tcPr>
            <w:tcW w:w="167" w:type="pct"/>
            <w:tcBorders>
              <w:top w:val="single" w:sz="2" w:space="0" w:color="666666"/>
            </w:tcBorders>
            <w:vAlign w:val="center"/>
          </w:tcPr>
          <w:p w14:paraId="3650B74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tcBorders>
              <w:top w:val="single" w:sz="2" w:space="0" w:color="666666"/>
            </w:tcBorders>
            <w:vAlign w:val="center"/>
          </w:tcPr>
          <w:p w14:paraId="51930DC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tcBorders>
              <w:top w:val="single" w:sz="2" w:space="0" w:color="666666"/>
            </w:tcBorders>
            <w:vAlign w:val="center"/>
          </w:tcPr>
          <w:p w14:paraId="118585D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r>
      <w:tr w:rsidR="009642E2" w:rsidRPr="001303D6" w14:paraId="41E82570" w14:textId="77777777" w:rsidTr="005A68A6">
        <w:trPr>
          <w:trHeight w:val="406"/>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2D97CB4C" w14:textId="77777777" w:rsidR="009642E2" w:rsidRPr="007E778F" w:rsidRDefault="009642E2" w:rsidP="00F60C3E">
            <w:pPr>
              <w:rPr>
                <w:rFonts w:eastAsia="Calibri" w:cstheme="minorHAnsi"/>
                <w:sz w:val="18"/>
                <w:szCs w:val="18"/>
              </w:rPr>
            </w:pPr>
          </w:p>
        </w:tc>
        <w:tc>
          <w:tcPr>
            <w:tcW w:w="786" w:type="pct"/>
            <w:vMerge/>
            <w:vAlign w:val="center"/>
          </w:tcPr>
          <w:p w14:paraId="335EE28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5A25063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596B8BFF" w14:textId="77777777" w:rsidR="009642E2" w:rsidRPr="007E778F" w:rsidRDefault="009642E2" w:rsidP="00F60C3E">
            <w:pP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0DE69BB1" w14:textId="77777777" w:rsidR="009642E2" w:rsidRPr="007E778F" w:rsidRDefault="009642E2" w:rsidP="00F60C3E">
            <w:pP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Merge/>
            <w:vAlign w:val="center"/>
          </w:tcPr>
          <w:p w14:paraId="62EF97E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379" w:type="pct"/>
            <w:vAlign w:val="center"/>
          </w:tcPr>
          <w:p w14:paraId="1CA3B1D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675+225+225 mg</w:t>
            </w:r>
          </w:p>
        </w:tc>
        <w:tc>
          <w:tcPr>
            <w:tcW w:w="139" w:type="pct"/>
            <w:vAlign w:val="center"/>
          </w:tcPr>
          <w:p w14:paraId="4EEA6A0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SC</w:t>
            </w:r>
          </w:p>
        </w:tc>
        <w:tc>
          <w:tcPr>
            <w:tcW w:w="243" w:type="pct"/>
            <w:vAlign w:val="center"/>
          </w:tcPr>
          <w:p w14:paraId="11F2A87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Monthly</w:t>
            </w:r>
          </w:p>
        </w:tc>
        <w:tc>
          <w:tcPr>
            <w:tcW w:w="118" w:type="pct"/>
            <w:vAlign w:val="center"/>
          </w:tcPr>
          <w:p w14:paraId="2534FAB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189</w:t>
            </w:r>
          </w:p>
        </w:tc>
        <w:tc>
          <w:tcPr>
            <w:tcW w:w="135" w:type="pct"/>
            <w:vAlign w:val="center"/>
          </w:tcPr>
          <w:p w14:paraId="7C82845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86.2</w:t>
            </w:r>
          </w:p>
        </w:tc>
        <w:tc>
          <w:tcPr>
            <w:tcW w:w="135" w:type="pct"/>
            <w:vAlign w:val="center"/>
          </w:tcPr>
          <w:p w14:paraId="361BB2E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42.7</w:t>
            </w:r>
          </w:p>
        </w:tc>
        <w:tc>
          <w:tcPr>
            <w:tcW w:w="135" w:type="pct"/>
            <w:vAlign w:val="center"/>
          </w:tcPr>
          <w:p w14:paraId="5FAA414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23.4</w:t>
            </w:r>
          </w:p>
        </w:tc>
        <w:tc>
          <w:tcPr>
            <w:tcW w:w="135" w:type="pct"/>
            <w:vAlign w:val="center"/>
          </w:tcPr>
          <w:p w14:paraId="2196E49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16.4</w:t>
            </w:r>
          </w:p>
        </w:tc>
        <w:tc>
          <w:tcPr>
            <w:tcW w:w="135" w:type="pct"/>
            <w:vAlign w:val="center"/>
          </w:tcPr>
          <w:p w14:paraId="34CD07C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21.6</w:t>
            </w:r>
          </w:p>
        </w:tc>
        <w:tc>
          <w:tcPr>
            <w:tcW w:w="167" w:type="pct"/>
            <w:vAlign w:val="center"/>
          </w:tcPr>
          <w:p w14:paraId="38AFD4E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4C876E9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02A9A9E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r>
      <w:tr w:rsidR="009642E2" w:rsidRPr="001303D6" w14:paraId="0795079E" w14:textId="77777777" w:rsidTr="005A68A6">
        <w:trPr>
          <w:trHeight w:val="407"/>
        </w:trPr>
        <w:tc>
          <w:tcPr>
            <w:cnfStyle w:val="001000000000" w:firstRow="0" w:lastRow="0" w:firstColumn="1" w:lastColumn="0" w:oddVBand="0" w:evenVBand="0" w:oddHBand="0" w:evenHBand="0" w:firstRowFirstColumn="0" w:firstRowLastColumn="0" w:lastRowFirstColumn="0" w:lastRowLastColumn="0"/>
            <w:tcW w:w="351" w:type="pct"/>
            <w:vMerge w:val="restart"/>
            <w:vAlign w:val="center"/>
          </w:tcPr>
          <w:p w14:paraId="01F112B5" w14:textId="5BA18A53" w:rsidR="009642E2" w:rsidRPr="007E778F" w:rsidRDefault="009642E2" w:rsidP="00F60C3E">
            <w:pPr>
              <w:jc w:val="center"/>
              <w:rPr>
                <w:rFonts w:eastAsia="Calibri" w:cstheme="minorHAnsi"/>
                <w:sz w:val="18"/>
                <w:szCs w:val="18"/>
              </w:rPr>
            </w:pPr>
            <w:r w:rsidRPr="007E778F">
              <w:rPr>
                <w:rFonts w:eastAsia="Calibri" w:cstheme="minorHAnsi"/>
                <w:sz w:val="18"/>
                <w:szCs w:val="18"/>
              </w:rPr>
              <w:t>Silberstein</w:t>
            </w:r>
            <w:r>
              <w:rPr>
                <w:rFonts w:eastAsia="Calibri" w:cstheme="minorHAnsi"/>
                <w:sz w:val="18"/>
                <w:szCs w:val="18"/>
              </w:rPr>
              <w:t xml:space="preserve"> </w:t>
            </w:r>
            <w:r w:rsidRPr="007E778F">
              <w:rPr>
                <w:rFonts w:eastAsia="Calibri" w:cstheme="minorHAnsi"/>
                <w:sz w:val="18"/>
                <w:szCs w:val="18"/>
              </w:rPr>
              <w:t>200</w:t>
            </w:r>
            <w:r w:rsidRPr="00F52B18">
              <w:rPr>
                <w:rFonts w:eastAsia="Calibri" w:cstheme="minorHAnsi"/>
                <w:sz w:val="18"/>
                <w:szCs w:val="18"/>
              </w:rPr>
              <w:t xml:space="preserve">7 </w:t>
            </w:r>
            <w:r w:rsidRPr="00F52B18">
              <w:rPr>
                <w:rFonts w:eastAsia="Calibri" w:cstheme="minorHAnsi"/>
                <w:sz w:val="18"/>
                <w:szCs w:val="18"/>
              </w:rPr>
              <w:fldChar w:fldCharType="begin"/>
            </w:r>
            <w:r w:rsidR="008D698C">
              <w:rPr>
                <w:rFonts w:eastAsia="Calibri" w:cstheme="minorHAnsi"/>
                <w:sz w:val="18"/>
                <w:szCs w:val="18"/>
              </w:rPr>
              <w:instrText xml:space="preserve"> ADDIN EN.CITE &lt;EndNote&gt;&lt;Cite&gt;&lt;Author&gt;Silberstein&lt;/Author&gt;&lt;Year&gt;2007&lt;/Year&gt;&lt;RecNum&gt;28&lt;/RecNum&gt;&lt;DisplayText&gt;&lt;style face="superscript"&gt;41&lt;/style&gt;&lt;/DisplayText&gt;&lt;record&gt;&lt;rec-number&gt;28&lt;/rec-number&gt;&lt;foreign-keys&gt;&lt;key app="EN" db-id="fsz20seeavzsfie29wsx20a60watx2ffv2wz" timestamp="1662393653"&gt;28&lt;/key&gt;&lt;/foreign-keys&gt;&lt;ref-type name="Journal Article"&gt;17&lt;/ref-type&gt;&lt;contributors&gt;&lt;authors&gt;&lt;author&gt;Silberstein, Stephen D&lt;/author&gt;&lt;author&gt;Lipton, Richard B&lt;/author&gt;&lt;author&gt;Dodick, David W&lt;/author&gt;&lt;author&gt;Freitag, Frederick G&lt;/author&gt;&lt;author&gt;Ramadan, Nabih&lt;/author&gt;&lt;author&gt;Mathew, Ninan&lt;/author&gt;&lt;author&gt;Brandes, Jan L&lt;/author&gt;&lt;author&gt;Bigal, Marcelo&lt;/author&gt;&lt;author&gt;Saper, Joel&lt;/author&gt;&lt;author&gt;Ascher, Steven&lt;/author&gt;&lt;/authors&gt;&lt;/contributors&gt;&lt;titles&gt;&lt;title&gt;Efficacy and safety of topiramate for the treatment of chronic migraine: A randomized, double‐blind, placebo‐controlled trial&lt;/title&gt;&lt;secondary-title&gt;Headache: The Journal of Head and Face Pain&lt;/secondary-title&gt;&lt;/titles&gt;&lt;periodical&gt;&lt;full-title&gt;Headache: The Journal of Head and Face Pain&lt;/full-title&gt;&lt;/periodical&gt;&lt;pages&gt;170-180&lt;/pages&gt;&lt;volume&gt;47&lt;/volume&gt;&lt;number&gt;2&lt;/number&gt;&lt;dates&gt;&lt;year&gt;2007&lt;/year&gt;&lt;/dates&gt;&lt;isbn&gt;0017-8748&lt;/isbn&gt;&lt;label&gt;28&lt;/label&gt;&lt;urls&gt;&lt;/urls&gt;&lt;/record&gt;&lt;/Cite&gt;&lt;/EndNote&gt;</w:instrText>
            </w:r>
            <w:r w:rsidRPr="00F52B18">
              <w:rPr>
                <w:rFonts w:eastAsia="Calibri" w:cstheme="minorHAnsi"/>
                <w:sz w:val="18"/>
                <w:szCs w:val="18"/>
              </w:rPr>
              <w:fldChar w:fldCharType="separate"/>
            </w:r>
            <w:r w:rsidR="008D698C" w:rsidRPr="008D698C">
              <w:rPr>
                <w:rFonts w:eastAsia="Calibri" w:cstheme="minorHAnsi"/>
                <w:noProof/>
                <w:sz w:val="18"/>
                <w:szCs w:val="18"/>
                <w:vertAlign w:val="superscript"/>
              </w:rPr>
              <w:t>41</w:t>
            </w:r>
            <w:r w:rsidRPr="00F52B18">
              <w:rPr>
                <w:rFonts w:eastAsia="Calibri" w:cstheme="minorHAnsi"/>
                <w:sz w:val="18"/>
                <w:szCs w:val="18"/>
              </w:rPr>
              <w:fldChar w:fldCharType="end"/>
            </w:r>
          </w:p>
          <w:p w14:paraId="18676C25" w14:textId="77777777" w:rsidR="009642E2" w:rsidRPr="007E778F" w:rsidRDefault="009642E2" w:rsidP="00F60C3E">
            <w:pPr>
              <w:jc w:val="center"/>
              <w:rPr>
                <w:rFonts w:eastAsia="Calibri" w:cstheme="minorHAnsi"/>
                <w:sz w:val="18"/>
                <w:szCs w:val="18"/>
              </w:rPr>
            </w:pPr>
          </w:p>
        </w:tc>
        <w:tc>
          <w:tcPr>
            <w:tcW w:w="786" w:type="pct"/>
            <w:vMerge w:val="restart"/>
            <w:vAlign w:val="center"/>
          </w:tcPr>
          <w:p w14:paraId="52AC785F" w14:textId="3348F479"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Silberstein 2009</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&lt;EndNote&gt;&lt;Cite&gt;&lt;Author&gt;Silberstein&lt;/Author&gt;&lt;Year&gt;2009&lt;/Year&gt;&lt;RecNum&gt;39&lt;/RecNum&gt;&lt;DisplayText&gt;&lt;style face="superscript"&gt;42&lt;/style&gt;&lt;/DisplayText&gt;&lt;record&gt;&lt;rec-number&gt;39&lt;/rec-number&gt;&lt;foreign-keys&gt;&lt;key app="EN" db-id="fsz20seeavzsfie29wsx20a60watx2ffv2wz" timestamp="1662655263"&gt;39&lt;/key&gt;&lt;/foreign-keys&gt;&lt;ref-type name="Journal Article"&gt;17&lt;/ref-type&gt;&lt;contributors&gt;&lt;authors&gt;&lt;author&gt;Silberstein, Stephen&lt;/author&gt;&lt;author&gt;Lipton, Richard&lt;/author&gt;&lt;author&gt;Dodick, David&lt;/author&gt;&lt;author&gt;Freitag, Fred&lt;/author&gt;&lt;author&gt;Mathew, Ninan&lt;/author&gt;&lt;author&gt;Brandes, Jan&lt;/author&gt;&lt;author&gt;Bigal, Marcelo&lt;/author&gt;&lt;author&gt;Ascher, Steven&lt;/author&gt;&lt;author&gt;Morein, Jacqueline&lt;/author&gt;&lt;author&gt;Wright, Pamela&lt;/author&gt;&lt;/authors&gt;&lt;/contributors&gt;&lt;titles&gt;&lt;title&gt;Topiramate treatment of chronic migraine: A randomized, placebo‐controlled trial of quality of life and other efficacy measures&lt;/title&gt;&lt;secondary-title&gt;Headache: The Journal of Head and Face Pain&lt;/secondary-title&gt;&lt;/titles&gt;&lt;periodical&gt;&lt;full-title&gt;Headache: The Journal of Head and Face Pain&lt;/full-title&gt;&lt;/periodical&gt;&lt;pages&gt;1153-1162&lt;/pages&gt;&lt;volume&gt;49&lt;/volume&gt;&lt;number&gt;8&lt;/number&gt;&lt;dates&gt;&lt;year&gt;2009&lt;/year&gt;&lt;/dates&gt;&lt;isbn&gt;0017-8748&lt;/isbn&gt;&lt;label&gt;39&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42</w:t>
            </w:r>
            <w:r w:rsidRPr="007E778F">
              <w:rPr>
                <w:rFonts w:eastAsia="Calibri" w:cstheme="minorHAnsi"/>
                <w:sz w:val="18"/>
                <w:szCs w:val="18"/>
              </w:rPr>
              <w:fldChar w:fldCharType="end"/>
            </w:r>
            <w:r w:rsidRPr="007E778F">
              <w:rPr>
                <w:rFonts w:eastAsia="Calibri" w:cstheme="minorHAnsi"/>
                <w:sz w:val="18"/>
                <w:szCs w:val="18"/>
              </w:rPr>
              <w:t>,</w:t>
            </w:r>
          </w:p>
          <w:p w14:paraId="3D92B672" w14:textId="50CBCB4C"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Dodick 2007</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&lt;EndNote&gt;&lt;Cite&gt;&lt;Author&gt;Dodick&lt;/Author&gt;&lt;Year&gt;2007&lt;/Year&gt;&lt;RecNum&gt;40&lt;/RecNum&gt;&lt;DisplayText&gt;&lt;style face="superscript"&gt;43&lt;/style&gt;&lt;/DisplayText&gt;&lt;record&gt;&lt;rec-number&gt;40&lt;/rec-number&gt;&lt;foreign-keys&gt;&lt;key app="EN" db-id="fsz20seeavzsfie29wsx20a60watx2ffv2wz" timestamp="1662655341"&gt;40&lt;/key&gt;&lt;/foreign-keys&gt;&lt;ref-type name="Journal Article"&gt;17&lt;/ref-type&gt;&lt;contributors&gt;&lt;authors&gt;&lt;author&gt;Dodick, David W&lt;/author&gt;&lt;author&gt;Silberstein, Stephen&lt;/author&gt;&lt;author&gt;Saper, Joel&lt;/author&gt;&lt;author&gt;Freitag, Fred G&lt;/author&gt;&lt;author&gt;Cady, Roger K&lt;/author&gt;&lt;author&gt;Rapoport, Alan M&lt;/author&gt;&lt;author&gt;Mathew, Ninan T&lt;/author&gt;&lt;author&gt;Hulihan, Joseph&lt;/author&gt;&lt;author&gt;Crivera, Concetta&lt;/author&gt;&lt;author&gt;Rupnow, Marcia FT&lt;/author&gt;&lt;/authors&gt;&lt;/contributors&gt;&lt;titles&gt;&lt;title&gt;The impact of topiramate on health‐related quality of life indicators in chronic migraine&lt;/title&gt;&lt;secondary-title&gt;Headache: The Journal of Head and Face Pain&lt;/secondary-title&gt;&lt;/titles&gt;&lt;periodical&gt;&lt;full-title&gt;Headache: The Journal of Head and Face Pain&lt;/full-title&gt;&lt;/periodical&gt;&lt;pages&gt;1398-1408&lt;/pages&gt;&lt;volume&gt;47&lt;/volume&gt;&lt;number&gt;10&lt;/number&gt;&lt;dates&gt;&lt;year&gt;2007&lt;/year&gt;&lt;/dates&gt;&lt;isbn&gt;0017-8748&lt;/isbn&gt;&lt;label&gt;40&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43</w:t>
            </w:r>
            <w:r w:rsidRPr="007E778F">
              <w:rPr>
                <w:rFonts w:eastAsia="Calibri" w:cstheme="minorHAnsi"/>
                <w:sz w:val="18"/>
                <w:szCs w:val="18"/>
              </w:rPr>
              <w:fldChar w:fldCharType="end"/>
            </w:r>
          </w:p>
          <w:p w14:paraId="406DF66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restart"/>
            <w:vAlign w:val="center"/>
          </w:tcPr>
          <w:p w14:paraId="55928FB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46 c</w:t>
            </w:r>
            <w:r w:rsidRPr="007E778F">
              <w:rPr>
                <w:rFonts w:eastAsia="Calibri" w:cstheme="minorHAnsi"/>
                <w:sz w:val="18"/>
                <w:szCs w:val="18"/>
              </w:rPr>
              <w:t>linic</w:t>
            </w:r>
            <w:r>
              <w:rPr>
                <w:rFonts w:eastAsia="Calibri" w:cstheme="minorHAnsi"/>
                <w:sz w:val="18"/>
                <w:szCs w:val="18"/>
              </w:rPr>
              <w:t>s/sites in USA</w:t>
            </w:r>
          </w:p>
        </w:tc>
        <w:tc>
          <w:tcPr>
            <w:tcW w:w="171" w:type="pct"/>
            <w:vMerge w:val="restart"/>
            <w:vAlign w:val="center"/>
          </w:tcPr>
          <w:p w14:paraId="72A0C94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ICHD-2</w:t>
            </w:r>
          </w:p>
        </w:tc>
        <w:tc>
          <w:tcPr>
            <w:tcW w:w="161" w:type="pct"/>
            <w:vMerge w:val="restart"/>
            <w:vAlign w:val="center"/>
          </w:tcPr>
          <w:p w14:paraId="1D55B80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16DB</w:t>
            </w:r>
          </w:p>
        </w:tc>
        <w:tc>
          <w:tcPr>
            <w:tcW w:w="778" w:type="pct"/>
            <w:vAlign w:val="center"/>
          </w:tcPr>
          <w:p w14:paraId="7C81B04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Placebo</w:t>
            </w:r>
          </w:p>
        </w:tc>
        <w:tc>
          <w:tcPr>
            <w:tcW w:w="379" w:type="pct"/>
            <w:vAlign w:val="center"/>
          </w:tcPr>
          <w:p w14:paraId="16551F9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39" w:type="pct"/>
            <w:vAlign w:val="center"/>
          </w:tcPr>
          <w:p w14:paraId="5AA99E8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243" w:type="pct"/>
            <w:vAlign w:val="center"/>
          </w:tcPr>
          <w:p w14:paraId="38335D2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18" w:type="pct"/>
            <w:vAlign w:val="center"/>
          </w:tcPr>
          <w:p w14:paraId="2588D51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153</w:t>
            </w:r>
          </w:p>
        </w:tc>
        <w:tc>
          <w:tcPr>
            <w:tcW w:w="135" w:type="pct"/>
            <w:vAlign w:val="center"/>
          </w:tcPr>
          <w:p w14:paraId="0D64ABB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86.9</w:t>
            </w:r>
          </w:p>
        </w:tc>
        <w:tc>
          <w:tcPr>
            <w:tcW w:w="135" w:type="pct"/>
            <w:vAlign w:val="center"/>
          </w:tcPr>
          <w:p w14:paraId="6A1CD18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38.6</w:t>
            </w:r>
          </w:p>
        </w:tc>
        <w:tc>
          <w:tcPr>
            <w:tcW w:w="135" w:type="pct"/>
            <w:vAlign w:val="center"/>
          </w:tcPr>
          <w:p w14:paraId="6E9E91B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28</w:t>
            </w:r>
          </w:p>
        </w:tc>
        <w:tc>
          <w:tcPr>
            <w:tcW w:w="135" w:type="pct"/>
            <w:vAlign w:val="center"/>
          </w:tcPr>
          <w:p w14:paraId="5448EE6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15.1</w:t>
            </w:r>
          </w:p>
        </w:tc>
        <w:tc>
          <w:tcPr>
            <w:tcW w:w="135" w:type="pct"/>
            <w:vAlign w:val="center"/>
          </w:tcPr>
          <w:p w14:paraId="0CEDAB1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20.8</w:t>
            </w:r>
          </w:p>
        </w:tc>
        <w:tc>
          <w:tcPr>
            <w:tcW w:w="167" w:type="pct"/>
            <w:vAlign w:val="center"/>
          </w:tcPr>
          <w:p w14:paraId="14C8B55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42.4</w:t>
            </w:r>
          </w:p>
        </w:tc>
        <w:tc>
          <w:tcPr>
            <w:tcW w:w="167" w:type="pct"/>
            <w:vAlign w:val="center"/>
          </w:tcPr>
          <w:p w14:paraId="72E1C8B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62.4</w:t>
            </w:r>
          </w:p>
        </w:tc>
        <w:tc>
          <w:tcPr>
            <w:tcW w:w="167" w:type="pct"/>
            <w:vAlign w:val="center"/>
          </w:tcPr>
          <w:p w14:paraId="5ADDBC7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40.6</w:t>
            </w:r>
          </w:p>
        </w:tc>
      </w:tr>
      <w:tr w:rsidR="009642E2" w:rsidRPr="001303D6" w14:paraId="54AD5E7D" w14:textId="77777777" w:rsidTr="005A68A6">
        <w:trPr>
          <w:trHeight w:val="419"/>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7B51E3B4" w14:textId="77777777" w:rsidR="009642E2" w:rsidRPr="007E778F" w:rsidRDefault="009642E2" w:rsidP="00F60C3E">
            <w:pPr>
              <w:jc w:val="center"/>
              <w:rPr>
                <w:rFonts w:eastAsia="Calibri" w:cstheme="minorHAnsi"/>
                <w:sz w:val="18"/>
                <w:szCs w:val="18"/>
              </w:rPr>
            </w:pPr>
          </w:p>
        </w:tc>
        <w:tc>
          <w:tcPr>
            <w:tcW w:w="786" w:type="pct"/>
            <w:vMerge/>
            <w:vAlign w:val="center"/>
          </w:tcPr>
          <w:p w14:paraId="0F99702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0C7009BF" w14:textId="77777777" w:rsidR="009642E2" w:rsidRPr="007E778F" w:rsidRDefault="009642E2" w:rsidP="00F60C3E">
            <w:pP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413290B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4BE7B73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Align w:val="center"/>
          </w:tcPr>
          <w:p w14:paraId="136DA6C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Topiramate</w:t>
            </w:r>
          </w:p>
        </w:tc>
        <w:tc>
          <w:tcPr>
            <w:tcW w:w="379" w:type="pct"/>
            <w:vAlign w:val="center"/>
          </w:tcPr>
          <w:p w14:paraId="70A417A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100 mg</w:t>
            </w:r>
          </w:p>
        </w:tc>
        <w:tc>
          <w:tcPr>
            <w:tcW w:w="139" w:type="pct"/>
            <w:vAlign w:val="center"/>
          </w:tcPr>
          <w:p w14:paraId="622C491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Oral</w:t>
            </w:r>
          </w:p>
        </w:tc>
        <w:tc>
          <w:tcPr>
            <w:tcW w:w="243" w:type="pct"/>
            <w:vAlign w:val="center"/>
          </w:tcPr>
          <w:p w14:paraId="57FC047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Twice daily</w:t>
            </w:r>
          </w:p>
        </w:tc>
        <w:tc>
          <w:tcPr>
            <w:tcW w:w="118" w:type="pct"/>
            <w:vAlign w:val="center"/>
          </w:tcPr>
          <w:p w14:paraId="7A451E2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153</w:t>
            </w:r>
          </w:p>
        </w:tc>
        <w:tc>
          <w:tcPr>
            <w:tcW w:w="135" w:type="pct"/>
            <w:vAlign w:val="center"/>
          </w:tcPr>
          <w:p w14:paraId="48A2A9D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83.7</w:t>
            </w:r>
          </w:p>
        </w:tc>
        <w:tc>
          <w:tcPr>
            <w:tcW w:w="135" w:type="pct"/>
            <w:vAlign w:val="center"/>
          </w:tcPr>
          <w:p w14:paraId="235A77B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37.8</w:t>
            </w:r>
          </w:p>
        </w:tc>
        <w:tc>
          <w:tcPr>
            <w:tcW w:w="135" w:type="pct"/>
            <w:vAlign w:val="center"/>
          </w:tcPr>
          <w:p w14:paraId="60AEB24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29.1</w:t>
            </w:r>
          </w:p>
        </w:tc>
        <w:tc>
          <w:tcPr>
            <w:tcW w:w="135" w:type="pct"/>
            <w:vAlign w:val="center"/>
          </w:tcPr>
          <w:p w14:paraId="28FABDC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15.2</w:t>
            </w:r>
          </w:p>
        </w:tc>
        <w:tc>
          <w:tcPr>
            <w:tcW w:w="135" w:type="pct"/>
            <w:vAlign w:val="center"/>
          </w:tcPr>
          <w:p w14:paraId="364FC05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20.4</w:t>
            </w:r>
          </w:p>
        </w:tc>
        <w:tc>
          <w:tcPr>
            <w:tcW w:w="167" w:type="pct"/>
            <w:vAlign w:val="center"/>
          </w:tcPr>
          <w:p w14:paraId="2C9331F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43.7</w:t>
            </w:r>
          </w:p>
        </w:tc>
        <w:tc>
          <w:tcPr>
            <w:tcW w:w="167" w:type="pct"/>
            <w:vAlign w:val="center"/>
          </w:tcPr>
          <w:p w14:paraId="25F0681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63.5</w:t>
            </w:r>
          </w:p>
        </w:tc>
        <w:tc>
          <w:tcPr>
            <w:tcW w:w="167" w:type="pct"/>
            <w:vAlign w:val="center"/>
          </w:tcPr>
          <w:p w14:paraId="12D6C76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43.7</w:t>
            </w:r>
          </w:p>
        </w:tc>
      </w:tr>
      <w:tr w:rsidR="009642E2" w:rsidRPr="001303D6" w14:paraId="39FF2162" w14:textId="77777777" w:rsidTr="005A68A6">
        <w:trPr>
          <w:trHeight w:val="556"/>
        </w:trPr>
        <w:tc>
          <w:tcPr>
            <w:cnfStyle w:val="001000000000" w:firstRow="0" w:lastRow="0" w:firstColumn="1" w:lastColumn="0" w:oddVBand="0" w:evenVBand="0" w:oddHBand="0" w:evenHBand="0" w:firstRowFirstColumn="0" w:firstRowLastColumn="0" w:lastRowFirstColumn="0" w:lastRowLastColumn="0"/>
            <w:tcW w:w="351" w:type="pct"/>
            <w:vMerge w:val="restart"/>
            <w:vAlign w:val="center"/>
          </w:tcPr>
          <w:p w14:paraId="1A0EBC9A" w14:textId="77777777" w:rsidR="009642E2" w:rsidRPr="007E778F" w:rsidRDefault="009642E2" w:rsidP="00F60C3E">
            <w:pPr>
              <w:jc w:val="center"/>
              <w:rPr>
                <w:rFonts w:eastAsia="Calibri" w:cstheme="minorHAnsi"/>
                <w:sz w:val="18"/>
                <w:szCs w:val="18"/>
              </w:rPr>
            </w:pPr>
            <w:r w:rsidRPr="007E778F">
              <w:rPr>
                <w:rFonts w:eastAsia="Calibri" w:cstheme="minorHAnsi"/>
                <w:sz w:val="18"/>
                <w:szCs w:val="18"/>
              </w:rPr>
              <w:t>Silberstein</w:t>
            </w:r>
          </w:p>
          <w:p w14:paraId="42661598" w14:textId="2C78069B" w:rsidR="009642E2" w:rsidRPr="007E778F" w:rsidRDefault="009642E2" w:rsidP="00F60C3E">
            <w:pPr>
              <w:jc w:val="center"/>
              <w:rPr>
                <w:rFonts w:eastAsia="Calibri" w:cstheme="minorHAnsi"/>
                <w:sz w:val="18"/>
                <w:szCs w:val="18"/>
              </w:rPr>
            </w:pPr>
            <w:r w:rsidRPr="007E778F">
              <w:rPr>
                <w:rFonts w:eastAsia="Calibri" w:cstheme="minorHAnsi"/>
                <w:sz w:val="18"/>
                <w:szCs w:val="18"/>
              </w:rPr>
              <w:t>2017</w:t>
            </w:r>
            <w:r>
              <w:rPr>
                <w:rFonts w:eastAsia="Calibri" w:cstheme="minorHAnsi"/>
                <w:sz w:val="18"/>
                <w:szCs w:val="18"/>
              </w:rPr>
              <w:t xml:space="preserve"> </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&lt;EndNote&gt;&lt;Cite&gt;&lt;Author&gt;Silberstein&lt;/Author&gt;&lt;Year&gt;2017&lt;/Year&gt;&lt;RecNum&gt;30&lt;/RecNum&gt;&lt;DisplayText&gt;&lt;style face="superscript"&gt;44&lt;/style&gt;&lt;/DisplayText&gt;&lt;record&gt;&lt;rec-number&gt;30&lt;/rec-number&gt;&lt;foreign-keys&gt;&lt;key app="EN" db-id="fsz20seeavzsfie29wsx20a60watx2ffv2wz" timestamp="1662393734"&gt;30&lt;/key&gt;&lt;/foreign-keys&gt;&lt;ref-type name="Journal Article"&gt;17&lt;/ref-type&gt;&lt;contributors&gt;&lt;authors&gt;&lt;author&gt;Silberstein, Stephen D&lt;/author&gt;&lt;author&gt;Dodick, David W&lt;/author&gt;&lt;author&gt;Bigal, Marcelo E&lt;/author&gt;&lt;author&gt;Yeung, Paul P&lt;/author&gt;&lt;author&gt;Goadsby, Peter J&lt;/author&gt;&lt;author&gt;Blankenbiller, Tricia&lt;/author&gt;&lt;author&gt;Grozinski-Wolff, Melissa&lt;/author&gt;&lt;author&gt;Yang, Ronghua&lt;/author&gt;&lt;author&gt;Ma, Yuju&lt;/author&gt;&lt;author&gt;Aycardi, Ernesto&lt;/author&gt;&lt;/authors&gt;&lt;/contributors&gt;&lt;titles&gt;&lt;title&gt;Fremanezumab for the preventive treatment of chronic migraine&lt;/title&gt;&lt;secondary-title&gt;New England Journal of Medicine&lt;/secondary-title&gt;&lt;/titles&gt;&lt;periodical&gt;&lt;full-title&gt;New England Journal of Medicine&lt;/full-title&gt;&lt;/periodical&gt;&lt;pages&gt;2113-2122&lt;/pages&gt;&lt;volume&gt;377&lt;/volume&gt;&lt;number&gt;22&lt;/number&gt;&lt;dates&gt;&lt;year&gt;2017&lt;/year&gt;&lt;/dates&gt;&lt;isbn&gt;0028-4793&lt;/isbn&gt;&lt;label&gt;30&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44</w:t>
            </w:r>
            <w:r w:rsidRPr="007E778F">
              <w:rPr>
                <w:rFonts w:eastAsia="Calibri" w:cstheme="minorHAnsi"/>
                <w:sz w:val="18"/>
                <w:szCs w:val="18"/>
              </w:rPr>
              <w:fldChar w:fldCharType="end"/>
            </w:r>
          </w:p>
          <w:p w14:paraId="61574427" w14:textId="77777777" w:rsidR="009642E2" w:rsidRPr="007E778F" w:rsidRDefault="009642E2" w:rsidP="00F60C3E">
            <w:pPr>
              <w:jc w:val="center"/>
              <w:rPr>
                <w:rFonts w:eastAsia="Calibri" w:cstheme="minorHAnsi"/>
                <w:sz w:val="18"/>
                <w:szCs w:val="18"/>
              </w:rPr>
            </w:pPr>
            <w:r w:rsidRPr="007E778F">
              <w:rPr>
                <w:rFonts w:eastAsia="Calibri" w:cstheme="minorHAnsi"/>
                <w:sz w:val="18"/>
                <w:szCs w:val="18"/>
              </w:rPr>
              <w:t>[HALO]</w:t>
            </w:r>
          </w:p>
        </w:tc>
        <w:tc>
          <w:tcPr>
            <w:tcW w:w="786" w:type="pct"/>
            <w:vMerge w:val="restart"/>
            <w:vAlign w:val="center"/>
          </w:tcPr>
          <w:p w14:paraId="6BDE877F" w14:textId="13101029"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Winner 2019</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&lt;EndNote&gt;&lt;Cite&gt;&lt;Author&gt;Winner&lt;/Author&gt;&lt;Year&gt;2019&lt;/Year&gt;&lt;RecNum&gt;44&lt;/RecNum&gt;&lt;DisplayText&gt;&lt;style face="superscript"&gt;45&lt;/style&gt;&lt;/DisplayText&gt;&lt;record&gt;&lt;rec-number&gt;44&lt;/rec-number&gt;&lt;foreign-keys&gt;&lt;key app="EN" db-id="fsz20seeavzsfie29wsx20a60watx2ffv2wz" timestamp="1662728386"&gt;44&lt;/key&gt;&lt;/foreign-keys&gt;&lt;ref-type name="Journal Article"&gt;17&lt;/ref-type&gt;&lt;contributors&gt;&lt;authors&gt;&lt;author&gt;Winner, Paul K&lt;/author&gt;&lt;author&gt;Spierings, Egilius LH&lt;/author&gt;&lt;author&gt;Yeung, Paul P&lt;/author&gt;&lt;author&gt;Aycardi, Ernesto&lt;/author&gt;&lt;author&gt;Blankenbiller, Tricia&lt;/author&gt;&lt;author&gt;Grozinski‐Wolff, Melissa&lt;/author&gt;&lt;author&gt;Yang, Ronghua&lt;/author&gt;&lt;author&gt;Ma, Yuju&lt;/author&gt;&lt;/authors&gt;&lt;/contributors&gt;&lt;titles&gt;&lt;title&gt;Early onset of efficacy with fremanezumab for the preventive treatment of chronic migraine&lt;/title&gt;&lt;secondary-title&gt;Headache: The Journal of Head and Face Pain&lt;/secondary-title&gt;&lt;/titles&gt;&lt;periodical&gt;&lt;full-title&gt;Headache: The Journal of Head and Face Pain&lt;/full-title&gt;&lt;/periodical&gt;&lt;pages&gt;1743-1752&lt;/pages&gt;&lt;volume&gt;59&lt;/volume&gt;&lt;number&gt;10&lt;/number&gt;&lt;dates&gt;&lt;year&gt;2019&lt;/year&gt;&lt;/dates&gt;&lt;isbn&gt;0017-8748&lt;/isbn&gt;&lt;label&gt;44&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45</w:t>
            </w:r>
            <w:r w:rsidRPr="007E778F">
              <w:rPr>
                <w:rFonts w:eastAsia="Calibri" w:cstheme="minorHAnsi"/>
                <w:sz w:val="18"/>
                <w:szCs w:val="18"/>
              </w:rPr>
              <w:fldChar w:fldCharType="end"/>
            </w:r>
            <w:r>
              <w:rPr>
                <w:rFonts w:eastAsia="Calibri" w:cstheme="minorHAnsi"/>
                <w:sz w:val="18"/>
                <w:szCs w:val="18"/>
              </w:rPr>
              <w:t>,</w:t>
            </w:r>
          </w:p>
          <w:p w14:paraId="53011297" w14:textId="62691BB0"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Lipton 2020</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&lt;EndNote&gt;&lt;Cite&gt;&lt;Author&gt;Lipton&lt;/Author&gt;&lt;Year&gt;2020&lt;/Year&gt;&lt;RecNum&gt;41&lt;/RecNum&gt;&lt;DisplayText&gt;&lt;style face="superscript"&gt;46&lt;/style&gt;&lt;/DisplayText&gt;&lt;record&gt;&lt;rec-number&gt;41&lt;/rec-number&gt;&lt;foreign-keys&gt;&lt;key app="EN" db-id="fsz20seeavzsfie29wsx20a60watx2ffv2wz" timestamp="1662655649"&gt;41&lt;/key&gt;&lt;/foreign-keys&gt;&lt;ref-type name="Journal Article"&gt;17&lt;/ref-type&gt;&lt;contributors&gt;&lt;authors&gt;&lt;author&gt;Lipton, Richard B&lt;/author&gt;&lt;author&gt;Cohen, Joshua M&lt;/author&gt;&lt;author&gt;Gandhi, Sanjay K&lt;/author&gt;&lt;author&gt;Yang, Ronghua&lt;/author&gt;&lt;author&gt;Yeung, Paul P&lt;/author&gt;&lt;author&gt;Buse, Dawn C&lt;/author&gt;&lt;/authors&gt;&lt;/contributors&gt;&lt;titles&gt;&lt;title&gt;Effect of fremanezumab on quality of life and productivity in patients with chronic migraine&lt;/title&gt;&lt;secondary-title&gt;Neurology&lt;/secondary-title&gt;&lt;/titles&gt;&lt;periodical&gt;&lt;full-title&gt;Neurology&lt;/full-title&gt;&lt;/periodical&gt;&lt;pages&gt;e878-e888&lt;/pages&gt;&lt;volume&gt;95&lt;/volume&gt;&lt;number&gt;7&lt;/number&gt;&lt;dates&gt;&lt;year&gt;2020&lt;/year&gt;&lt;/dates&gt;&lt;isbn&gt;0028-3878&lt;/isbn&gt;&lt;label&gt;41&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46</w:t>
            </w:r>
            <w:r w:rsidRPr="007E778F">
              <w:rPr>
                <w:rFonts w:eastAsia="Calibri" w:cstheme="minorHAnsi"/>
                <w:sz w:val="18"/>
                <w:szCs w:val="18"/>
              </w:rPr>
              <w:fldChar w:fldCharType="end"/>
            </w:r>
            <w:r w:rsidRPr="007E778F">
              <w:rPr>
                <w:rFonts w:eastAsia="Calibri" w:cstheme="minorHAnsi"/>
                <w:sz w:val="18"/>
                <w:szCs w:val="18"/>
              </w:rPr>
              <w:t>,</w:t>
            </w:r>
          </w:p>
          <w:p w14:paraId="6B3303A5" w14:textId="40294201"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Silberstein 2020</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&lt;EndNote&gt;&lt;Cite&gt;&lt;Author&gt;Silberstein&lt;/Author&gt;&lt;Year&gt;2020&lt;/Year&gt;&lt;RecNum&gt;42&lt;/RecNum&gt;&lt;DisplayText&gt;&lt;style face="superscript"&gt;47&lt;/style&gt;&lt;/DisplayText&gt;&lt;record&gt;&lt;rec-number&gt;42&lt;/rec-number&gt;&lt;foreign-keys&gt;&lt;key app="EN" db-id="fsz20seeavzsfie29wsx20a60watx2ffv2wz" timestamp="1662655725"&gt;42&lt;/key&gt;&lt;/foreign-keys&gt;&lt;ref-type name="Journal Article"&gt;17&lt;/ref-type&gt;&lt;contributors&gt;&lt;authors&gt;&lt;author&gt;Silberstein, Stephen D&lt;/author&gt;&lt;author&gt;Cohen, Joshua M&lt;/author&gt;&lt;author&gt;Seminerio, Michael J&lt;/author&gt;&lt;author&gt;Yang, Ronghua&lt;/author&gt;&lt;author&gt;Ashina, Sait&lt;/author&gt;&lt;author&gt;Katsarava, Zaza&lt;/author&gt;&lt;/authors&gt;&lt;/contributors&gt;&lt;titles&gt;&lt;title&gt;The impact of fremanezumab on medication overuse in patients with chronic migraine: subgroup analysis of the HALO CM study&lt;/title&gt;&lt;secondary-title&gt;The journal of headache and pain&lt;/secondary-title&gt;&lt;/titles&gt;&lt;periodical&gt;&lt;full-title&gt;The journal of headache and pain&lt;/full-title&gt;&lt;/periodical&gt;&lt;pages&gt;1-10&lt;/pages&gt;&lt;volume&gt;21&lt;/volume&gt;&lt;number&gt;1&lt;/number&gt;&lt;dates&gt;&lt;year&gt;2020&lt;/year&gt;&lt;/dates&gt;&lt;isbn&gt;1129-2377&lt;/isbn&gt;&lt;label&gt;42&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47</w:t>
            </w:r>
            <w:r w:rsidRPr="007E778F">
              <w:rPr>
                <w:rFonts w:eastAsia="Calibri" w:cstheme="minorHAnsi"/>
                <w:sz w:val="18"/>
                <w:szCs w:val="18"/>
              </w:rPr>
              <w:fldChar w:fldCharType="end"/>
            </w:r>
            <w:r w:rsidRPr="007E778F">
              <w:rPr>
                <w:rFonts w:eastAsia="Calibri" w:cstheme="minorHAnsi"/>
                <w:sz w:val="18"/>
                <w:szCs w:val="18"/>
              </w:rPr>
              <w:t>,</w:t>
            </w:r>
          </w:p>
          <w:p w14:paraId="1F1FB426" w14:textId="744535D0"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Blumenfeld</w:t>
            </w:r>
            <w:r>
              <w:rPr>
                <w:rFonts w:eastAsia="Calibri" w:cstheme="minorHAnsi"/>
                <w:sz w:val="18"/>
                <w:szCs w:val="18"/>
              </w:rPr>
              <w:t xml:space="preserve"> </w:t>
            </w:r>
            <w:r w:rsidRPr="007E778F">
              <w:rPr>
                <w:rFonts w:eastAsia="Calibri" w:cstheme="minorHAnsi"/>
                <w:sz w:val="18"/>
                <w:szCs w:val="18"/>
              </w:rPr>
              <w:t>2021</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&lt;EndNote&gt;&lt;Cite&gt;&lt;Author&gt;Blumenfeld&lt;/Author&gt;&lt;Year&gt;2020&lt;/Year&gt;&lt;RecNum&gt;43&lt;/RecNum&gt;&lt;DisplayText&gt;&lt;style face="superscript"&gt;48&lt;/style&gt;&lt;/DisplayText&gt;&lt;record&gt;&lt;rec-number&gt;43&lt;/rec-number&gt;&lt;foreign-keys&gt;&lt;key app="EN" db-id="fsz20seeavzsfie29wsx20a60watx2ffv2wz" timestamp="1662655848"&gt;43&lt;/key&gt;&lt;/foreign-keys&gt;&lt;ref-type name="Journal Article"&gt;17&lt;/ref-type&gt;&lt;contributors&gt;&lt;authors&gt;&lt;author&gt;Blumenfeld, Andrew M&lt;/author&gt;&lt;author&gt;Stevanovic, Darko M&lt;/author&gt;&lt;author&gt;Ortega, Mario&lt;/author&gt;&lt;author&gt;Cohen, Joshua M&lt;/author&gt;&lt;author&gt;Seminerio, Michael J&lt;/author&gt;&lt;author&gt;Yang, Ronghua&lt;/author&gt;&lt;author&gt;Jiang, Bo&lt;/author&gt;&lt;author&gt;Tepper, Stewart J&lt;/author&gt;&lt;/authors&gt;&lt;/contributors&gt;&lt;titles&gt;&lt;title&gt;No “Wearing‐Off Effect” Seen in Quarterly or Monthly Dosing of Fremanezumab: Subanalysis of a Randomized Long‐Term Study&lt;/title&gt;&lt;secondary-title&gt;Headache: The Journal of Head and Face Pain&lt;/secondary-title&gt;&lt;/titles&gt;&lt;periodical&gt;&lt;full-title&gt;Headache: The Journal of Head and Face Pain&lt;/full-title&gt;&lt;/periodical&gt;&lt;pages&gt;2431-2443&lt;/pages&gt;&lt;volume&gt;60&lt;/volume&gt;&lt;number&gt;10&lt;/number&gt;&lt;dates&gt;&lt;year&gt;2020&lt;/year&gt;&lt;/dates&gt;&lt;isbn&gt;0017-8748&lt;/isbn&gt;&lt;label&gt;43&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48</w:t>
            </w:r>
            <w:r w:rsidRPr="007E778F">
              <w:rPr>
                <w:rFonts w:eastAsia="Calibri" w:cstheme="minorHAnsi"/>
                <w:sz w:val="18"/>
                <w:szCs w:val="18"/>
              </w:rPr>
              <w:fldChar w:fldCharType="end"/>
            </w:r>
          </w:p>
        </w:tc>
        <w:tc>
          <w:tcPr>
            <w:tcW w:w="700" w:type="pct"/>
            <w:vMerge w:val="restart"/>
            <w:vAlign w:val="center"/>
          </w:tcPr>
          <w:p w14:paraId="1E4EDC2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132 sites in nine countries across the USA and Europe</w:t>
            </w:r>
          </w:p>
        </w:tc>
        <w:tc>
          <w:tcPr>
            <w:tcW w:w="171" w:type="pct"/>
            <w:vMerge w:val="restart"/>
            <w:vAlign w:val="center"/>
          </w:tcPr>
          <w:p w14:paraId="5261003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 xml:space="preserve">ICHD-3 </w:t>
            </w:r>
          </w:p>
        </w:tc>
        <w:tc>
          <w:tcPr>
            <w:tcW w:w="161" w:type="pct"/>
            <w:vMerge w:val="restart"/>
            <w:vAlign w:val="center"/>
          </w:tcPr>
          <w:p w14:paraId="6E52FAD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12DB</w:t>
            </w:r>
          </w:p>
        </w:tc>
        <w:tc>
          <w:tcPr>
            <w:tcW w:w="778" w:type="pct"/>
            <w:vAlign w:val="center"/>
          </w:tcPr>
          <w:p w14:paraId="006E5D1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Placebo</w:t>
            </w:r>
          </w:p>
        </w:tc>
        <w:tc>
          <w:tcPr>
            <w:tcW w:w="379" w:type="pct"/>
            <w:vAlign w:val="center"/>
          </w:tcPr>
          <w:p w14:paraId="24F69B7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39" w:type="pct"/>
            <w:vAlign w:val="center"/>
          </w:tcPr>
          <w:p w14:paraId="23B7091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243" w:type="pct"/>
            <w:vAlign w:val="center"/>
          </w:tcPr>
          <w:p w14:paraId="3FE462B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18" w:type="pct"/>
            <w:vAlign w:val="center"/>
          </w:tcPr>
          <w:p w14:paraId="37AB5D1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375</w:t>
            </w:r>
          </w:p>
        </w:tc>
        <w:tc>
          <w:tcPr>
            <w:tcW w:w="135" w:type="pct"/>
            <w:vAlign w:val="center"/>
          </w:tcPr>
          <w:p w14:paraId="441ECDF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88</w:t>
            </w:r>
          </w:p>
        </w:tc>
        <w:tc>
          <w:tcPr>
            <w:tcW w:w="135" w:type="pct"/>
            <w:vAlign w:val="center"/>
          </w:tcPr>
          <w:p w14:paraId="6CCF4BD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41.4</w:t>
            </w:r>
          </w:p>
        </w:tc>
        <w:tc>
          <w:tcPr>
            <w:tcW w:w="135" w:type="pct"/>
            <w:vAlign w:val="center"/>
          </w:tcPr>
          <w:p w14:paraId="679CBD1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26.5</w:t>
            </w:r>
          </w:p>
        </w:tc>
        <w:tc>
          <w:tcPr>
            <w:tcW w:w="135" w:type="pct"/>
            <w:vAlign w:val="center"/>
          </w:tcPr>
          <w:p w14:paraId="030FC4E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20.3</w:t>
            </w:r>
          </w:p>
        </w:tc>
        <w:tc>
          <w:tcPr>
            <w:tcW w:w="135" w:type="pct"/>
            <w:vAlign w:val="center"/>
          </w:tcPr>
          <w:p w14:paraId="0F016A5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16.4</w:t>
            </w:r>
          </w:p>
        </w:tc>
        <w:tc>
          <w:tcPr>
            <w:tcW w:w="167" w:type="pct"/>
            <w:vAlign w:val="center"/>
          </w:tcPr>
          <w:p w14:paraId="4459940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3B919EA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5C801DA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r>
      <w:tr w:rsidR="009642E2" w:rsidRPr="001303D6" w14:paraId="616D2359" w14:textId="77777777" w:rsidTr="005A68A6">
        <w:trPr>
          <w:trHeight w:val="556"/>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0BB07489" w14:textId="77777777" w:rsidR="009642E2" w:rsidRPr="007E778F" w:rsidRDefault="009642E2" w:rsidP="00F60C3E">
            <w:pPr>
              <w:jc w:val="center"/>
              <w:rPr>
                <w:rFonts w:eastAsia="Calibri" w:cstheme="minorHAnsi"/>
                <w:sz w:val="18"/>
                <w:szCs w:val="18"/>
              </w:rPr>
            </w:pPr>
          </w:p>
        </w:tc>
        <w:tc>
          <w:tcPr>
            <w:tcW w:w="786" w:type="pct"/>
            <w:vMerge/>
            <w:vAlign w:val="center"/>
          </w:tcPr>
          <w:p w14:paraId="0B736DA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6641ACB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008C435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200076C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Align w:val="center"/>
          </w:tcPr>
          <w:p w14:paraId="4CD8F0F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Fremanezumab</w:t>
            </w:r>
          </w:p>
        </w:tc>
        <w:tc>
          <w:tcPr>
            <w:tcW w:w="379" w:type="pct"/>
            <w:vAlign w:val="center"/>
          </w:tcPr>
          <w:p w14:paraId="39A19FD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675 mg</w:t>
            </w:r>
          </w:p>
        </w:tc>
        <w:tc>
          <w:tcPr>
            <w:tcW w:w="139" w:type="pct"/>
            <w:vAlign w:val="center"/>
          </w:tcPr>
          <w:p w14:paraId="087EDF2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SC</w:t>
            </w:r>
          </w:p>
        </w:tc>
        <w:tc>
          <w:tcPr>
            <w:tcW w:w="243" w:type="pct"/>
            <w:vAlign w:val="center"/>
          </w:tcPr>
          <w:p w14:paraId="06442E1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Single dose</w:t>
            </w:r>
          </w:p>
        </w:tc>
        <w:tc>
          <w:tcPr>
            <w:tcW w:w="118" w:type="pct"/>
            <w:vAlign w:val="center"/>
          </w:tcPr>
          <w:p w14:paraId="00A90E6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376</w:t>
            </w:r>
          </w:p>
        </w:tc>
        <w:tc>
          <w:tcPr>
            <w:tcW w:w="135" w:type="pct"/>
            <w:vAlign w:val="center"/>
          </w:tcPr>
          <w:p w14:paraId="709A94C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88</w:t>
            </w:r>
          </w:p>
        </w:tc>
        <w:tc>
          <w:tcPr>
            <w:tcW w:w="135" w:type="pct"/>
            <w:vAlign w:val="center"/>
          </w:tcPr>
          <w:p w14:paraId="75499C4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42</w:t>
            </w:r>
          </w:p>
        </w:tc>
        <w:tc>
          <w:tcPr>
            <w:tcW w:w="135" w:type="pct"/>
            <w:vAlign w:val="center"/>
          </w:tcPr>
          <w:p w14:paraId="23FE732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26.6</w:t>
            </w:r>
          </w:p>
        </w:tc>
        <w:tc>
          <w:tcPr>
            <w:tcW w:w="135" w:type="pct"/>
            <w:vAlign w:val="center"/>
          </w:tcPr>
          <w:p w14:paraId="739504D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20.4</w:t>
            </w:r>
          </w:p>
        </w:tc>
        <w:tc>
          <w:tcPr>
            <w:tcW w:w="135" w:type="pct"/>
            <w:vAlign w:val="center"/>
          </w:tcPr>
          <w:p w14:paraId="36E6E21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16.2</w:t>
            </w:r>
          </w:p>
        </w:tc>
        <w:tc>
          <w:tcPr>
            <w:tcW w:w="167" w:type="pct"/>
            <w:vAlign w:val="center"/>
          </w:tcPr>
          <w:p w14:paraId="527BE16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7583C30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5ADCBDE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r>
      <w:tr w:rsidR="009642E2" w:rsidRPr="001303D6" w14:paraId="711E1267" w14:textId="77777777" w:rsidTr="005A68A6">
        <w:trPr>
          <w:trHeight w:val="556"/>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32F1F988" w14:textId="77777777" w:rsidR="009642E2" w:rsidRPr="007E778F" w:rsidRDefault="009642E2" w:rsidP="00F60C3E">
            <w:pPr>
              <w:jc w:val="center"/>
              <w:rPr>
                <w:rFonts w:eastAsia="Calibri" w:cstheme="minorHAnsi"/>
                <w:sz w:val="18"/>
                <w:szCs w:val="18"/>
              </w:rPr>
            </w:pPr>
          </w:p>
        </w:tc>
        <w:tc>
          <w:tcPr>
            <w:tcW w:w="786" w:type="pct"/>
            <w:vMerge/>
            <w:vAlign w:val="center"/>
          </w:tcPr>
          <w:p w14:paraId="07FE94FA"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4CA5E1A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12CDE12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7F42DB0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Align w:val="center"/>
          </w:tcPr>
          <w:p w14:paraId="42D950D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379" w:type="pct"/>
            <w:vAlign w:val="center"/>
          </w:tcPr>
          <w:p w14:paraId="25FE417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675+225+225 mg</w:t>
            </w:r>
          </w:p>
        </w:tc>
        <w:tc>
          <w:tcPr>
            <w:tcW w:w="139" w:type="pct"/>
            <w:vAlign w:val="center"/>
          </w:tcPr>
          <w:p w14:paraId="2622160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SC</w:t>
            </w:r>
          </w:p>
        </w:tc>
        <w:tc>
          <w:tcPr>
            <w:tcW w:w="243" w:type="pct"/>
            <w:vAlign w:val="center"/>
          </w:tcPr>
          <w:p w14:paraId="04B49D7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Monthly</w:t>
            </w:r>
          </w:p>
        </w:tc>
        <w:tc>
          <w:tcPr>
            <w:tcW w:w="118" w:type="pct"/>
            <w:vAlign w:val="center"/>
          </w:tcPr>
          <w:p w14:paraId="200955D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379</w:t>
            </w:r>
          </w:p>
        </w:tc>
        <w:tc>
          <w:tcPr>
            <w:tcW w:w="135" w:type="pct"/>
            <w:vAlign w:val="center"/>
          </w:tcPr>
          <w:p w14:paraId="212EE5C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87</w:t>
            </w:r>
          </w:p>
        </w:tc>
        <w:tc>
          <w:tcPr>
            <w:tcW w:w="135" w:type="pct"/>
            <w:vAlign w:val="center"/>
          </w:tcPr>
          <w:p w14:paraId="1F31165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40.6</w:t>
            </w:r>
          </w:p>
        </w:tc>
        <w:tc>
          <w:tcPr>
            <w:tcW w:w="135" w:type="pct"/>
            <w:vAlign w:val="center"/>
          </w:tcPr>
          <w:p w14:paraId="39332A20"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26.5</w:t>
            </w:r>
          </w:p>
        </w:tc>
        <w:tc>
          <w:tcPr>
            <w:tcW w:w="135" w:type="pct"/>
            <w:vAlign w:val="center"/>
          </w:tcPr>
          <w:p w14:paraId="7AE3E6A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20.3</w:t>
            </w:r>
          </w:p>
        </w:tc>
        <w:tc>
          <w:tcPr>
            <w:tcW w:w="135" w:type="pct"/>
            <w:vAlign w:val="center"/>
          </w:tcPr>
          <w:p w14:paraId="1413F35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16</w:t>
            </w:r>
          </w:p>
        </w:tc>
        <w:tc>
          <w:tcPr>
            <w:tcW w:w="167" w:type="pct"/>
            <w:vAlign w:val="center"/>
          </w:tcPr>
          <w:p w14:paraId="5C6A979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0046269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67" w:type="pct"/>
            <w:vAlign w:val="center"/>
          </w:tcPr>
          <w:p w14:paraId="1E4250A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r>
      <w:tr w:rsidR="009642E2" w:rsidRPr="001303D6" w14:paraId="4980959B" w14:textId="77777777" w:rsidTr="005A68A6">
        <w:trPr>
          <w:trHeight w:val="403"/>
        </w:trPr>
        <w:tc>
          <w:tcPr>
            <w:cnfStyle w:val="001000000000" w:firstRow="0" w:lastRow="0" w:firstColumn="1" w:lastColumn="0" w:oddVBand="0" w:evenVBand="0" w:oddHBand="0" w:evenHBand="0" w:firstRowFirstColumn="0" w:firstRowLastColumn="0" w:lastRowFirstColumn="0" w:lastRowLastColumn="0"/>
            <w:tcW w:w="351" w:type="pct"/>
            <w:vMerge w:val="restart"/>
            <w:vAlign w:val="center"/>
          </w:tcPr>
          <w:p w14:paraId="29B4F6ED" w14:textId="66A51C85" w:rsidR="009642E2" w:rsidRPr="007E778F" w:rsidRDefault="009642E2" w:rsidP="00F60C3E">
            <w:pPr>
              <w:jc w:val="center"/>
              <w:rPr>
                <w:rFonts w:eastAsia="Calibri" w:cstheme="minorHAnsi"/>
                <w:sz w:val="18"/>
                <w:szCs w:val="18"/>
              </w:rPr>
            </w:pPr>
            <w:r w:rsidRPr="007E778F">
              <w:rPr>
                <w:rFonts w:eastAsia="Calibri" w:cstheme="minorHAnsi"/>
                <w:sz w:val="18"/>
                <w:szCs w:val="18"/>
              </w:rPr>
              <w:t>Tepper 2017</w:t>
            </w:r>
            <w:r>
              <w:rPr>
                <w:rFonts w:eastAsia="Calibri" w:cstheme="minorHAnsi"/>
                <w:sz w:val="18"/>
                <w:szCs w:val="18"/>
              </w:rPr>
              <w:t xml:space="preserve"> </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&lt;EndNote&gt;&lt;Cite&gt;&lt;Author&gt;Tepper&lt;/Author&gt;&lt;Year&gt;2017&lt;/Year&gt;&lt;RecNum&gt;35&lt;/RecNum&gt;&lt;DisplayText&gt;&lt;style face="superscript"&gt;49&lt;/style&gt;&lt;/DisplayText&gt;&lt;record&gt;&lt;rec-number&gt;35&lt;/rec-number&gt;&lt;foreign-keys&gt;&lt;key app="EN" db-id="fsz20seeavzsfie29wsx20a60watx2ffv2wz" timestamp="1662393873"&gt;35&lt;/key&gt;&lt;/foreign-keys&gt;&lt;ref-type name="Journal Article"&gt;17&lt;/ref-type&gt;&lt;contributors&gt;&lt;authors&gt;&lt;author&gt;Tepper, Stewart&lt;/author&gt;&lt;author&gt;Ashina, Messoud&lt;/author&gt;&lt;author&gt;Reuter, Uwe&lt;/author&gt;&lt;author&gt;Brandes, Jan L&lt;/author&gt;&lt;author&gt;Doležil, David&lt;/author&gt;&lt;author&gt;Silberstein, Stephen&lt;/author&gt;&lt;author&gt;Winner, Paul&lt;/author&gt;&lt;author&gt;Leonardi, Dean&lt;/author&gt;&lt;author&gt;Mikol, Daniel&lt;/author&gt;&lt;author&gt;Lenz, Robert&lt;/author&gt;&lt;/authors&gt;&lt;/contributors&gt;&lt;titles&gt;&lt;title&gt;Safety and efficacy of erenumab for preventive treatment of chronic migraine: a randomised, double-blind, placebo-controlled phase 2 trial&lt;/title&gt;&lt;secondary-title&gt;The Lancet Neurology&lt;/secondary-title&gt;&lt;/titles&gt;&lt;periodical&gt;&lt;full-title&gt;The Lancet Neurology&lt;/full-title&gt;&lt;/periodical&gt;&lt;pages&gt;425-434&lt;/pages&gt;&lt;volume&gt;16&lt;/volume&gt;&lt;number&gt;6&lt;/number&gt;&lt;dates&gt;&lt;year&gt;2017&lt;/year&gt;&lt;/dates&gt;&lt;isbn&gt;1474-4422&lt;/isbn&gt;&lt;label&gt;35&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49</w:t>
            </w:r>
            <w:r w:rsidRPr="007E778F">
              <w:rPr>
                <w:rFonts w:eastAsia="Calibri" w:cstheme="minorHAnsi"/>
                <w:sz w:val="18"/>
                <w:szCs w:val="18"/>
              </w:rPr>
              <w:fldChar w:fldCharType="end"/>
            </w:r>
          </w:p>
        </w:tc>
        <w:tc>
          <w:tcPr>
            <w:tcW w:w="786" w:type="pct"/>
            <w:vMerge w:val="restart"/>
            <w:vAlign w:val="center"/>
          </w:tcPr>
          <w:p w14:paraId="1E719F2B" w14:textId="2EF66960"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Brandes 2020</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&lt;EndNote&gt;&lt;Cite&gt;&lt;Author&gt;Brandes&lt;/Author&gt;&lt;Year&gt;2020&lt;/Year&gt;&lt;RecNum&gt;57&lt;/RecNum&gt;&lt;DisplayText&gt;&lt;style face="superscript"&gt;50&lt;/style&gt;&lt;/DisplayText&gt;&lt;record&gt;&lt;rec-number&gt;57&lt;/rec-number&gt;&lt;foreign-keys&gt;&lt;key app="EN" db-id="fsz20seeavzsfie29wsx20a60watx2ffv2wz" timestamp="1662732684"&gt;57&lt;/key&gt;&lt;/foreign-keys&gt;&lt;ref-type name="Journal Article"&gt;17&lt;/ref-type&gt;&lt;contributors&gt;&lt;authors&gt;&lt;author&gt;Brandes, Jan Lewis&lt;/author&gt;&lt;author&gt;Diener, Hans-Christoph&lt;/author&gt;&lt;author&gt;Dolezil, David&lt;/author&gt;&lt;author&gt;Freeman, Marshall C&lt;/author&gt;&lt;author&gt;McAllister, Peter J&lt;/author&gt;&lt;author&gt;Winner, Paul&lt;/author&gt;&lt;author&gt;Klatt, Jan&lt;/author&gt;&lt;author&gt;Cheng, Sunfa&lt;/author&gt;&lt;author&gt;Zhang, Feng&lt;/author&gt;&lt;author&gt;Wen, Shihua&lt;/author&gt;&lt;/authors&gt;&lt;/contributors&gt;&lt;titles&gt;&lt;title&gt;The spectrum of response to erenumab in patients with chronic migraine and subgroup analysis of patients achieving≥ 50%,≥ 75%, and 100% response&lt;/title&gt;&lt;secondary-title&gt;Cephalalgia&lt;/secondary-title&gt;&lt;/titles&gt;&lt;periodical&gt;&lt;full-title&gt;Cephalalgia&lt;/full-title&gt;&lt;/periodical&gt;&lt;pages&gt;28-38&lt;/pages&gt;&lt;volume&gt;40&lt;/volume&gt;&lt;number&gt;1&lt;/number&gt;&lt;dates&gt;&lt;year&gt;2020&lt;/year&gt;&lt;/dates&gt;&lt;isbn&gt;0333-1024&lt;/isbn&gt;&lt;label&gt;57&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50</w:t>
            </w:r>
            <w:r w:rsidRPr="007E778F">
              <w:rPr>
                <w:rFonts w:eastAsia="Calibri" w:cstheme="minorHAnsi"/>
                <w:sz w:val="18"/>
                <w:szCs w:val="18"/>
              </w:rPr>
              <w:fldChar w:fldCharType="end"/>
            </w:r>
            <w:r w:rsidRPr="007E778F">
              <w:rPr>
                <w:rFonts w:eastAsia="Calibri" w:cstheme="minorHAnsi"/>
                <w:sz w:val="18"/>
                <w:szCs w:val="18"/>
              </w:rPr>
              <w:t>, Messoud Ashina 2018</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&lt;EndNote&gt;&lt;Cite&gt;&lt;Author&gt;Ashina&lt;/Author&gt;&lt;Year&gt;2018&lt;/Year&gt;&lt;RecNum&gt;58&lt;/RecNum&gt;&lt;DisplayText&gt;&lt;style face="superscript"&gt;51&lt;/style&gt;&lt;/DisplayText&gt;&lt;record&gt;&lt;rec-number&gt;58&lt;/rec-number&gt;&lt;foreign-keys&gt;&lt;key app="EN" db-id="fsz20seeavzsfie29wsx20a60watx2ffv2wz" timestamp="1662732746"&gt;58&lt;/key&gt;&lt;/foreign-keys&gt;&lt;ref-type name="Journal Article"&gt;17&lt;/ref-type&gt;&lt;contributors&gt;&lt;authors&gt;&lt;author&gt;Ashina, Messoud&lt;/author&gt;&lt;author&gt;Tepper, Stewart&lt;/author&gt;&lt;author&gt;Brandes, Jan Lewis&lt;/author&gt;&lt;author&gt;Reuter, Uwe&lt;/author&gt;&lt;author&gt;Boudreau, Guy&lt;/author&gt;&lt;author&gt;Dolezil, David&lt;/author&gt;&lt;author&gt;Cheng, Sunfa&lt;/author&gt;&lt;author&gt;Zhang, Feng&lt;/author&gt;&lt;author&gt;Lenz, Robert&lt;/author&gt;&lt;author&gt;Klatt, Jan&lt;/author&gt;&lt;/authors&gt;&lt;/contributors&gt;&lt;titles&gt;&lt;title&gt;Efficacy and safety of erenumab (AMG334) in chronic migraine patients with prior preventive treatment failure: a subgroup analysis of a randomized, double-blind, placebo-controlled study&lt;/title&gt;&lt;secondary-title&gt;Cephalalgia&lt;/secondary-title&gt;&lt;/titles&gt;&lt;periodical&gt;&lt;full-title&gt;Cephalalgia&lt;/full-title&gt;&lt;/periodical&gt;&lt;pages&gt;1611-1621&lt;/pages&gt;&lt;volume&gt;38&lt;/volume&gt;&lt;number&gt;10&lt;/number&gt;&lt;dates&gt;&lt;year&gt;2018&lt;/year&gt;&lt;/dates&gt;&lt;isbn&gt;0333-1024&lt;/isbn&gt;&lt;label&gt;58&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51</w:t>
            </w:r>
            <w:r w:rsidRPr="007E778F">
              <w:rPr>
                <w:rFonts w:eastAsia="Calibri" w:cstheme="minorHAnsi"/>
                <w:sz w:val="18"/>
                <w:szCs w:val="18"/>
              </w:rPr>
              <w:fldChar w:fldCharType="end"/>
            </w:r>
            <w:r w:rsidRPr="007E778F">
              <w:rPr>
                <w:rFonts w:eastAsia="Calibri" w:cstheme="minorHAnsi"/>
                <w:sz w:val="18"/>
                <w:szCs w:val="18"/>
              </w:rPr>
              <w:t xml:space="preserve">, </w:t>
            </w:r>
          </w:p>
          <w:p w14:paraId="07F3E986" w14:textId="2C4911D8"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Tapper 2019</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&lt;EndNote&gt;&lt;Cite&gt;&lt;Author&gt;Tepper&lt;/Author&gt;&lt;Year&gt;2019&lt;/Year&gt;&lt;RecNum&gt;59&lt;/RecNum&gt;&lt;DisplayText&gt;&lt;style face="superscript"&gt;52&lt;/style&gt;&lt;/DisplayText&gt;&lt;record&gt;&lt;rec-number&gt;59&lt;/rec-number&gt;&lt;foreign-keys&gt;&lt;key app="EN" db-id="fsz20seeavzsfie29wsx20a60watx2ffv2wz" timestamp="1662732796"&gt;59&lt;/key&gt;&lt;/foreign-keys&gt;&lt;ref-type name="Journal Article"&gt;17&lt;/ref-type&gt;&lt;contributors&gt;&lt;authors&gt;&lt;author&gt;Tepper, Stewart J&lt;/author&gt;&lt;author&gt;Diener, Hans-Christoph&lt;/author&gt;&lt;author&gt;Ashina, Messoud&lt;/author&gt;&lt;author&gt;Brandes, Jan Lewis&lt;/author&gt;&lt;author&gt;Friedman, Deborah I&lt;/author&gt;&lt;author&gt;Reuter, Uwe&lt;/author&gt;&lt;author&gt;Cheng, Sunfa&lt;/author&gt;&lt;author&gt;Nilsen, Jon&lt;/author&gt;&lt;author&gt;Leonardi, Dean K&lt;/author&gt;&lt;author&gt;Lenz, Robert A&lt;/author&gt;&lt;/authors&gt;&lt;/contributors&gt;&lt;titles&gt;&lt;title&gt;Erenumab in chronic migraine with medication overuse: subgroup analysis of a randomized trial&lt;/title&gt;&lt;secondary-title&gt;Neurology&lt;/secondary-title&gt;&lt;/titles&gt;&lt;periodical&gt;&lt;full-title&gt;Neurology&lt;/full-title&gt;&lt;/periodical&gt;&lt;pages&gt;e2309-e2320&lt;/pages&gt;&lt;volume&gt;92&lt;/volume&gt;&lt;number&gt;20&lt;/number&gt;&lt;dates&gt;&lt;year&gt;2019&lt;/year&gt;&lt;/dates&gt;&lt;isbn&gt;0028-3878&lt;/isbn&gt;&lt;label&gt;59&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52</w:t>
            </w:r>
            <w:r w:rsidRPr="007E778F">
              <w:rPr>
                <w:rFonts w:eastAsia="Calibri" w:cstheme="minorHAnsi"/>
                <w:sz w:val="18"/>
                <w:szCs w:val="18"/>
              </w:rPr>
              <w:fldChar w:fldCharType="end"/>
            </w:r>
            <w:r w:rsidRPr="007E778F">
              <w:rPr>
                <w:rFonts w:eastAsia="Calibri" w:cstheme="minorHAnsi"/>
                <w:sz w:val="18"/>
                <w:szCs w:val="18"/>
              </w:rPr>
              <w:t xml:space="preserve">, </w:t>
            </w:r>
          </w:p>
          <w:p w14:paraId="4030FBAE" w14:textId="6AE5F255" w:rsidR="009642E2"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 xml:space="preserve">Lipton 2019 </w:t>
            </w:r>
            <w:r w:rsidRPr="007E778F">
              <w:rPr>
                <w:rFonts w:eastAsia="Calibri" w:cstheme="minorHAnsi"/>
                <w:sz w:val="18"/>
                <w:szCs w:val="18"/>
              </w:rPr>
              <w:fldChar w:fldCharType="begin"/>
            </w:r>
            <w:r w:rsidR="008D698C">
              <w:rPr>
                <w:rFonts w:eastAsia="Calibri" w:cstheme="minorHAnsi"/>
                <w:sz w:val="18"/>
                <w:szCs w:val="18"/>
              </w:rPr>
              <w:instrText xml:space="preserve"> ADDIN EN.CITE &lt;EndNote&gt;&lt;Cite&gt;&lt;Author&gt;Lipton&lt;/Author&gt;&lt;Year&gt;2019&lt;/Year&gt;&lt;RecNum&gt;60&lt;/RecNum&gt;&lt;DisplayText&gt;&lt;style face="superscript"&gt;53&lt;/style&gt;&lt;/DisplayText&gt;&lt;record&gt;&lt;rec-number&gt;60&lt;/rec-number&gt;&lt;foreign-keys&gt;&lt;key app="EN" db-id="fsz20seeavzsfie29wsx20a60watx2ffv2wz" timestamp="1662732848"&gt;60&lt;/key&gt;&lt;/foreign-keys&gt;&lt;ref-type name="Journal Article"&gt;17&lt;/ref-type&gt;&lt;contributors&gt;&lt;authors&gt;&lt;author&gt;Lipton, Richard B&lt;/author&gt;&lt;author&gt;Tepper, Stewart J&lt;/author&gt;&lt;author&gt;Reuter, Uwe&lt;/author&gt;&lt;author&gt;Silberstein, Stephen&lt;/author&gt;&lt;author&gt;Stewart, Walter F&lt;/author&gt;&lt;author&gt;Nilsen, Jon&lt;/author&gt;&lt;author&gt;Leonardi, Dean K&lt;/author&gt;&lt;author&gt;Desai, Pooja&lt;/author&gt;&lt;author&gt;Cheng, Sunfa&lt;/author&gt;&lt;author&gt;Mikol, Daniel D&lt;/author&gt;&lt;/authors&gt;&lt;/contributors&gt;&lt;titles&gt;&lt;title&gt;Erenumab in chronic migraine: patient-reported outcomes in a randomized double-blind study&lt;/title&gt;&lt;secondary-title&gt;Neurology&lt;/secondary-title&gt;&lt;/titles&gt;&lt;periodical&gt;&lt;full-title&gt;Neurology&lt;/full-title&gt;&lt;/periodical&gt;&lt;pages&gt;e2250-e2260&lt;/pages&gt;&lt;volume&gt;92&lt;/volume&gt;&lt;number&gt;19&lt;/number&gt;&lt;dates&gt;&lt;year&gt;2019&lt;/year&gt;&lt;/dates&gt;&lt;isbn&gt;0028-3878&lt;/isbn&gt;&lt;label&gt;60&lt;/label&gt;&lt;urls&gt;&lt;/urls&gt;&lt;/record&gt;&lt;/Cite&gt;&lt;/EndNote&gt;</w:instrText>
            </w:r>
            <w:r w:rsidRPr="007E778F">
              <w:rPr>
                <w:rFonts w:eastAsia="Calibri" w:cstheme="minorHAnsi"/>
                <w:sz w:val="18"/>
                <w:szCs w:val="18"/>
              </w:rPr>
              <w:fldChar w:fldCharType="separate"/>
            </w:r>
            <w:r w:rsidR="008D698C" w:rsidRPr="008D698C">
              <w:rPr>
                <w:rFonts w:eastAsia="Calibri" w:cstheme="minorHAnsi"/>
                <w:noProof/>
                <w:sz w:val="18"/>
                <w:szCs w:val="18"/>
                <w:vertAlign w:val="superscript"/>
              </w:rPr>
              <w:t>53</w:t>
            </w:r>
            <w:r w:rsidRPr="007E778F">
              <w:rPr>
                <w:rFonts w:eastAsia="Calibri" w:cstheme="minorHAnsi"/>
                <w:sz w:val="18"/>
                <w:szCs w:val="18"/>
              </w:rPr>
              <w:fldChar w:fldCharType="end"/>
            </w:r>
          </w:p>
          <w:p w14:paraId="3352764C" w14:textId="682A8B0A" w:rsidR="00835A00" w:rsidRPr="007E778F" w:rsidRDefault="00835A00"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Ashina 2022</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&lt;EndNote&gt;&lt;Cite&gt;&lt;Author&gt;Ashina&lt;/Author&gt;&lt;Year&gt;2022&lt;/Year&gt;&lt;RecNum&gt;508&lt;/RecNum&gt;&lt;DisplayText&gt;&lt;style face="superscript"&gt;34&lt;/style&gt;&lt;/DisplayText&gt;&lt;record&gt;&lt;rec-number&gt;508&lt;/rec-number&gt;&lt;foreign-keys&gt;&lt;key app="EN" db-id="fsz20seeavzsfie29wsx20a60watx2ffv2wz" timestamp="1681422939"&gt;508&lt;/key&gt;&lt;/foreign-keys&gt;&lt;ref-type name="Journal Article"&gt;17&lt;/ref-type&gt;&lt;contributors&gt;&lt;authors&gt;&lt;author&gt;Ashina, Messoud&lt;/author&gt;&lt;author&gt;Tepper, Stewart J&lt;/author&gt;&lt;author&gt;Brandes, Jan Lewis&lt;/author&gt;&lt;author&gt;Reuter, Uwe&lt;/author&gt;&lt;author&gt;Boudreau, Guy P&lt;/author&gt;&lt;author&gt;Weatherall, Mark&lt;/author&gt;&lt;author&gt;Gantenbein, Andreas R&lt;/author&gt;&lt;author&gt;Doležil, David&lt;/author&gt;&lt;author&gt;Klatt, Jan&lt;/author&gt;&lt;author&gt;Wang, Andrea&lt;/author&gt;&lt;/authors&gt;&lt;/contributors&gt;&lt;titles&gt;&lt;title&gt;Long‐term efficacy and safety of erenumab in patients with chronic migraine in whom prior preventive treatments had failed: A subgroup analysis&lt;/title&gt;&lt;secondary-title&gt;Headache: The Journal of Head and Face Pain&lt;/secondary-title&gt;&lt;/titles&gt;&lt;periodical&gt;&lt;full-title&gt;Headache: The Journal of Head and Face Pain&lt;/full-title&gt;&lt;/periodical&gt;&lt;pages&gt;624-633&lt;/pages&gt;&lt;volume&gt;62&lt;/volume&gt;&lt;number&gt;5&lt;/number&gt;&lt;dates&gt;&lt;year&gt;2022&lt;/year&gt;&lt;/dates&gt;&lt;isbn&gt;0017-8748&lt;/isbn&gt;&lt;label&gt;508&lt;/label&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34</w:t>
            </w:r>
            <w:r>
              <w:rPr>
                <w:rFonts w:eastAsia="Calibri" w:cstheme="minorHAnsi"/>
                <w:sz w:val="18"/>
                <w:szCs w:val="18"/>
              </w:rPr>
              <w:fldChar w:fldCharType="end"/>
            </w:r>
          </w:p>
        </w:tc>
        <w:tc>
          <w:tcPr>
            <w:tcW w:w="700" w:type="pct"/>
            <w:vMerge w:val="restart"/>
            <w:vAlign w:val="center"/>
          </w:tcPr>
          <w:p w14:paraId="7D91196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69 headache and clinical research centers in Canada</w:t>
            </w:r>
            <w:r>
              <w:rPr>
                <w:rFonts w:eastAsia="Calibri" w:cstheme="minorHAnsi"/>
                <w:sz w:val="18"/>
                <w:szCs w:val="18"/>
              </w:rPr>
              <w:t xml:space="preserve">, </w:t>
            </w:r>
            <w:r w:rsidRPr="007E778F">
              <w:rPr>
                <w:rFonts w:eastAsia="Calibri" w:cstheme="minorHAnsi"/>
                <w:sz w:val="18"/>
                <w:szCs w:val="18"/>
              </w:rPr>
              <w:t>USA and Europe</w:t>
            </w:r>
          </w:p>
        </w:tc>
        <w:tc>
          <w:tcPr>
            <w:tcW w:w="171" w:type="pct"/>
            <w:vMerge w:val="restart"/>
            <w:vAlign w:val="center"/>
          </w:tcPr>
          <w:p w14:paraId="42893FF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 xml:space="preserve">ICHD-3 </w:t>
            </w:r>
          </w:p>
        </w:tc>
        <w:tc>
          <w:tcPr>
            <w:tcW w:w="161" w:type="pct"/>
            <w:vMerge w:val="restart"/>
            <w:vAlign w:val="center"/>
          </w:tcPr>
          <w:p w14:paraId="2666D63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12DB</w:t>
            </w:r>
          </w:p>
        </w:tc>
        <w:tc>
          <w:tcPr>
            <w:tcW w:w="778" w:type="pct"/>
            <w:vAlign w:val="center"/>
          </w:tcPr>
          <w:p w14:paraId="5234073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Placebo</w:t>
            </w:r>
          </w:p>
        </w:tc>
        <w:tc>
          <w:tcPr>
            <w:tcW w:w="379" w:type="pct"/>
            <w:vAlign w:val="center"/>
          </w:tcPr>
          <w:p w14:paraId="3106AF8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39" w:type="pct"/>
            <w:vAlign w:val="center"/>
          </w:tcPr>
          <w:p w14:paraId="6888143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243" w:type="pct"/>
            <w:vAlign w:val="center"/>
          </w:tcPr>
          <w:p w14:paraId="477BB9A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18" w:type="pct"/>
            <w:vAlign w:val="center"/>
          </w:tcPr>
          <w:p w14:paraId="708EF0D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286</w:t>
            </w:r>
          </w:p>
        </w:tc>
        <w:tc>
          <w:tcPr>
            <w:tcW w:w="135" w:type="pct"/>
            <w:vAlign w:val="center"/>
          </w:tcPr>
          <w:p w14:paraId="36B9935D"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79</w:t>
            </w:r>
          </w:p>
        </w:tc>
        <w:tc>
          <w:tcPr>
            <w:tcW w:w="135" w:type="pct"/>
            <w:vAlign w:val="center"/>
          </w:tcPr>
          <w:p w14:paraId="08571FF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42.1</w:t>
            </w:r>
          </w:p>
        </w:tc>
        <w:tc>
          <w:tcPr>
            <w:tcW w:w="135" w:type="pct"/>
            <w:vAlign w:val="center"/>
          </w:tcPr>
          <w:p w14:paraId="1173188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26.3</w:t>
            </w:r>
          </w:p>
        </w:tc>
        <w:tc>
          <w:tcPr>
            <w:tcW w:w="135" w:type="pct"/>
            <w:vAlign w:val="center"/>
          </w:tcPr>
          <w:p w14:paraId="078006C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18.2</w:t>
            </w:r>
          </w:p>
        </w:tc>
        <w:tc>
          <w:tcPr>
            <w:tcW w:w="135" w:type="pct"/>
            <w:vAlign w:val="center"/>
          </w:tcPr>
          <w:p w14:paraId="5590A1B6"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21.1</w:t>
            </w:r>
          </w:p>
        </w:tc>
        <w:tc>
          <w:tcPr>
            <w:tcW w:w="167" w:type="pct"/>
            <w:vAlign w:val="center"/>
          </w:tcPr>
          <w:p w14:paraId="28989D68"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42.8</w:t>
            </w:r>
          </w:p>
        </w:tc>
        <w:tc>
          <w:tcPr>
            <w:tcW w:w="167" w:type="pct"/>
            <w:vAlign w:val="center"/>
          </w:tcPr>
          <w:p w14:paraId="01DB73E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60.3</w:t>
            </w:r>
          </w:p>
        </w:tc>
        <w:tc>
          <w:tcPr>
            <w:tcW w:w="167" w:type="pct"/>
            <w:vAlign w:val="center"/>
          </w:tcPr>
          <w:p w14:paraId="5AFA259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53</w:t>
            </w:r>
          </w:p>
        </w:tc>
      </w:tr>
      <w:tr w:rsidR="009642E2" w:rsidRPr="001303D6" w14:paraId="6F6CA9EE" w14:textId="77777777" w:rsidTr="005A68A6">
        <w:trPr>
          <w:trHeight w:val="425"/>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64F828EF" w14:textId="77777777" w:rsidR="009642E2" w:rsidRPr="007E778F" w:rsidRDefault="009642E2" w:rsidP="00F60C3E">
            <w:pPr>
              <w:jc w:val="center"/>
              <w:rPr>
                <w:rFonts w:eastAsia="Calibri" w:cstheme="minorHAnsi"/>
                <w:sz w:val="18"/>
                <w:szCs w:val="18"/>
              </w:rPr>
            </w:pPr>
          </w:p>
        </w:tc>
        <w:tc>
          <w:tcPr>
            <w:tcW w:w="786" w:type="pct"/>
            <w:vMerge/>
            <w:vAlign w:val="center"/>
          </w:tcPr>
          <w:p w14:paraId="1F47398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0A77E989" w14:textId="77777777" w:rsidR="009642E2" w:rsidRPr="007E778F" w:rsidRDefault="009642E2" w:rsidP="00F60C3E">
            <w:pP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3546E44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7BB0DB9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Merge w:val="restart"/>
            <w:vAlign w:val="center"/>
          </w:tcPr>
          <w:p w14:paraId="4AE4776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Erenumab</w:t>
            </w:r>
          </w:p>
        </w:tc>
        <w:tc>
          <w:tcPr>
            <w:tcW w:w="379" w:type="pct"/>
            <w:vAlign w:val="center"/>
          </w:tcPr>
          <w:p w14:paraId="39C6BFD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70 mg</w:t>
            </w:r>
          </w:p>
        </w:tc>
        <w:tc>
          <w:tcPr>
            <w:tcW w:w="139" w:type="pct"/>
            <w:vAlign w:val="center"/>
          </w:tcPr>
          <w:p w14:paraId="18BB08E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SC</w:t>
            </w:r>
          </w:p>
        </w:tc>
        <w:tc>
          <w:tcPr>
            <w:tcW w:w="243" w:type="pct"/>
            <w:vAlign w:val="center"/>
          </w:tcPr>
          <w:p w14:paraId="5A525A2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Monthly</w:t>
            </w:r>
          </w:p>
        </w:tc>
        <w:tc>
          <w:tcPr>
            <w:tcW w:w="118" w:type="pct"/>
            <w:vAlign w:val="center"/>
          </w:tcPr>
          <w:p w14:paraId="2459F6F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191</w:t>
            </w:r>
          </w:p>
        </w:tc>
        <w:tc>
          <w:tcPr>
            <w:tcW w:w="135" w:type="pct"/>
            <w:vAlign w:val="center"/>
          </w:tcPr>
          <w:p w14:paraId="2A6354C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87</w:t>
            </w:r>
          </w:p>
        </w:tc>
        <w:tc>
          <w:tcPr>
            <w:tcW w:w="135" w:type="pct"/>
            <w:vAlign w:val="center"/>
          </w:tcPr>
          <w:p w14:paraId="3FB8B00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41.4</w:t>
            </w:r>
          </w:p>
        </w:tc>
        <w:tc>
          <w:tcPr>
            <w:tcW w:w="135" w:type="pct"/>
            <w:vAlign w:val="center"/>
          </w:tcPr>
          <w:p w14:paraId="2B461D4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26</w:t>
            </w:r>
          </w:p>
        </w:tc>
        <w:tc>
          <w:tcPr>
            <w:tcW w:w="135" w:type="pct"/>
            <w:vAlign w:val="center"/>
          </w:tcPr>
          <w:p w14:paraId="3BDD84E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17.9</w:t>
            </w:r>
          </w:p>
        </w:tc>
        <w:tc>
          <w:tcPr>
            <w:tcW w:w="135" w:type="pct"/>
            <w:vAlign w:val="center"/>
          </w:tcPr>
          <w:p w14:paraId="3C41866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20.5</w:t>
            </w:r>
          </w:p>
        </w:tc>
        <w:tc>
          <w:tcPr>
            <w:tcW w:w="167" w:type="pct"/>
            <w:vAlign w:val="center"/>
          </w:tcPr>
          <w:p w14:paraId="38CD5B5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44.7</w:t>
            </w:r>
          </w:p>
        </w:tc>
        <w:tc>
          <w:tcPr>
            <w:tcW w:w="167" w:type="pct"/>
            <w:vAlign w:val="center"/>
          </w:tcPr>
          <w:p w14:paraId="39359DC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61.9</w:t>
            </w:r>
          </w:p>
        </w:tc>
        <w:tc>
          <w:tcPr>
            <w:tcW w:w="167" w:type="pct"/>
            <w:vAlign w:val="center"/>
          </w:tcPr>
          <w:p w14:paraId="58F2A339"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53.6</w:t>
            </w:r>
          </w:p>
        </w:tc>
      </w:tr>
      <w:tr w:rsidR="009642E2" w:rsidRPr="001303D6" w14:paraId="5DA51D6C" w14:textId="77777777" w:rsidTr="005A68A6">
        <w:trPr>
          <w:trHeight w:val="273"/>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36C002B4" w14:textId="77777777" w:rsidR="009642E2" w:rsidRPr="007E778F" w:rsidRDefault="009642E2" w:rsidP="00F60C3E">
            <w:pPr>
              <w:jc w:val="center"/>
              <w:rPr>
                <w:rFonts w:eastAsia="Calibri" w:cstheme="minorHAnsi"/>
                <w:sz w:val="18"/>
                <w:szCs w:val="18"/>
              </w:rPr>
            </w:pPr>
          </w:p>
        </w:tc>
        <w:tc>
          <w:tcPr>
            <w:tcW w:w="786" w:type="pct"/>
            <w:vMerge/>
            <w:vAlign w:val="center"/>
          </w:tcPr>
          <w:p w14:paraId="7F3474F3"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1A778C02" w14:textId="77777777" w:rsidR="009642E2" w:rsidRPr="007E778F" w:rsidRDefault="009642E2" w:rsidP="00F60C3E">
            <w:pP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7742FAC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5F9B53C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Merge/>
            <w:vAlign w:val="center"/>
          </w:tcPr>
          <w:p w14:paraId="64EA993E"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379" w:type="pct"/>
            <w:vAlign w:val="center"/>
          </w:tcPr>
          <w:p w14:paraId="1705BB1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140 mg</w:t>
            </w:r>
          </w:p>
        </w:tc>
        <w:tc>
          <w:tcPr>
            <w:tcW w:w="139" w:type="pct"/>
            <w:vAlign w:val="center"/>
          </w:tcPr>
          <w:p w14:paraId="51E7137B"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SC</w:t>
            </w:r>
          </w:p>
        </w:tc>
        <w:tc>
          <w:tcPr>
            <w:tcW w:w="243" w:type="pct"/>
            <w:vAlign w:val="center"/>
          </w:tcPr>
          <w:p w14:paraId="28E34361"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Monthly</w:t>
            </w:r>
          </w:p>
        </w:tc>
        <w:tc>
          <w:tcPr>
            <w:tcW w:w="118" w:type="pct"/>
            <w:vAlign w:val="center"/>
          </w:tcPr>
          <w:p w14:paraId="319CB71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190</w:t>
            </w:r>
          </w:p>
        </w:tc>
        <w:tc>
          <w:tcPr>
            <w:tcW w:w="135" w:type="pct"/>
            <w:vAlign w:val="center"/>
          </w:tcPr>
          <w:p w14:paraId="6428681C"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84</w:t>
            </w:r>
          </w:p>
        </w:tc>
        <w:tc>
          <w:tcPr>
            <w:tcW w:w="135" w:type="pct"/>
            <w:vAlign w:val="center"/>
          </w:tcPr>
          <w:p w14:paraId="7D2EDEF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42.9</w:t>
            </w:r>
          </w:p>
        </w:tc>
        <w:tc>
          <w:tcPr>
            <w:tcW w:w="135" w:type="pct"/>
            <w:vAlign w:val="center"/>
          </w:tcPr>
          <w:p w14:paraId="0A2BF5E2"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26</w:t>
            </w:r>
          </w:p>
        </w:tc>
        <w:tc>
          <w:tcPr>
            <w:tcW w:w="135" w:type="pct"/>
            <w:vAlign w:val="center"/>
          </w:tcPr>
          <w:p w14:paraId="53849E4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17.8</w:t>
            </w:r>
          </w:p>
        </w:tc>
        <w:tc>
          <w:tcPr>
            <w:tcW w:w="135" w:type="pct"/>
            <w:vAlign w:val="center"/>
          </w:tcPr>
          <w:p w14:paraId="21B87544"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20.7</w:t>
            </w:r>
          </w:p>
        </w:tc>
        <w:tc>
          <w:tcPr>
            <w:tcW w:w="167" w:type="pct"/>
            <w:vAlign w:val="center"/>
          </w:tcPr>
          <w:p w14:paraId="3C776E05"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45.6</w:t>
            </w:r>
          </w:p>
        </w:tc>
        <w:tc>
          <w:tcPr>
            <w:tcW w:w="167" w:type="pct"/>
            <w:vAlign w:val="center"/>
          </w:tcPr>
          <w:p w14:paraId="4CC4981F"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62.9</w:t>
            </w:r>
          </w:p>
        </w:tc>
        <w:tc>
          <w:tcPr>
            <w:tcW w:w="167" w:type="pct"/>
            <w:vAlign w:val="center"/>
          </w:tcPr>
          <w:p w14:paraId="2D0CC317" w14:textId="77777777" w:rsidR="009642E2" w:rsidRPr="007E778F" w:rsidRDefault="009642E2" w:rsidP="00F60C3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56.7</w:t>
            </w:r>
          </w:p>
        </w:tc>
      </w:tr>
      <w:tr w:rsidR="005A68A6" w:rsidRPr="001303D6" w14:paraId="78D4EBAA" w14:textId="77777777" w:rsidTr="005A68A6">
        <w:trPr>
          <w:trHeight w:val="330"/>
        </w:trPr>
        <w:tc>
          <w:tcPr>
            <w:cnfStyle w:val="001000000000" w:firstRow="0" w:lastRow="0" w:firstColumn="1" w:lastColumn="0" w:oddVBand="0" w:evenVBand="0" w:oddHBand="0" w:evenHBand="0" w:firstRowFirstColumn="0" w:firstRowLastColumn="0" w:lastRowFirstColumn="0" w:lastRowLastColumn="0"/>
            <w:tcW w:w="351" w:type="pct"/>
            <w:vMerge w:val="restart"/>
            <w:vAlign w:val="center"/>
          </w:tcPr>
          <w:p w14:paraId="2619AE69" w14:textId="06192F30" w:rsidR="005A68A6" w:rsidRDefault="005A68A6" w:rsidP="005A68A6">
            <w:pPr>
              <w:jc w:val="center"/>
              <w:rPr>
                <w:rFonts w:eastAsia="Calibri" w:cstheme="minorHAnsi"/>
                <w:b w:val="0"/>
                <w:bCs w:val="0"/>
                <w:sz w:val="18"/>
                <w:szCs w:val="18"/>
              </w:rPr>
            </w:pPr>
            <w:r w:rsidRPr="000C5930">
              <w:rPr>
                <w:rFonts w:eastAsia="Calibri" w:cstheme="minorHAnsi"/>
                <w:sz w:val="18"/>
                <w:szCs w:val="18"/>
              </w:rPr>
              <w:t>Yu</w:t>
            </w:r>
            <w:r>
              <w:rPr>
                <w:rFonts w:eastAsia="Calibri" w:cstheme="minorHAnsi"/>
                <w:sz w:val="18"/>
                <w:szCs w:val="18"/>
              </w:rPr>
              <w:t xml:space="preserve"> 2022 </w:t>
            </w:r>
            <w:r>
              <w:rPr>
                <w:rFonts w:eastAsia="Calibri" w:cstheme="minorHAnsi"/>
                <w:sz w:val="18"/>
                <w:szCs w:val="18"/>
              </w:rPr>
              <w:fldChar w:fldCharType="begin"/>
            </w:r>
            <w:r w:rsidR="008D698C">
              <w:rPr>
                <w:rFonts w:eastAsia="Calibri" w:cstheme="minorHAnsi"/>
                <w:sz w:val="18"/>
                <w:szCs w:val="18"/>
              </w:rPr>
              <w:instrText xml:space="preserve"> ADDIN EN.CITE &lt;EndNote&gt;&lt;Cite&gt;&lt;Author&gt;Yu&lt;/Author&gt;&lt;Year&gt;2022&lt;/Year&gt;&lt;RecNum&gt;556&lt;/RecNum&gt;&lt;DisplayText&gt;&lt;style face="superscript"&gt;54&lt;/style&gt;&lt;/DisplayText&gt;&lt;record&gt;&lt;rec-number&gt;556&lt;/rec-number&gt;&lt;foreign-keys&gt;&lt;key app="EN" db-id="fsz20seeavzsfie29wsx20a60watx2ffv2wz" timestamp="1691212880"&gt;556&lt;/key&gt;&lt;/foreign-keys&gt;&lt;ref-type name="Journal Article"&gt;17&lt;/ref-type&gt;&lt;contributors&gt;&lt;authors&gt;&lt;author&gt;Yu, Shengyuan&lt;/author&gt;&lt;author&gt;Kim, Byung-Kun&lt;/author&gt;&lt;author&gt;Wang, Hebo&lt;/author&gt;&lt;author&gt;Zhou, Jiying&lt;/author&gt;&lt;author&gt;Wan, Qi&lt;/author&gt;&lt;author&gt;Yu, Tingmin&lt;/author&gt;&lt;author&gt;Lian, Yajun&lt;/author&gt;&lt;author&gt;Arkuszewski, Michal&lt;/author&gt;&lt;author&gt;Ecochard, Laurent&lt;/author&gt;&lt;author&gt;Wen, Shihua&lt;/author&gt;&lt;/authors&gt;&lt;/contributors&gt;&lt;titles&gt;&lt;title&gt;A phase 3, randomised, placebo-controlled study of erenumab for the prevention of chronic migraine in patients from Asia: the DRAGON study&lt;/title&gt;&lt;secondary-title&gt;The Journal of Headache and Pain&lt;/secondary-title&gt;&lt;/titles&gt;&lt;periodical&gt;&lt;full-title&gt;The journal of headache and pain&lt;/full-title&gt;&lt;/periodical&gt;&lt;pages&gt;146&lt;/pages&gt;&lt;volume&gt;23&lt;/volume&gt;&lt;number&gt;1&lt;/number&gt;&lt;dates&gt;&lt;year&gt;2022&lt;/year&gt;&lt;/dates&gt;&lt;isbn&gt;1129-2369&lt;/isbn&gt;&lt;urls&gt;&lt;/urls&gt;&lt;/record&gt;&lt;/Cite&gt;&lt;/EndNote&gt;</w:instrText>
            </w:r>
            <w:r>
              <w:rPr>
                <w:rFonts w:eastAsia="Calibri" w:cstheme="minorHAnsi"/>
                <w:sz w:val="18"/>
                <w:szCs w:val="18"/>
              </w:rPr>
              <w:fldChar w:fldCharType="separate"/>
            </w:r>
            <w:r w:rsidR="008D698C" w:rsidRPr="008D698C">
              <w:rPr>
                <w:rFonts w:eastAsia="Calibri" w:cstheme="minorHAnsi"/>
                <w:noProof/>
                <w:sz w:val="18"/>
                <w:szCs w:val="18"/>
                <w:vertAlign w:val="superscript"/>
              </w:rPr>
              <w:t>54</w:t>
            </w:r>
            <w:r>
              <w:rPr>
                <w:rFonts w:eastAsia="Calibri" w:cstheme="minorHAnsi"/>
                <w:sz w:val="18"/>
                <w:szCs w:val="18"/>
              </w:rPr>
              <w:fldChar w:fldCharType="end"/>
            </w:r>
          </w:p>
          <w:p w14:paraId="1278A4B4" w14:textId="4F1ACEBF" w:rsidR="005A68A6" w:rsidRPr="007E778F" w:rsidRDefault="005A68A6" w:rsidP="005A68A6">
            <w:pPr>
              <w:jc w:val="center"/>
              <w:rPr>
                <w:rFonts w:eastAsia="Calibri" w:cstheme="minorHAnsi"/>
                <w:sz w:val="18"/>
                <w:szCs w:val="18"/>
              </w:rPr>
            </w:pPr>
            <w:r>
              <w:rPr>
                <w:rFonts w:eastAsia="Calibri" w:cstheme="minorHAnsi"/>
                <w:sz w:val="18"/>
                <w:szCs w:val="18"/>
              </w:rPr>
              <w:t>[DRAGON]</w:t>
            </w:r>
          </w:p>
        </w:tc>
        <w:tc>
          <w:tcPr>
            <w:tcW w:w="786" w:type="pct"/>
            <w:vMerge w:val="restart"/>
            <w:vAlign w:val="center"/>
          </w:tcPr>
          <w:p w14:paraId="395353AD" w14:textId="766B9B29" w:rsidR="005A68A6" w:rsidRPr="007E778F" w:rsidRDefault="005A68A6"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w:t>
            </w:r>
          </w:p>
        </w:tc>
        <w:tc>
          <w:tcPr>
            <w:tcW w:w="700" w:type="pct"/>
            <w:vMerge w:val="restart"/>
            <w:vAlign w:val="center"/>
          </w:tcPr>
          <w:p w14:paraId="4CBDD5DC" w14:textId="6B39F065" w:rsidR="005A68A6" w:rsidRPr="007E778F" w:rsidRDefault="005A68A6" w:rsidP="005A68A6">
            <w:pP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5A68A6">
              <w:rPr>
                <w:rFonts w:eastAsia="Calibri" w:cstheme="minorHAnsi"/>
                <w:sz w:val="18"/>
                <w:szCs w:val="18"/>
              </w:rPr>
              <w:t xml:space="preserve">64 sites in 9 Asian countries </w:t>
            </w:r>
          </w:p>
        </w:tc>
        <w:tc>
          <w:tcPr>
            <w:tcW w:w="171" w:type="pct"/>
            <w:vMerge w:val="restart"/>
            <w:vAlign w:val="center"/>
          </w:tcPr>
          <w:p w14:paraId="29C233BD" w14:textId="189DEE62" w:rsidR="005A68A6" w:rsidRPr="007E778F" w:rsidRDefault="005A68A6"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ICHD-3</w:t>
            </w:r>
          </w:p>
        </w:tc>
        <w:tc>
          <w:tcPr>
            <w:tcW w:w="161" w:type="pct"/>
            <w:vMerge w:val="restart"/>
            <w:vAlign w:val="center"/>
          </w:tcPr>
          <w:p w14:paraId="1A4792D5" w14:textId="7E5202E8" w:rsidR="005A68A6" w:rsidRPr="007E778F" w:rsidRDefault="005A68A6"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12DB</w:t>
            </w:r>
          </w:p>
        </w:tc>
        <w:tc>
          <w:tcPr>
            <w:tcW w:w="778" w:type="pct"/>
            <w:vAlign w:val="center"/>
          </w:tcPr>
          <w:p w14:paraId="46D8BF8F" w14:textId="58C2CA7C" w:rsidR="005A68A6" w:rsidRPr="007E778F" w:rsidRDefault="005A68A6"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Placebo</w:t>
            </w:r>
          </w:p>
        </w:tc>
        <w:tc>
          <w:tcPr>
            <w:tcW w:w="379" w:type="pct"/>
            <w:vAlign w:val="center"/>
          </w:tcPr>
          <w:p w14:paraId="0439A40C" w14:textId="561952F0" w:rsidR="005A68A6" w:rsidRPr="007E778F" w:rsidRDefault="005A68A6"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w:t>
            </w:r>
          </w:p>
        </w:tc>
        <w:tc>
          <w:tcPr>
            <w:tcW w:w="139" w:type="pct"/>
            <w:vAlign w:val="center"/>
          </w:tcPr>
          <w:p w14:paraId="325724B2" w14:textId="083B72D3" w:rsidR="005A68A6" w:rsidRPr="007E778F" w:rsidRDefault="005A68A6"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243" w:type="pct"/>
            <w:vAlign w:val="center"/>
          </w:tcPr>
          <w:p w14:paraId="54278D51" w14:textId="6BB0C903" w:rsidR="005A68A6" w:rsidRPr="007E778F" w:rsidRDefault="005A68A6"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w:t>
            </w:r>
          </w:p>
        </w:tc>
        <w:tc>
          <w:tcPr>
            <w:tcW w:w="118" w:type="pct"/>
            <w:vAlign w:val="center"/>
          </w:tcPr>
          <w:p w14:paraId="0C652F4D" w14:textId="628C3697"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278</w:t>
            </w:r>
          </w:p>
        </w:tc>
        <w:tc>
          <w:tcPr>
            <w:tcW w:w="135" w:type="pct"/>
            <w:vAlign w:val="center"/>
          </w:tcPr>
          <w:p w14:paraId="20D44C68" w14:textId="2B489AD1"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85.3</w:t>
            </w:r>
          </w:p>
        </w:tc>
        <w:tc>
          <w:tcPr>
            <w:tcW w:w="135" w:type="pct"/>
            <w:vAlign w:val="center"/>
          </w:tcPr>
          <w:p w14:paraId="0B83E470" w14:textId="1DD386B8"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41.9</w:t>
            </w:r>
          </w:p>
        </w:tc>
        <w:tc>
          <w:tcPr>
            <w:tcW w:w="135" w:type="pct"/>
            <w:vAlign w:val="center"/>
          </w:tcPr>
          <w:p w14:paraId="5DDF4812" w14:textId="524100A6"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23.1</w:t>
            </w:r>
          </w:p>
        </w:tc>
        <w:tc>
          <w:tcPr>
            <w:tcW w:w="135" w:type="pct"/>
            <w:vAlign w:val="center"/>
          </w:tcPr>
          <w:p w14:paraId="59DCBAE5" w14:textId="289550FF"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19.3</w:t>
            </w:r>
          </w:p>
        </w:tc>
        <w:tc>
          <w:tcPr>
            <w:tcW w:w="135" w:type="pct"/>
            <w:vAlign w:val="center"/>
          </w:tcPr>
          <w:p w14:paraId="03FAD3AA" w14:textId="7721577A"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22.1</w:t>
            </w:r>
          </w:p>
        </w:tc>
        <w:tc>
          <w:tcPr>
            <w:tcW w:w="167" w:type="pct"/>
            <w:vAlign w:val="center"/>
          </w:tcPr>
          <w:p w14:paraId="4896C685" w14:textId="5525D06A"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w:t>
            </w:r>
          </w:p>
        </w:tc>
        <w:tc>
          <w:tcPr>
            <w:tcW w:w="167" w:type="pct"/>
            <w:vAlign w:val="center"/>
          </w:tcPr>
          <w:p w14:paraId="5B4ACB22" w14:textId="11BD5AEC"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w:t>
            </w:r>
          </w:p>
        </w:tc>
        <w:tc>
          <w:tcPr>
            <w:tcW w:w="167" w:type="pct"/>
            <w:vAlign w:val="center"/>
          </w:tcPr>
          <w:p w14:paraId="5F5FC9FE" w14:textId="2855B8F2"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w:t>
            </w:r>
          </w:p>
        </w:tc>
      </w:tr>
      <w:tr w:rsidR="005A68A6" w:rsidRPr="001303D6" w14:paraId="528D9377" w14:textId="77777777" w:rsidTr="005A68A6">
        <w:trPr>
          <w:trHeight w:val="330"/>
        </w:trPr>
        <w:tc>
          <w:tcPr>
            <w:cnfStyle w:val="001000000000" w:firstRow="0" w:lastRow="0" w:firstColumn="1" w:lastColumn="0" w:oddVBand="0" w:evenVBand="0" w:oddHBand="0" w:evenHBand="0" w:firstRowFirstColumn="0" w:firstRowLastColumn="0" w:lastRowFirstColumn="0" w:lastRowLastColumn="0"/>
            <w:tcW w:w="351" w:type="pct"/>
            <w:vMerge/>
            <w:vAlign w:val="center"/>
          </w:tcPr>
          <w:p w14:paraId="43772573" w14:textId="77777777" w:rsidR="005A68A6" w:rsidRPr="000C5930" w:rsidRDefault="005A68A6" w:rsidP="005A68A6">
            <w:pPr>
              <w:jc w:val="center"/>
              <w:rPr>
                <w:rFonts w:eastAsia="Calibri" w:cstheme="minorHAnsi"/>
                <w:sz w:val="18"/>
                <w:szCs w:val="18"/>
              </w:rPr>
            </w:pPr>
          </w:p>
        </w:tc>
        <w:tc>
          <w:tcPr>
            <w:tcW w:w="786" w:type="pct"/>
            <w:vMerge/>
            <w:vAlign w:val="center"/>
          </w:tcPr>
          <w:p w14:paraId="4CE49125" w14:textId="77777777" w:rsidR="005A68A6" w:rsidRDefault="005A68A6"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00" w:type="pct"/>
            <w:vMerge/>
            <w:vAlign w:val="center"/>
          </w:tcPr>
          <w:p w14:paraId="77A10ADC" w14:textId="77777777" w:rsidR="005A68A6" w:rsidRPr="005A68A6" w:rsidRDefault="005A68A6" w:rsidP="005A68A6">
            <w:pP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71" w:type="pct"/>
            <w:vMerge/>
            <w:vAlign w:val="center"/>
          </w:tcPr>
          <w:p w14:paraId="782A92A1" w14:textId="77777777" w:rsidR="005A68A6" w:rsidRPr="007E778F" w:rsidRDefault="005A68A6"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161" w:type="pct"/>
            <w:vMerge/>
            <w:vAlign w:val="center"/>
          </w:tcPr>
          <w:p w14:paraId="14481C4F" w14:textId="77777777" w:rsidR="005A68A6" w:rsidRPr="007E778F" w:rsidRDefault="005A68A6"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p>
        </w:tc>
        <w:tc>
          <w:tcPr>
            <w:tcW w:w="778" w:type="pct"/>
            <w:vAlign w:val="center"/>
          </w:tcPr>
          <w:p w14:paraId="2D72B2E1" w14:textId="43DEE857" w:rsidR="005A68A6" w:rsidRPr="007E778F" w:rsidRDefault="005A68A6"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Erenumab</w:t>
            </w:r>
          </w:p>
        </w:tc>
        <w:tc>
          <w:tcPr>
            <w:tcW w:w="379" w:type="pct"/>
            <w:vAlign w:val="center"/>
          </w:tcPr>
          <w:p w14:paraId="244533B6" w14:textId="67433974" w:rsidR="005A68A6" w:rsidRPr="007E778F" w:rsidRDefault="005A68A6"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70 MG</w:t>
            </w:r>
          </w:p>
        </w:tc>
        <w:tc>
          <w:tcPr>
            <w:tcW w:w="139" w:type="pct"/>
            <w:vAlign w:val="center"/>
          </w:tcPr>
          <w:p w14:paraId="0DDD9C05" w14:textId="781C796A" w:rsidR="005A68A6" w:rsidRPr="007E778F" w:rsidRDefault="005A68A6"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SC</w:t>
            </w:r>
          </w:p>
        </w:tc>
        <w:tc>
          <w:tcPr>
            <w:tcW w:w="243" w:type="pct"/>
            <w:vAlign w:val="center"/>
          </w:tcPr>
          <w:p w14:paraId="09B72990" w14:textId="776AC520" w:rsidR="005A68A6" w:rsidRPr="007E778F" w:rsidRDefault="005A68A6"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7E778F">
              <w:rPr>
                <w:rFonts w:eastAsia="Calibri" w:cstheme="minorHAnsi"/>
                <w:sz w:val="18"/>
                <w:szCs w:val="18"/>
              </w:rPr>
              <w:t>Monthly</w:t>
            </w:r>
          </w:p>
        </w:tc>
        <w:tc>
          <w:tcPr>
            <w:tcW w:w="118" w:type="pct"/>
            <w:vAlign w:val="center"/>
          </w:tcPr>
          <w:p w14:paraId="52C22033" w14:textId="69D60DED"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279</w:t>
            </w:r>
          </w:p>
        </w:tc>
        <w:tc>
          <w:tcPr>
            <w:tcW w:w="135" w:type="pct"/>
            <w:vAlign w:val="center"/>
          </w:tcPr>
          <w:p w14:paraId="7C5A28C7" w14:textId="19679BEF"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77.8</w:t>
            </w:r>
          </w:p>
        </w:tc>
        <w:tc>
          <w:tcPr>
            <w:tcW w:w="135" w:type="pct"/>
            <w:vAlign w:val="center"/>
          </w:tcPr>
          <w:p w14:paraId="29DB5BD8" w14:textId="4BE8DFE4"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41.4</w:t>
            </w:r>
          </w:p>
        </w:tc>
        <w:tc>
          <w:tcPr>
            <w:tcW w:w="135" w:type="pct"/>
            <w:vAlign w:val="center"/>
          </w:tcPr>
          <w:p w14:paraId="5F5F498E" w14:textId="09E4A1E2"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23.3</w:t>
            </w:r>
          </w:p>
        </w:tc>
        <w:tc>
          <w:tcPr>
            <w:tcW w:w="135" w:type="pct"/>
            <w:vAlign w:val="center"/>
          </w:tcPr>
          <w:p w14:paraId="6595AF7D" w14:textId="01585E10"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19.1</w:t>
            </w:r>
          </w:p>
        </w:tc>
        <w:tc>
          <w:tcPr>
            <w:tcW w:w="135" w:type="pct"/>
            <w:vAlign w:val="center"/>
          </w:tcPr>
          <w:p w14:paraId="3A7A459F" w14:textId="6DE6A04F"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21.7</w:t>
            </w:r>
          </w:p>
        </w:tc>
        <w:tc>
          <w:tcPr>
            <w:tcW w:w="167" w:type="pct"/>
            <w:vAlign w:val="center"/>
          </w:tcPr>
          <w:p w14:paraId="7FCDBE39" w14:textId="26B95E55"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w:t>
            </w:r>
          </w:p>
        </w:tc>
        <w:tc>
          <w:tcPr>
            <w:tcW w:w="167" w:type="pct"/>
            <w:vAlign w:val="center"/>
          </w:tcPr>
          <w:p w14:paraId="13078C44" w14:textId="0C577201"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w:t>
            </w:r>
          </w:p>
        </w:tc>
        <w:tc>
          <w:tcPr>
            <w:tcW w:w="167" w:type="pct"/>
            <w:vAlign w:val="center"/>
          </w:tcPr>
          <w:p w14:paraId="239CD469" w14:textId="7BA4F201" w:rsidR="005A68A6" w:rsidRPr="007E778F" w:rsidRDefault="00454A4B" w:rsidP="005A68A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w:t>
            </w:r>
          </w:p>
        </w:tc>
      </w:tr>
    </w:tbl>
    <w:p w14:paraId="1A337891" w14:textId="77777777" w:rsidR="009642E2" w:rsidRDefault="006835A1" w:rsidP="009642E2">
      <w:pPr>
        <w:spacing w:after="0" w:line="240" w:lineRule="auto"/>
        <w:rPr>
          <w:rFonts w:eastAsia="Calibri" w:cstheme="minorHAnsi"/>
          <w:sz w:val="18"/>
          <w:szCs w:val="18"/>
        </w:rPr>
      </w:pPr>
      <w:r w:rsidRPr="00F942CD">
        <w:rPr>
          <w:rFonts w:eastAsia="Calibri" w:cstheme="minorHAnsi"/>
        </w:rPr>
        <w:t>*</w:t>
      </w:r>
      <w:r w:rsidRPr="00B41D2C">
        <w:rPr>
          <w:rFonts w:eastAsia="Calibri" w:cstheme="minorHAnsi"/>
          <w:sz w:val="18"/>
          <w:szCs w:val="18"/>
        </w:rPr>
        <w:t>The baseline values were not reported separately for PREEMPT1 and PREEMPT2</w:t>
      </w:r>
    </w:p>
    <w:p w14:paraId="68AC8261" w14:textId="33929A3A" w:rsidR="006835A1" w:rsidRPr="000024D0" w:rsidRDefault="006835A1" w:rsidP="009642E2">
      <w:pPr>
        <w:spacing w:after="0" w:line="240" w:lineRule="auto"/>
        <w:rPr>
          <w:rFonts w:eastAsia="Calibri" w:cstheme="minorHAnsi"/>
          <w:sz w:val="18"/>
          <w:szCs w:val="18"/>
        </w:rPr>
      </w:pPr>
      <w:r w:rsidRPr="00B41D2C">
        <w:rPr>
          <w:rFonts w:eastAsia="Calibri" w:cstheme="minorHAnsi"/>
          <w:sz w:val="18"/>
          <w:szCs w:val="18"/>
        </w:rPr>
        <w:t xml:space="preserve">Abbreviations: BMI: Body Mass Index; DB: Double Blind; ICHD-2: International Classification of Headache Disorders version 2; ICHD-3: The International Classification of Headache Disorders, 3rd edition; </w:t>
      </w:r>
      <w:r>
        <w:rPr>
          <w:rFonts w:eastAsia="Calibri" w:cstheme="minorHAnsi"/>
          <w:sz w:val="18"/>
          <w:szCs w:val="18"/>
        </w:rPr>
        <w:t xml:space="preserve">IM: Intramuscular; </w:t>
      </w:r>
      <w:r w:rsidRPr="00B41D2C">
        <w:rPr>
          <w:rFonts w:eastAsia="Calibri" w:cstheme="minorHAnsi"/>
          <w:sz w:val="18"/>
          <w:szCs w:val="18"/>
        </w:rPr>
        <w:t xml:space="preserve">ITT: Intention-to-Treat; IV, Intravenous; MHD: Monthly Headache Days; MMD: Monthly Migraine Days; MSQ-EF: Migraine Specific Quality of Life - Emotional Function; MSQ-PR: Migraine Specific Quality of Life - Preventative Role; MSQ-RR: Migraine Specific Quality of Life - Restrictive Role; OL: Open label; </w:t>
      </w:r>
      <w:r w:rsidRPr="000024D0">
        <w:rPr>
          <w:rFonts w:eastAsia="Calibri" w:cstheme="minorHAnsi"/>
          <w:sz w:val="18"/>
          <w:szCs w:val="18"/>
        </w:rPr>
        <w:t xml:space="preserve">PREEMPT: </w:t>
      </w:r>
      <w:r w:rsidRPr="000024D0">
        <w:rPr>
          <w:rFonts w:cstheme="minorHAnsi"/>
          <w:color w:val="000000"/>
          <w:sz w:val="18"/>
          <w:szCs w:val="18"/>
        </w:rPr>
        <w:t xml:space="preserve">Participants in The Phase III REsearch Evaluating Migraine Prophylaxis Therapy; </w:t>
      </w:r>
      <w:r w:rsidRPr="000024D0">
        <w:rPr>
          <w:rFonts w:eastAsia="Calibri" w:cstheme="minorHAnsi"/>
          <w:sz w:val="18"/>
          <w:szCs w:val="18"/>
        </w:rPr>
        <w:t>SC, Subcutaneous.</w:t>
      </w:r>
    </w:p>
    <w:p w14:paraId="03317825" w14:textId="3D12BD99" w:rsidR="006835A1" w:rsidRDefault="006835A1"/>
    <w:p w14:paraId="2907B3F5" w14:textId="1D198B4B" w:rsidR="006B2281" w:rsidRDefault="006B2281" w:rsidP="006B2281">
      <w:pPr>
        <w:pStyle w:val="Caption"/>
        <w:keepNext/>
      </w:pPr>
      <w:r>
        <w:lastRenderedPageBreak/>
        <w:t>Appendix 4: Baseline characteristics of the 1</w:t>
      </w:r>
      <w:r w:rsidR="00F95B69">
        <w:t>2</w:t>
      </w:r>
      <w:r>
        <w:t xml:space="preserve"> RCTs presented in 5</w:t>
      </w:r>
      <w:r w:rsidR="00F95B69">
        <w:t>5</w:t>
      </w:r>
      <w:r>
        <w:t xml:space="preserve"> included studies- part 2</w:t>
      </w:r>
    </w:p>
    <w:tbl>
      <w:tblPr>
        <w:tblStyle w:val="TableGrid"/>
        <w:tblW w:w="5000" w:type="pct"/>
        <w:tblLook w:val="04A0" w:firstRow="1" w:lastRow="0" w:firstColumn="1" w:lastColumn="0" w:noHBand="0" w:noVBand="1"/>
      </w:tblPr>
      <w:tblGrid>
        <w:gridCol w:w="1182"/>
        <w:gridCol w:w="2121"/>
        <w:gridCol w:w="2427"/>
        <w:gridCol w:w="2427"/>
        <w:gridCol w:w="3825"/>
        <w:gridCol w:w="2194"/>
      </w:tblGrid>
      <w:tr w:rsidR="00C34A1E" w:rsidRPr="006B2281" w14:paraId="1DD3BBD1" w14:textId="77777777" w:rsidTr="00665ECD">
        <w:trPr>
          <w:cantSplit/>
          <w:trHeight w:val="510"/>
          <w:tblHeader/>
        </w:trPr>
        <w:tc>
          <w:tcPr>
            <w:tcW w:w="417" w:type="pct"/>
            <w:vAlign w:val="center"/>
          </w:tcPr>
          <w:p w14:paraId="2E18ADA8" w14:textId="77777777" w:rsidR="00C34A1E" w:rsidRPr="006B2281" w:rsidRDefault="00C34A1E" w:rsidP="006B2281">
            <w:pPr>
              <w:jc w:val="center"/>
              <w:rPr>
                <w:rFonts w:ascii="Calibri" w:eastAsia="Calibri" w:hAnsi="Calibri" w:cs="Calibri"/>
                <w:sz w:val="18"/>
                <w:szCs w:val="18"/>
                <w:lang w:val="en-US"/>
              </w:rPr>
            </w:pPr>
            <w:bookmarkStart w:id="10" w:name="_Hlk113911426"/>
            <w:r w:rsidRPr="006B2281">
              <w:rPr>
                <w:rFonts w:ascii="Calibri" w:eastAsia="Calibri" w:hAnsi="Calibri" w:cs="Calibri"/>
                <w:b/>
                <w:bCs/>
                <w:sz w:val="18"/>
                <w:szCs w:val="18"/>
                <w:lang w:val="en-US"/>
              </w:rPr>
              <w:t>First author, year/ Country</w:t>
            </w:r>
          </w:p>
        </w:tc>
        <w:tc>
          <w:tcPr>
            <w:tcW w:w="748" w:type="pct"/>
            <w:vAlign w:val="center"/>
          </w:tcPr>
          <w:p w14:paraId="03CAD2B0" w14:textId="77777777" w:rsidR="00C34A1E" w:rsidRPr="006B2281" w:rsidRDefault="00C34A1E" w:rsidP="006B2281">
            <w:pPr>
              <w:jc w:val="center"/>
              <w:rPr>
                <w:rFonts w:ascii="Calibri" w:eastAsia="Calibri" w:hAnsi="Calibri" w:cs="Calibri"/>
                <w:sz w:val="18"/>
                <w:szCs w:val="18"/>
                <w:lang w:val="en-US"/>
              </w:rPr>
            </w:pPr>
            <w:r w:rsidRPr="006B2281">
              <w:rPr>
                <w:rFonts w:ascii="Calibri" w:eastAsia="Calibri" w:hAnsi="Calibri" w:cs="Calibri"/>
                <w:b/>
                <w:bCs/>
                <w:sz w:val="18"/>
                <w:szCs w:val="18"/>
                <w:lang w:val="en-US"/>
              </w:rPr>
              <w:t>Purpose/ Study design and Date</w:t>
            </w:r>
          </w:p>
        </w:tc>
        <w:tc>
          <w:tcPr>
            <w:tcW w:w="856" w:type="pct"/>
          </w:tcPr>
          <w:p w14:paraId="38DD5CB2" w14:textId="5B75229A" w:rsidR="00C34A1E" w:rsidRPr="006B2281" w:rsidRDefault="00580096" w:rsidP="006B2281">
            <w:pPr>
              <w:jc w:val="center"/>
              <w:rPr>
                <w:rFonts w:ascii="Calibri" w:eastAsia="Calibri" w:hAnsi="Calibri" w:cs="Calibri"/>
                <w:b/>
                <w:bCs/>
                <w:sz w:val="18"/>
                <w:szCs w:val="18"/>
                <w:lang w:val="en-US"/>
              </w:rPr>
            </w:pPr>
            <w:r>
              <w:rPr>
                <w:rFonts w:ascii="Calibri" w:eastAsia="Calibri" w:hAnsi="Calibri" w:cs="Calibri"/>
                <w:b/>
                <w:bCs/>
                <w:sz w:val="18"/>
                <w:szCs w:val="18"/>
                <w:lang w:val="en-US"/>
              </w:rPr>
              <w:t>Sample size justifications</w:t>
            </w:r>
          </w:p>
        </w:tc>
        <w:tc>
          <w:tcPr>
            <w:tcW w:w="856" w:type="pct"/>
            <w:vAlign w:val="center"/>
          </w:tcPr>
          <w:p w14:paraId="17015673" w14:textId="0EA05B5B" w:rsidR="00C34A1E" w:rsidRPr="006B2281" w:rsidRDefault="00C34A1E" w:rsidP="006B2281">
            <w:pPr>
              <w:jc w:val="center"/>
              <w:rPr>
                <w:rFonts w:ascii="Calibri" w:eastAsia="Calibri" w:hAnsi="Calibri" w:cs="Calibri"/>
                <w:sz w:val="18"/>
                <w:szCs w:val="18"/>
                <w:lang w:val="en-US"/>
              </w:rPr>
            </w:pPr>
            <w:r w:rsidRPr="006B2281">
              <w:rPr>
                <w:rFonts w:ascii="Calibri" w:eastAsia="Calibri" w:hAnsi="Calibri" w:cs="Calibri"/>
                <w:b/>
                <w:bCs/>
                <w:sz w:val="18"/>
                <w:szCs w:val="18"/>
                <w:lang w:val="en-US"/>
              </w:rPr>
              <w:t>Key inclusion criteria</w:t>
            </w:r>
          </w:p>
        </w:tc>
        <w:tc>
          <w:tcPr>
            <w:tcW w:w="1349" w:type="pct"/>
            <w:vAlign w:val="center"/>
          </w:tcPr>
          <w:p w14:paraId="295E2935" w14:textId="77777777" w:rsidR="00C34A1E" w:rsidRPr="006B2281" w:rsidRDefault="00C34A1E" w:rsidP="006B2281">
            <w:pPr>
              <w:jc w:val="center"/>
              <w:rPr>
                <w:rFonts w:ascii="Calibri" w:eastAsia="Calibri" w:hAnsi="Calibri" w:cs="Calibri"/>
                <w:sz w:val="18"/>
                <w:szCs w:val="18"/>
                <w:lang w:val="en-US"/>
              </w:rPr>
            </w:pPr>
            <w:r w:rsidRPr="006B2281">
              <w:rPr>
                <w:rFonts w:ascii="Calibri" w:eastAsia="Calibri" w:hAnsi="Calibri" w:cs="Calibri"/>
                <w:b/>
                <w:bCs/>
                <w:sz w:val="18"/>
                <w:szCs w:val="18"/>
                <w:lang w:val="en-US"/>
              </w:rPr>
              <w:t>Key exclusion criteria</w:t>
            </w:r>
          </w:p>
        </w:tc>
        <w:tc>
          <w:tcPr>
            <w:tcW w:w="774" w:type="pct"/>
            <w:vAlign w:val="center"/>
          </w:tcPr>
          <w:p w14:paraId="1C5FAF45" w14:textId="77777777" w:rsidR="00C34A1E" w:rsidRPr="006B2281" w:rsidRDefault="00C34A1E" w:rsidP="006B2281">
            <w:pPr>
              <w:jc w:val="center"/>
              <w:rPr>
                <w:rFonts w:ascii="Calibri" w:eastAsia="Calibri" w:hAnsi="Calibri" w:cs="Calibri"/>
                <w:b/>
                <w:bCs/>
                <w:sz w:val="18"/>
                <w:szCs w:val="18"/>
                <w:lang w:val="en-US"/>
              </w:rPr>
            </w:pPr>
            <w:r w:rsidRPr="006B2281">
              <w:rPr>
                <w:rFonts w:ascii="Calibri" w:eastAsia="Calibri" w:hAnsi="Calibri" w:cs="Calibri"/>
                <w:b/>
                <w:bCs/>
                <w:sz w:val="18"/>
                <w:szCs w:val="18"/>
                <w:lang w:val="en-US"/>
              </w:rPr>
              <w:t>Conclusion</w:t>
            </w:r>
          </w:p>
        </w:tc>
      </w:tr>
      <w:tr w:rsidR="00665ECD" w:rsidRPr="006B2281" w14:paraId="0A2109BF" w14:textId="77777777" w:rsidTr="001E3F71">
        <w:trPr>
          <w:cantSplit/>
          <w:trHeight w:val="1134"/>
        </w:trPr>
        <w:tc>
          <w:tcPr>
            <w:tcW w:w="417" w:type="pct"/>
          </w:tcPr>
          <w:p w14:paraId="697A801D"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t>Author, year:</w:t>
            </w:r>
            <w:r w:rsidRPr="006B2281">
              <w:rPr>
                <w:rFonts w:ascii="Calibri" w:eastAsia="Calibri" w:hAnsi="Calibri" w:cs="Calibri"/>
                <w:noProof/>
                <w:sz w:val="18"/>
                <w:szCs w:val="18"/>
                <w:lang w:val="en-US"/>
              </w:rPr>
              <w:t xml:space="preserve"> </w:t>
            </w:r>
          </w:p>
          <w:p w14:paraId="1B91D43F" w14:textId="3541CDE9" w:rsidR="00665ECD" w:rsidRPr="006B2281" w:rsidRDefault="00665ECD" w:rsidP="00665ECD">
            <w:pPr>
              <w:rPr>
                <w:rFonts w:ascii="Calibri" w:eastAsia="Calibri" w:hAnsi="Calibri" w:cs="Calibri"/>
                <w:sz w:val="18"/>
                <w:szCs w:val="18"/>
              </w:rPr>
            </w:pPr>
            <w:r w:rsidRPr="006B2281">
              <w:rPr>
                <w:rFonts w:ascii="Calibri" w:eastAsia="Calibri" w:hAnsi="Calibri" w:cs="Calibri"/>
                <w:sz w:val="18"/>
                <w:szCs w:val="18"/>
              </w:rPr>
              <w:t>Aurora, 2010</w:t>
            </w:r>
            <w:r w:rsidRPr="006B2281">
              <w:rPr>
                <w:rFonts w:ascii="Calibri" w:eastAsia="Calibri" w:hAnsi="Calibri" w:cs="Calibri"/>
                <w:sz w:val="18"/>
                <w:szCs w:val="18"/>
              </w:rPr>
              <w:fldChar w:fldCharType="begin"/>
            </w:r>
            <w:r w:rsidR="008D698C">
              <w:rPr>
                <w:rFonts w:ascii="Calibri" w:eastAsia="Calibri" w:hAnsi="Calibri" w:cs="Calibri"/>
                <w:sz w:val="18"/>
                <w:szCs w:val="18"/>
              </w:rPr>
              <w:instrText xml:space="preserve"> ADDIN EN.CITE &lt;EndNote&gt;&lt;Cite&gt;&lt;Author&gt;Aurora&lt;/Author&gt;&lt;Year&gt;2010&lt;/Year&gt;&lt;RecNum&gt;31&lt;/RecNum&gt;&lt;DisplayText&gt;&lt;style face="superscript"&gt;1&lt;/style&gt;&lt;/DisplayText&gt;&lt;record&gt;&lt;rec-number&gt;31&lt;/rec-number&gt;&lt;foreign-keys&gt;&lt;key app="EN" db-id="fsz20seeavzsfie29wsx20a60watx2ffv2wz" timestamp="1662393773"&gt;31&lt;/key&gt;&lt;/foreign-keys&gt;&lt;ref-type name="Journal Article"&gt;17&lt;/ref-type&gt;&lt;contributors&gt;&lt;authors&gt;&lt;author&gt;Aurora, SK&lt;/author&gt;&lt;author&gt;Dodick, DW&lt;/author&gt;&lt;author&gt;Turkel, CC&lt;/author&gt;&lt;author&gt;DeGryse, RE&lt;/author&gt;&lt;author&gt;Silberstein, SD&lt;/author&gt;&lt;author&gt;Lipton, RB&lt;/author&gt;&lt;author&gt;Diener, HC&lt;/author&gt;&lt;author&gt;Brin, MF&lt;/author&gt;&lt;/authors&gt;&lt;/contributors&gt;&lt;titles&gt;&lt;title&gt;OnabotulinumtoxinA for treatment of chronic migraine: results from the double-blind, randomized, placebo-controlled phase of the PREEMPT 1 trial&lt;/title&gt;&lt;secondary-title&gt;Cephalalgia&lt;/secondary-title&gt;&lt;/titles&gt;&lt;periodical&gt;&lt;full-title&gt;Cephalalgia&lt;/full-title&gt;&lt;/periodical&gt;&lt;pages&gt;793-803&lt;/pages&gt;&lt;volume&gt;30&lt;/volume&gt;&lt;number&gt;7&lt;/number&gt;&lt;dates&gt;&lt;year&gt;2010&lt;/year&gt;&lt;/dates&gt;&lt;isbn&gt;0333-1024&lt;/isbn&gt;&lt;label&gt;31&lt;/label&gt;&lt;urls&gt;&lt;/urls&gt;&lt;/record&gt;&lt;/Cite&gt;&lt;/EndNote&gt;</w:instrText>
            </w:r>
            <w:r w:rsidRPr="006B2281">
              <w:rPr>
                <w:rFonts w:ascii="Calibri" w:eastAsia="Calibri" w:hAnsi="Calibri" w:cs="Calibri"/>
                <w:sz w:val="18"/>
                <w:szCs w:val="18"/>
              </w:rPr>
              <w:fldChar w:fldCharType="separate"/>
            </w:r>
            <w:r w:rsidR="008D698C" w:rsidRPr="008D698C">
              <w:rPr>
                <w:rFonts w:ascii="Calibri" w:eastAsia="Calibri" w:hAnsi="Calibri" w:cs="Calibri"/>
                <w:noProof/>
                <w:sz w:val="18"/>
                <w:szCs w:val="18"/>
                <w:vertAlign w:val="superscript"/>
              </w:rPr>
              <w:t>1</w:t>
            </w:r>
            <w:r w:rsidRPr="006B2281">
              <w:rPr>
                <w:rFonts w:ascii="Calibri" w:eastAsia="Calibri" w:hAnsi="Calibri" w:cs="Calibri"/>
                <w:sz w:val="18"/>
                <w:szCs w:val="18"/>
              </w:rPr>
              <w:fldChar w:fldCharType="end"/>
            </w:r>
          </w:p>
          <w:p w14:paraId="44882417" w14:textId="77777777" w:rsidR="00665ECD" w:rsidRPr="006B2281" w:rsidRDefault="00665ECD" w:rsidP="00665ECD">
            <w:pPr>
              <w:rPr>
                <w:rFonts w:ascii="Calibri" w:eastAsia="Calibri" w:hAnsi="Calibri" w:cs="Calibri"/>
                <w:sz w:val="18"/>
                <w:szCs w:val="18"/>
              </w:rPr>
            </w:pPr>
          </w:p>
          <w:p w14:paraId="35DD70D4"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Country:</w:t>
            </w:r>
          </w:p>
          <w:p w14:paraId="03A30454" w14:textId="0B3E5321"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sz w:val="18"/>
                <w:szCs w:val="18"/>
              </w:rPr>
              <w:t>56 North American sites</w:t>
            </w:r>
          </w:p>
        </w:tc>
        <w:tc>
          <w:tcPr>
            <w:tcW w:w="748" w:type="pct"/>
          </w:tcPr>
          <w:p w14:paraId="7107D1DB"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Purpose:</w:t>
            </w:r>
          </w:p>
          <w:p w14:paraId="540AB997" w14:textId="6FB61490" w:rsidR="00665ECD" w:rsidRPr="006B2281" w:rsidRDefault="00665ECD" w:rsidP="00665ECD">
            <w:pPr>
              <w:rPr>
                <w:rFonts w:ascii="Calibri" w:eastAsia="Calibri" w:hAnsi="Calibri" w:cs="Calibri"/>
                <w:noProof/>
                <w:sz w:val="18"/>
                <w:szCs w:val="18"/>
                <w:lang w:val="en-US"/>
              </w:rPr>
            </w:pPr>
            <w:proofErr w:type="gramStart"/>
            <w:r w:rsidRPr="006B2281">
              <w:rPr>
                <w:rFonts w:ascii="Calibri" w:eastAsia="Calibri" w:hAnsi="Calibri" w:cs="Calibri"/>
                <w:sz w:val="18"/>
                <w:szCs w:val="18"/>
              </w:rPr>
              <w:t>to</w:t>
            </w:r>
            <w:proofErr w:type="gramEnd"/>
            <w:r w:rsidRPr="006B2281">
              <w:rPr>
                <w:rFonts w:ascii="Calibri" w:eastAsia="Calibri" w:hAnsi="Calibri" w:cs="Calibri"/>
                <w:sz w:val="18"/>
                <w:szCs w:val="18"/>
              </w:rPr>
              <w:t xml:space="preserve"> assess efficacy, safety and tolerability of onabotulinumtoxinA (</w:t>
            </w:r>
            <w:r w:rsidR="00AE38D5">
              <w:rPr>
                <w:rFonts w:ascii="Calibri" w:eastAsia="Calibri" w:hAnsi="Calibri" w:cs="Calibri"/>
                <w:sz w:val="18"/>
                <w:szCs w:val="18"/>
              </w:rPr>
              <w:t>BTA</w:t>
            </w:r>
            <w:r w:rsidRPr="006B2281">
              <w:rPr>
                <w:rFonts w:ascii="Calibri" w:eastAsia="Calibri" w:hAnsi="Calibri" w:cs="Calibri"/>
                <w:sz w:val="18"/>
                <w:szCs w:val="18"/>
              </w:rPr>
              <w:t>) as headache prophylaxis in adults with chronic migraine.</w:t>
            </w:r>
          </w:p>
          <w:p w14:paraId="3A7EB996" w14:textId="77777777" w:rsidR="00665ECD" w:rsidRPr="006B2281" w:rsidRDefault="00665ECD" w:rsidP="00665ECD">
            <w:pPr>
              <w:rPr>
                <w:rFonts w:ascii="Calibri" w:eastAsia="Calibri" w:hAnsi="Calibri" w:cs="Calibri"/>
                <w:noProof/>
                <w:sz w:val="18"/>
                <w:szCs w:val="18"/>
                <w:lang w:val="en-US"/>
              </w:rPr>
            </w:pPr>
          </w:p>
          <w:p w14:paraId="2AA28044"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t xml:space="preserve">Study design: </w:t>
            </w:r>
          </w:p>
          <w:p w14:paraId="371F8333"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sz w:val="18"/>
                <w:szCs w:val="18"/>
              </w:rPr>
              <w:t>phase 3 study, with a 24-week, double-blind, parallel-group, placebo-controlled phase followed by a 32-week, open-label phase</w:t>
            </w:r>
          </w:p>
          <w:p w14:paraId="4EF914D7" w14:textId="77777777" w:rsidR="00665ECD" w:rsidRPr="006B2281" w:rsidRDefault="00665ECD" w:rsidP="00665ECD">
            <w:pPr>
              <w:rPr>
                <w:rFonts w:ascii="Calibri" w:eastAsia="Calibri" w:hAnsi="Calibri" w:cs="Calibri"/>
                <w:noProof/>
                <w:sz w:val="18"/>
                <w:szCs w:val="18"/>
                <w:lang w:val="en-US"/>
              </w:rPr>
            </w:pPr>
          </w:p>
          <w:p w14:paraId="44A169BA"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 xml:space="preserve">Date: </w:t>
            </w:r>
          </w:p>
          <w:p w14:paraId="1FE9BE38" w14:textId="7F61D471"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sz w:val="18"/>
                <w:szCs w:val="18"/>
              </w:rPr>
              <w:t>23 January 2006 to 16 July 2008</w:t>
            </w:r>
          </w:p>
        </w:tc>
        <w:tc>
          <w:tcPr>
            <w:tcW w:w="856" w:type="pct"/>
          </w:tcPr>
          <w:p w14:paraId="671FE504" w14:textId="77777777" w:rsidR="00665ECD" w:rsidRPr="00644264" w:rsidRDefault="00665ECD" w:rsidP="00665ECD">
            <w:pPr>
              <w:numPr>
                <w:ilvl w:val="0"/>
                <w:numId w:val="14"/>
              </w:numPr>
              <w:tabs>
                <w:tab w:val="left" w:pos="182"/>
              </w:tabs>
              <w:ind w:left="40" w:firstLine="0"/>
              <w:contextualSpacing/>
              <w:rPr>
                <w:rFonts w:ascii="Calibri" w:eastAsia="Calibri" w:hAnsi="Calibri" w:cs="Calibri"/>
                <w:noProof/>
                <w:sz w:val="18"/>
                <w:szCs w:val="18"/>
                <w:lang w:val="en-US"/>
              </w:rPr>
            </w:pPr>
            <w:r w:rsidRPr="00644264">
              <w:rPr>
                <w:rFonts w:ascii="Calibri" w:eastAsia="Calibri" w:hAnsi="Calibri" w:cs="Calibri"/>
                <w:noProof/>
                <w:sz w:val="18"/>
                <w:szCs w:val="18"/>
                <w:lang w:val="en-US"/>
              </w:rPr>
              <w:t>Planned enrollment: 650 patients</w:t>
            </w:r>
            <w:r>
              <w:rPr>
                <w:rFonts w:ascii="Calibri" w:eastAsia="Calibri" w:hAnsi="Calibri" w:cs="Calibri"/>
                <w:noProof/>
                <w:sz w:val="18"/>
                <w:szCs w:val="18"/>
                <w:lang w:val="en-US"/>
              </w:rPr>
              <w:t>.</w:t>
            </w:r>
          </w:p>
          <w:p w14:paraId="4DA1AEEE" w14:textId="77777777" w:rsidR="00665ECD" w:rsidRDefault="00665ECD" w:rsidP="00665ECD">
            <w:pPr>
              <w:numPr>
                <w:ilvl w:val="0"/>
                <w:numId w:val="14"/>
              </w:numPr>
              <w:tabs>
                <w:tab w:val="left" w:pos="182"/>
              </w:tabs>
              <w:ind w:left="40" w:firstLine="0"/>
              <w:contextualSpacing/>
              <w:rPr>
                <w:rFonts w:ascii="Calibri" w:eastAsia="Calibri" w:hAnsi="Calibri" w:cs="Calibri"/>
                <w:noProof/>
                <w:sz w:val="18"/>
                <w:szCs w:val="18"/>
                <w:lang w:val="en-US"/>
              </w:rPr>
            </w:pPr>
            <w:r w:rsidRPr="00644264">
              <w:rPr>
                <w:rFonts w:ascii="Calibri" w:eastAsia="Calibri" w:hAnsi="Calibri" w:cs="Calibri"/>
                <w:noProof/>
                <w:sz w:val="18"/>
                <w:szCs w:val="18"/>
                <w:lang w:val="en-US"/>
              </w:rPr>
              <w:t>Minimum retained sample size for headache episode frequency at week 24: n = 240 per group with SD of 5.5</w:t>
            </w:r>
          </w:p>
          <w:p w14:paraId="4EC0D08E" w14:textId="77777777" w:rsidR="00665ECD" w:rsidRDefault="00665ECD" w:rsidP="00665ECD">
            <w:pPr>
              <w:numPr>
                <w:ilvl w:val="0"/>
                <w:numId w:val="14"/>
              </w:numPr>
              <w:tabs>
                <w:tab w:val="left" w:pos="182"/>
              </w:tabs>
              <w:ind w:left="40" w:firstLine="0"/>
              <w:contextualSpacing/>
              <w:rPr>
                <w:rFonts w:ascii="Calibri" w:eastAsia="Calibri" w:hAnsi="Calibri" w:cs="Calibri"/>
                <w:noProof/>
                <w:sz w:val="18"/>
                <w:szCs w:val="18"/>
                <w:lang w:val="en-US"/>
              </w:rPr>
            </w:pPr>
            <w:r w:rsidRPr="00644264">
              <w:rPr>
                <w:rFonts w:ascii="Calibri" w:eastAsia="Calibri" w:hAnsi="Calibri" w:cs="Calibri"/>
                <w:noProof/>
                <w:sz w:val="18"/>
                <w:szCs w:val="18"/>
                <w:lang w:val="en-US"/>
              </w:rPr>
              <w:t>90% power to detect 1.75 between-group difference in mean change from baseline at week 24, using alpha = 0.05</w:t>
            </w:r>
          </w:p>
          <w:p w14:paraId="65332A8E" w14:textId="560DA73C" w:rsidR="00665ECD" w:rsidRDefault="00665ECD" w:rsidP="00665ECD">
            <w:pPr>
              <w:ind w:left="434"/>
              <w:contextualSpacing/>
              <w:rPr>
                <w:rFonts w:ascii="Calibri" w:eastAsia="Calibri" w:hAnsi="Calibri" w:cs="Calibri"/>
                <w:noProof/>
                <w:sz w:val="18"/>
                <w:szCs w:val="18"/>
                <w:lang w:val="en-US"/>
              </w:rPr>
            </w:pPr>
            <w:r w:rsidRPr="00644264">
              <w:rPr>
                <w:rFonts w:ascii="Calibri" w:eastAsia="Calibri" w:hAnsi="Calibri" w:cs="Calibri"/>
                <w:noProof/>
                <w:sz w:val="18"/>
                <w:szCs w:val="18"/>
                <w:lang w:val="en-US"/>
              </w:rPr>
              <w:t>Larger sample size planned for long-term safety evaluations (&gt;150 patients with 5 active treatment cycles) due to the study's long duration (56 weeks per patient)</w:t>
            </w:r>
          </w:p>
        </w:tc>
        <w:tc>
          <w:tcPr>
            <w:tcW w:w="856" w:type="pct"/>
          </w:tcPr>
          <w:p w14:paraId="64D585DB" w14:textId="77777777" w:rsidR="00665ECD" w:rsidRPr="006B2281" w:rsidRDefault="00665ECD" w:rsidP="00665ECD">
            <w:pPr>
              <w:numPr>
                <w:ilvl w:val="0"/>
                <w:numId w:val="14"/>
              </w:numPr>
              <w:ind w:left="502"/>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Adult (18 to 65 years) with a history of migraine according ICHD-II </w:t>
            </w:r>
          </w:p>
          <w:p w14:paraId="6E7D1353" w14:textId="77777777" w:rsidR="00665ECD" w:rsidRPr="006B2281" w:rsidRDefault="00665ECD" w:rsidP="00665ECD">
            <w:pPr>
              <w:numPr>
                <w:ilvl w:val="0"/>
                <w:numId w:val="14"/>
              </w:numPr>
              <w:ind w:left="502"/>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Randomized patients provided diary data on &gt;20 of 28 days during baseline. </w:t>
            </w:r>
          </w:p>
          <w:p w14:paraId="4F5B3F27" w14:textId="77777777" w:rsidR="00665ECD" w:rsidRPr="006B2281" w:rsidRDefault="00665ECD" w:rsidP="00665ECD">
            <w:pPr>
              <w:numPr>
                <w:ilvl w:val="0"/>
                <w:numId w:val="14"/>
              </w:numPr>
              <w:ind w:left="502"/>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Having &gt;15 headache days with each day consisting of &gt;4 hours of continuous headache and with &gt;50% of days being migraine or probable migraine days and &gt;4 distinct headache episodes, each lasting &gt;4 hours. </w:t>
            </w:r>
          </w:p>
          <w:p w14:paraId="76F47CF9" w14:textId="77777777" w:rsidR="00665ECD" w:rsidRPr="006B2281" w:rsidRDefault="00665ECD" w:rsidP="00665ECD">
            <w:pPr>
              <w:numPr>
                <w:ilvl w:val="0"/>
                <w:numId w:val="13"/>
              </w:numPr>
              <w:ind w:left="434"/>
              <w:contextualSpacing/>
              <w:rPr>
                <w:rFonts w:ascii="Calibri" w:eastAsia="Calibri" w:hAnsi="Calibri" w:cs="Calibri"/>
                <w:noProof/>
                <w:sz w:val="18"/>
                <w:szCs w:val="18"/>
                <w:lang w:val="en-US"/>
              </w:rPr>
            </w:pPr>
          </w:p>
        </w:tc>
        <w:tc>
          <w:tcPr>
            <w:tcW w:w="1349" w:type="pct"/>
          </w:tcPr>
          <w:p w14:paraId="7A929980" w14:textId="77777777" w:rsidR="00665ECD" w:rsidRPr="006B2281" w:rsidRDefault="00665ECD" w:rsidP="00665ECD">
            <w:pPr>
              <w:numPr>
                <w:ilvl w:val="0"/>
                <w:numId w:val="14"/>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Previous use of botulinum toxin of any serotype or immunization to any botulinum toxin serotype</w:t>
            </w:r>
          </w:p>
          <w:p w14:paraId="6517B7A3" w14:textId="2340414B" w:rsidR="00665ECD" w:rsidRPr="006B2281" w:rsidRDefault="00665ECD" w:rsidP="00665ECD">
            <w:pPr>
              <w:numPr>
                <w:ilvl w:val="0"/>
                <w:numId w:val="14"/>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Any medical condition that puts the patient at increased risk with exposure to </w:t>
            </w:r>
            <w:r w:rsidR="00AE38D5">
              <w:rPr>
                <w:rFonts w:ascii="Calibri" w:eastAsia="Calibri" w:hAnsi="Calibri" w:cs="Calibri"/>
                <w:noProof/>
                <w:sz w:val="18"/>
                <w:szCs w:val="18"/>
                <w:lang w:val="en-US"/>
              </w:rPr>
              <w:t>BTA</w:t>
            </w:r>
          </w:p>
          <w:p w14:paraId="59ECD708" w14:textId="77777777" w:rsidR="00665ECD" w:rsidRPr="006B2281" w:rsidRDefault="00665ECD" w:rsidP="00665ECD">
            <w:pPr>
              <w:numPr>
                <w:ilvl w:val="0"/>
                <w:numId w:val="14"/>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Diagnosis of complicated migraine, chronic tension-type headache, hypnic headache, hemicrania continua, new daily persistent headache</w:t>
            </w:r>
          </w:p>
          <w:p w14:paraId="6E02408B" w14:textId="77777777" w:rsidR="00665ECD" w:rsidRPr="006B2281" w:rsidRDefault="00665ECD" w:rsidP="00665ECD">
            <w:pPr>
              <w:numPr>
                <w:ilvl w:val="0"/>
                <w:numId w:val="14"/>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Use of prophylactic headache medication within 28 days prior to week -4</w:t>
            </w:r>
          </w:p>
          <w:p w14:paraId="67731140" w14:textId="77777777" w:rsidR="00665ECD" w:rsidRPr="006B2281" w:rsidRDefault="00665ECD" w:rsidP="00665ECD">
            <w:pPr>
              <w:numPr>
                <w:ilvl w:val="0"/>
                <w:numId w:val="14"/>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Unremitting headache lasting continuously throughout the 4-week baseline period</w:t>
            </w:r>
          </w:p>
          <w:p w14:paraId="4469AEB9" w14:textId="77777777" w:rsidR="00665ECD" w:rsidRPr="006B2281" w:rsidRDefault="00665ECD" w:rsidP="00665ECD">
            <w:pPr>
              <w:numPr>
                <w:ilvl w:val="0"/>
                <w:numId w:val="14"/>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Known or suspected Temporomandibular Disorders (TMD)</w:t>
            </w:r>
          </w:p>
          <w:p w14:paraId="2560CD52" w14:textId="77777777" w:rsidR="00665ECD" w:rsidRPr="006B2281" w:rsidRDefault="00665ECD" w:rsidP="00665ECD">
            <w:pPr>
              <w:numPr>
                <w:ilvl w:val="0"/>
                <w:numId w:val="14"/>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Diagnosis of fibromyalgia</w:t>
            </w:r>
          </w:p>
          <w:p w14:paraId="0DB17BAA" w14:textId="77777777" w:rsidR="00665ECD" w:rsidRPr="006B2281" w:rsidRDefault="00665ECD" w:rsidP="00665ECD">
            <w:pPr>
              <w:numPr>
                <w:ilvl w:val="0"/>
                <w:numId w:val="14"/>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Beck depression inventory score &gt;24 at week-4</w:t>
            </w:r>
          </w:p>
          <w:p w14:paraId="1C6B522C" w14:textId="0E35E4FF" w:rsidR="00665ECD" w:rsidRPr="00B848A8" w:rsidRDefault="00665ECD" w:rsidP="00B848A8">
            <w:pPr>
              <w:numPr>
                <w:ilvl w:val="0"/>
                <w:numId w:val="14"/>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Psychiatric problems that may have interfered with study participation</w:t>
            </w:r>
          </w:p>
        </w:tc>
        <w:tc>
          <w:tcPr>
            <w:tcW w:w="774" w:type="pct"/>
          </w:tcPr>
          <w:p w14:paraId="5C3C233F" w14:textId="20F2B574" w:rsidR="00665ECD" w:rsidRPr="006B2281" w:rsidRDefault="00665ECD" w:rsidP="00665ECD">
            <w:pPr>
              <w:rPr>
                <w:rFonts w:ascii="Calibri" w:eastAsia="Calibri" w:hAnsi="Calibri" w:cs="Calibri"/>
                <w:sz w:val="18"/>
                <w:szCs w:val="18"/>
                <w:lang w:val="en-US"/>
              </w:rPr>
            </w:pPr>
            <w:r w:rsidRPr="006B2281">
              <w:rPr>
                <w:rFonts w:ascii="Calibri" w:eastAsia="Calibri" w:hAnsi="Calibri" w:cs="Calibri"/>
                <w:sz w:val="18"/>
                <w:szCs w:val="18"/>
              </w:rPr>
              <w:t xml:space="preserve">There was no between-group difference for the primary endpoint, headache episodes. However, significant reductions from baseline were observed for </w:t>
            </w:r>
            <w:r w:rsidR="00AE38D5">
              <w:rPr>
                <w:rFonts w:ascii="Calibri" w:eastAsia="Calibri" w:hAnsi="Calibri" w:cs="Calibri"/>
                <w:sz w:val="18"/>
                <w:szCs w:val="18"/>
              </w:rPr>
              <w:t>BTA</w:t>
            </w:r>
            <w:r w:rsidRPr="006B2281">
              <w:rPr>
                <w:rFonts w:ascii="Calibri" w:eastAsia="Calibri" w:hAnsi="Calibri" w:cs="Calibri"/>
                <w:sz w:val="18"/>
                <w:szCs w:val="18"/>
              </w:rPr>
              <w:t xml:space="preserve"> for headache and migraine days, cumulative hours of headache-on-headache days and frequency of moderate/severe headache days, which in turn reduced the burden of illness in adults with disabling chronic migraine.</w:t>
            </w:r>
          </w:p>
        </w:tc>
      </w:tr>
      <w:tr w:rsidR="00665ECD" w:rsidRPr="006B2281" w14:paraId="12C2F42C" w14:textId="77777777" w:rsidTr="00665ECD">
        <w:trPr>
          <w:cantSplit/>
          <w:trHeight w:val="1134"/>
        </w:trPr>
        <w:tc>
          <w:tcPr>
            <w:tcW w:w="417" w:type="pct"/>
          </w:tcPr>
          <w:p w14:paraId="005BF856"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lastRenderedPageBreak/>
              <w:t>Author, year:</w:t>
            </w:r>
            <w:r w:rsidRPr="006B2281">
              <w:rPr>
                <w:rFonts w:ascii="Calibri" w:eastAsia="Calibri" w:hAnsi="Calibri" w:cs="Calibri"/>
                <w:noProof/>
                <w:sz w:val="18"/>
                <w:szCs w:val="18"/>
                <w:lang w:val="en-US"/>
              </w:rPr>
              <w:t xml:space="preserve"> </w:t>
            </w:r>
          </w:p>
          <w:p w14:paraId="6352A640" w14:textId="6EB4336B" w:rsidR="00665ECD" w:rsidRPr="006B2281" w:rsidRDefault="00665ECD" w:rsidP="00665ECD">
            <w:pPr>
              <w:rPr>
                <w:rFonts w:ascii="Calibri" w:eastAsia="Calibri" w:hAnsi="Calibri" w:cs="Calibri"/>
                <w:sz w:val="18"/>
                <w:szCs w:val="18"/>
              </w:rPr>
            </w:pPr>
            <w:r w:rsidRPr="006B2281">
              <w:rPr>
                <w:rFonts w:ascii="Calibri" w:eastAsia="Calibri" w:hAnsi="Calibri" w:cs="Calibri"/>
                <w:sz w:val="18"/>
                <w:szCs w:val="18"/>
              </w:rPr>
              <w:t>Detke, 2018</w:t>
            </w:r>
            <w:r w:rsidRPr="006B2281">
              <w:rPr>
                <w:rFonts w:ascii="Calibri" w:eastAsia="Calibri" w:hAnsi="Calibri" w:cs="Calibri"/>
                <w:sz w:val="18"/>
                <w:szCs w:val="18"/>
              </w:rPr>
              <w:fldChar w:fldCharType="begin"/>
            </w:r>
            <w:r w:rsidR="008D698C">
              <w:rPr>
                <w:rFonts w:ascii="Calibri" w:eastAsia="Calibri" w:hAnsi="Calibri" w:cs="Calibri"/>
                <w:sz w:val="18"/>
                <w:szCs w:val="18"/>
              </w:rPr>
              <w:instrText xml:space="preserve"> ADDIN EN.CITE &lt;EndNote&gt;&lt;Cite&gt;&lt;Author&gt;Detke&lt;/Author&gt;&lt;Year&gt;2018&lt;/Year&gt;&lt;RecNum&gt;34&lt;/RecNum&gt;&lt;DisplayText&gt;&lt;style face="superscript"&gt;7&lt;/style&gt;&lt;/DisplayText&gt;&lt;record&gt;&lt;rec-number&gt;34&lt;/rec-number&gt;&lt;foreign-keys&gt;&lt;key app="EN" db-id="fsz20seeavzsfie29wsx20a60watx2ffv2wz" timestamp="1662393849"&gt;34&lt;/key&gt;&lt;/foreign-keys&gt;&lt;ref-type name="Journal Article"&gt;17&lt;/ref-type&gt;&lt;contributors&gt;&lt;authors&gt;&lt;author&gt;Detke, Holland C&lt;/author&gt;&lt;author&gt;Goadsby, Peter J&lt;/author&gt;&lt;author&gt;Wang, Shufang&lt;/author&gt;&lt;author&gt;Friedman, Deborah I&lt;/author&gt;&lt;author&gt;Selzler, Katherine J&lt;/author&gt;&lt;author&gt;Aurora, Sheena K&lt;/author&gt;&lt;/authors&gt;&lt;/contributors&gt;&lt;titles&gt;&lt;title&gt;Galcanezumab in chronic migraine: the randomized, double-blind, placebo-controlled REGAIN study&lt;/title&gt;&lt;secondary-title&gt;Neurology&lt;/secondary-title&gt;&lt;/titles&gt;&lt;periodical&gt;&lt;full-title&gt;Neurology&lt;/full-title&gt;&lt;/periodical&gt;&lt;pages&gt;e2211-e2221&lt;/pages&gt;&lt;volume&gt;91&lt;/volume&gt;&lt;number&gt;24&lt;/number&gt;&lt;dates&gt;&lt;year&gt;2018&lt;/year&gt;&lt;/dates&gt;&lt;isbn&gt;0028-3878&lt;/isbn&gt;&lt;label&gt;34&lt;/label&gt;&lt;urls&gt;&lt;/urls&gt;&lt;/record&gt;&lt;/Cite&gt;&lt;/EndNote&gt;</w:instrText>
            </w:r>
            <w:r w:rsidRPr="006B2281">
              <w:rPr>
                <w:rFonts w:ascii="Calibri" w:eastAsia="Calibri" w:hAnsi="Calibri" w:cs="Calibri"/>
                <w:sz w:val="18"/>
                <w:szCs w:val="18"/>
              </w:rPr>
              <w:fldChar w:fldCharType="separate"/>
            </w:r>
            <w:r w:rsidR="008D698C" w:rsidRPr="008D698C">
              <w:rPr>
                <w:rFonts w:ascii="Calibri" w:eastAsia="Calibri" w:hAnsi="Calibri" w:cs="Calibri"/>
                <w:noProof/>
                <w:sz w:val="18"/>
                <w:szCs w:val="18"/>
                <w:vertAlign w:val="superscript"/>
              </w:rPr>
              <w:t>7</w:t>
            </w:r>
            <w:r w:rsidRPr="006B2281">
              <w:rPr>
                <w:rFonts w:ascii="Calibri" w:eastAsia="Calibri" w:hAnsi="Calibri" w:cs="Calibri"/>
                <w:sz w:val="18"/>
                <w:szCs w:val="18"/>
              </w:rPr>
              <w:fldChar w:fldCharType="end"/>
            </w:r>
          </w:p>
          <w:p w14:paraId="74C0C921" w14:textId="77777777" w:rsidR="00665ECD" w:rsidRPr="006B2281" w:rsidRDefault="00665ECD" w:rsidP="00665ECD">
            <w:pPr>
              <w:rPr>
                <w:rFonts w:ascii="Calibri" w:eastAsia="Calibri" w:hAnsi="Calibri" w:cs="Calibri"/>
                <w:sz w:val="18"/>
                <w:szCs w:val="18"/>
              </w:rPr>
            </w:pPr>
          </w:p>
          <w:p w14:paraId="22F0E416"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Country:</w:t>
            </w:r>
          </w:p>
          <w:p w14:paraId="0E6AE574" w14:textId="77777777" w:rsidR="00665ECD" w:rsidRPr="006B2281" w:rsidRDefault="00665ECD" w:rsidP="00665ECD">
            <w:pPr>
              <w:rPr>
                <w:rFonts w:ascii="Calibri" w:eastAsia="Calibri" w:hAnsi="Calibri" w:cs="Calibri"/>
                <w:sz w:val="18"/>
                <w:szCs w:val="18"/>
              </w:rPr>
            </w:pPr>
            <w:r w:rsidRPr="006B2281">
              <w:rPr>
                <w:rFonts w:ascii="Calibri" w:eastAsia="Calibri" w:hAnsi="Calibri" w:cs="Calibri"/>
                <w:sz w:val="18"/>
                <w:szCs w:val="18"/>
              </w:rPr>
              <w:t>Argentina, Canada, Czech Republic, Germany, Israel, Italy, Mexico, the Netherlands, Spain, Taiwan, the United Kingdom, and the United States</w:t>
            </w:r>
          </w:p>
          <w:p w14:paraId="35F1553A" w14:textId="77777777" w:rsidR="00665ECD" w:rsidRPr="006B2281" w:rsidRDefault="00665ECD" w:rsidP="00665ECD">
            <w:pPr>
              <w:rPr>
                <w:rFonts w:ascii="Calibri" w:eastAsia="Calibri" w:hAnsi="Calibri" w:cs="Calibri"/>
                <w:sz w:val="18"/>
                <w:szCs w:val="18"/>
              </w:rPr>
            </w:pPr>
          </w:p>
          <w:p w14:paraId="065F73DB" w14:textId="77777777" w:rsidR="00665ECD" w:rsidRPr="006B2281" w:rsidRDefault="00665ECD" w:rsidP="00665ECD">
            <w:pPr>
              <w:rPr>
                <w:rFonts w:ascii="Calibri" w:eastAsia="Calibri" w:hAnsi="Calibri" w:cs="Calibri"/>
                <w:sz w:val="18"/>
                <w:szCs w:val="18"/>
              </w:rPr>
            </w:pPr>
          </w:p>
          <w:p w14:paraId="506CBD7A" w14:textId="77777777" w:rsidR="00665ECD" w:rsidRPr="006B2281" w:rsidRDefault="00665ECD" w:rsidP="00665ECD">
            <w:pPr>
              <w:rPr>
                <w:rFonts w:ascii="Calibri" w:eastAsia="Calibri" w:hAnsi="Calibri" w:cs="Calibri"/>
                <w:b/>
                <w:bCs/>
                <w:sz w:val="18"/>
                <w:szCs w:val="18"/>
                <w:lang w:val="en-US"/>
              </w:rPr>
            </w:pPr>
          </w:p>
        </w:tc>
        <w:tc>
          <w:tcPr>
            <w:tcW w:w="748" w:type="pct"/>
          </w:tcPr>
          <w:p w14:paraId="16EC4D9C"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Purpose:</w:t>
            </w:r>
          </w:p>
          <w:p w14:paraId="026A243B" w14:textId="4BE93B92"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sz w:val="18"/>
                <w:szCs w:val="18"/>
              </w:rPr>
              <w:t xml:space="preserve">To evaluate the efficacy and safety of </w:t>
            </w:r>
            <w:r w:rsidR="006E5A3A" w:rsidRPr="006B2281">
              <w:rPr>
                <w:rFonts w:ascii="Calibri" w:eastAsia="Calibri" w:hAnsi="Calibri" w:cs="Calibri"/>
                <w:sz w:val="18"/>
                <w:szCs w:val="18"/>
              </w:rPr>
              <w:t>Galcanezumab</w:t>
            </w:r>
            <w:r w:rsidRPr="006B2281">
              <w:rPr>
                <w:rFonts w:ascii="Calibri" w:eastAsia="Calibri" w:hAnsi="Calibri" w:cs="Calibri"/>
                <w:sz w:val="18"/>
                <w:szCs w:val="18"/>
              </w:rPr>
              <w:t>, a humanized monoclonal antibody that selectively binds to calcitonin gene-related peptide, in the preventive treatment of chronic migraine.</w:t>
            </w:r>
          </w:p>
          <w:p w14:paraId="3CFC94A5" w14:textId="77777777" w:rsidR="00665ECD" w:rsidRPr="006B2281" w:rsidRDefault="00665ECD" w:rsidP="00665ECD">
            <w:pPr>
              <w:rPr>
                <w:rFonts w:ascii="Calibri" w:eastAsia="Calibri" w:hAnsi="Calibri" w:cs="Calibri"/>
                <w:noProof/>
                <w:sz w:val="18"/>
                <w:szCs w:val="18"/>
                <w:lang w:val="en-US"/>
              </w:rPr>
            </w:pPr>
          </w:p>
          <w:p w14:paraId="40DF5409"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t xml:space="preserve">Study design: </w:t>
            </w:r>
          </w:p>
          <w:p w14:paraId="52A7C2CC"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sz w:val="18"/>
                <w:szCs w:val="18"/>
              </w:rPr>
              <w:t>phase 3, randomized, double-blind, placebo-controlled study</w:t>
            </w:r>
          </w:p>
          <w:p w14:paraId="08E8EAAC" w14:textId="77777777" w:rsidR="00665ECD" w:rsidRPr="006B2281" w:rsidRDefault="00665ECD" w:rsidP="00665ECD">
            <w:pPr>
              <w:rPr>
                <w:rFonts w:ascii="Calibri" w:eastAsia="Calibri" w:hAnsi="Calibri" w:cs="Calibri"/>
                <w:noProof/>
                <w:sz w:val="18"/>
                <w:szCs w:val="18"/>
                <w:lang w:val="en-US"/>
              </w:rPr>
            </w:pPr>
          </w:p>
          <w:p w14:paraId="6A7F84CD"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 xml:space="preserve">Date: </w:t>
            </w:r>
          </w:p>
          <w:p w14:paraId="39168EC8"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sz w:val="18"/>
                <w:szCs w:val="18"/>
              </w:rPr>
              <w:t>January 2016 to March 2017</w:t>
            </w:r>
          </w:p>
          <w:p w14:paraId="76ADE023" w14:textId="77777777" w:rsidR="00665ECD" w:rsidRPr="006B2281" w:rsidRDefault="00665ECD" w:rsidP="00665ECD">
            <w:pPr>
              <w:rPr>
                <w:rFonts w:ascii="Calibri" w:eastAsia="Calibri" w:hAnsi="Calibri" w:cs="Calibri"/>
                <w:b/>
                <w:bCs/>
                <w:sz w:val="18"/>
                <w:szCs w:val="18"/>
                <w:lang w:val="en-US"/>
              </w:rPr>
            </w:pPr>
          </w:p>
        </w:tc>
        <w:tc>
          <w:tcPr>
            <w:tcW w:w="856" w:type="pct"/>
          </w:tcPr>
          <w:p w14:paraId="31704E1F" w14:textId="77777777" w:rsidR="00665ECD" w:rsidRDefault="00665ECD" w:rsidP="00665ECD">
            <w:pPr>
              <w:contextualSpacing/>
              <w:rPr>
                <w:rFonts w:ascii="Calibri" w:eastAsia="Calibri" w:hAnsi="Calibri" w:cs="Calibri"/>
                <w:sz w:val="18"/>
                <w:szCs w:val="18"/>
              </w:rPr>
            </w:pPr>
            <w:r w:rsidRPr="002A2987">
              <w:rPr>
                <w:rFonts w:ascii="Calibri" w:eastAsia="Calibri" w:hAnsi="Calibri" w:cs="Calibri"/>
                <w:sz w:val="18"/>
                <w:szCs w:val="18"/>
              </w:rPr>
              <w:t>• Target sample size: 1,140</w:t>
            </w:r>
          </w:p>
          <w:p w14:paraId="3C71CF55" w14:textId="77777777" w:rsidR="00665ECD" w:rsidRDefault="00665ECD" w:rsidP="00665ECD">
            <w:pPr>
              <w:ind w:left="182"/>
              <w:contextualSpacing/>
              <w:rPr>
                <w:rFonts w:ascii="Calibri" w:eastAsia="Calibri" w:hAnsi="Calibri" w:cs="Calibri"/>
                <w:sz w:val="18"/>
                <w:szCs w:val="18"/>
              </w:rPr>
            </w:pPr>
          </w:p>
          <w:p w14:paraId="752BC213" w14:textId="77777777" w:rsidR="00665ECD" w:rsidRDefault="00665ECD" w:rsidP="00665ECD">
            <w:pPr>
              <w:contextualSpacing/>
              <w:rPr>
                <w:rFonts w:ascii="Calibri" w:eastAsia="Calibri" w:hAnsi="Calibri" w:cs="Calibri"/>
                <w:sz w:val="18"/>
                <w:szCs w:val="18"/>
              </w:rPr>
            </w:pPr>
            <w:r w:rsidRPr="002A2987">
              <w:rPr>
                <w:rFonts w:ascii="Calibri" w:eastAsia="Calibri" w:hAnsi="Calibri" w:cs="Calibri"/>
                <w:sz w:val="18"/>
                <w:szCs w:val="18"/>
              </w:rPr>
              <w:t xml:space="preserve"> • Assume</w:t>
            </w:r>
            <w:r>
              <w:rPr>
                <w:rFonts w:ascii="Calibri" w:eastAsia="Calibri" w:hAnsi="Calibri" w:cs="Calibri"/>
                <w:sz w:val="18"/>
                <w:szCs w:val="18"/>
              </w:rPr>
              <w:t>d</w:t>
            </w:r>
            <w:r w:rsidRPr="002A2987">
              <w:rPr>
                <w:rFonts w:ascii="Calibri" w:eastAsia="Calibri" w:hAnsi="Calibri" w:cs="Calibri"/>
                <w:sz w:val="18"/>
                <w:szCs w:val="18"/>
              </w:rPr>
              <w:t xml:space="preserve"> a 15% discontinuation rate</w:t>
            </w:r>
          </w:p>
          <w:p w14:paraId="2AC136B5" w14:textId="77777777" w:rsidR="00665ECD" w:rsidRDefault="00665ECD" w:rsidP="00665ECD">
            <w:pPr>
              <w:contextualSpacing/>
              <w:rPr>
                <w:rFonts w:ascii="Calibri" w:eastAsia="Calibri" w:hAnsi="Calibri" w:cs="Calibri"/>
                <w:sz w:val="18"/>
                <w:szCs w:val="18"/>
              </w:rPr>
            </w:pPr>
          </w:p>
          <w:p w14:paraId="515C957F" w14:textId="77777777" w:rsidR="00665ECD" w:rsidRDefault="00665ECD" w:rsidP="00665ECD">
            <w:pPr>
              <w:contextualSpacing/>
              <w:rPr>
                <w:rFonts w:ascii="Calibri" w:eastAsia="Calibri" w:hAnsi="Calibri" w:cs="Calibri"/>
                <w:sz w:val="18"/>
                <w:szCs w:val="18"/>
              </w:rPr>
            </w:pPr>
            <w:r w:rsidRPr="002A2987">
              <w:rPr>
                <w:rFonts w:ascii="Calibri" w:eastAsia="Calibri" w:hAnsi="Calibri" w:cs="Calibri"/>
                <w:sz w:val="18"/>
                <w:szCs w:val="18"/>
              </w:rPr>
              <w:t xml:space="preserve"> • Assume</w:t>
            </w:r>
            <w:r>
              <w:rPr>
                <w:rFonts w:ascii="Calibri" w:eastAsia="Calibri" w:hAnsi="Calibri" w:cs="Calibri"/>
                <w:sz w:val="18"/>
                <w:szCs w:val="18"/>
              </w:rPr>
              <w:t>d</w:t>
            </w:r>
            <w:r w:rsidRPr="002A2987">
              <w:rPr>
                <w:rFonts w:ascii="Calibri" w:eastAsia="Calibri" w:hAnsi="Calibri" w:cs="Calibri"/>
                <w:sz w:val="18"/>
                <w:szCs w:val="18"/>
              </w:rPr>
              <w:t xml:space="preserve"> an effect size of 0.30 in the last month of the 3-month treatment phase</w:t>
            </w:r>
          </w:p>
          <w:p w14:paraId="67DFF782" w14:textId="77777777" w:rsidR="00665ECD" w:rsidRDefault="00665ECD" w:rsidP="00665ECD">
            <w:pPr>
              <w:contextualSpacing/>
              <w:rPr>
                <w:rFonts w:ascii="Calibri" w:eastAsia="Calibri" w:hAnsi="Calibri" w:cs="Calibri"/>
                <w:sz w:val="18"/>
                <w:szCs w:val="18"/>
              </w:rPr>
            </w:pPr>
          </w:p>
          <w:p w14:paraId="16273648" w14:textId="6F0AC36A" w:rsidR="00665ECD" w:rsidRDefault="00665ECD" w:rsidP="00665ECD">
            <w:pPr>
              <w:contextualSpacing/>
              <w:rPr>
                <w:rFonts w:ascii="Calibri" w:eastAsia="Calibri" w:hAnsi="Calibri" w:cs="Calibri"/>
                <w:sz w:val="18"/>
                <w:szCs w:val="18"/>
              </w:rPr>
            </w:pPr>
            <w:r w:rsidRPr="002A2987">
              <w:rPr>
                <w:rFonts w:ascii="Calibri" w:eastAsia="Calibri" w:hAnsi="Calibri" w:cs="Calibri"/>
                <w:sz w:val="18"/>
                <w:szCs w:val="18"/>
              </w:rPr>
              <w:t xml:space="preserve"> • Aim</w:t>
            </w:r>
            <w:r>
              <w:rPr>
                <w:rFonts w:ascii="Calibri" w:eastAsia="Calibri" w:hAnsi="Calibri" w:cs="Calibri"/>
                <w:sz w:val="18"/>
                <w:szCs w:val="18"/>
              </w:rPr>
              <w:t>ed</w:t>
            </w:r>
            <w:r w:rsidRPr="002A2987">
              <w:rPr>
                <w:rFonts w:ascii="Calibri" w:eastAsia="Calibri" w:hAnsi="Calibri" w:cs="Calibri"/>
                <w:sz w:val="18"/>
                <w:szCs w:val="18"/>
              </w:rPr>
              <w:t xml:space="preserve"> to provide approximately 95% power for at least 1 </w:t>
            </w:r>
            <w:r w:rsidR="006E5A3A" w:rsidRPr="002A2987">
              <w:rPr>
                <w:rFonts w:ascii="Calibri" w:eastAsia="Calibri" w:hAnsi="Calibri" w:cs="Calibri"/>
                <w:sz w:val="18"/>
                <w:szCs w:val="18"/>
              </w:rPr>
              <w:t>Galcanezumab</w:t>
            </w:r>
            <w:r w:rsidRPr="002A2987">
              <w:rPr>
                <w:rFonts w:ascii="Calibri" w:eastAsia="Calibri" w:hAnsi="Calibri" w:cs="Calibri"/>
                <w:sz w:val="18"/>
                <w:szCs w:val="18"/>
              </w:rPr>
              <w:t xml:space="preserve"> group to separate from placebo</w:t>
            </w:r>
          </w:p>
          <w:p w14:paraId="795A2BE3" w14:textId="77777777" w:rsidR="00665ECD" w:rsidRDefault="00665ECD" w:rsidP="00665ECD">
            <w:pPr>
              <w:contextualSpacing/>
              <w:rPr>
                <w:rFonts w:ascii="Calibri" w:eastAsia="Calibri" w:hAnsi="Calibri" w:cs="Calibri"/>
                <w:sz w:val="18"/>
                <w:szCs w:val="18"/>
              </w:rPr>
            </w:pPr>
            <w:r w:rsidRPr="002A2987">
              <w:rPr>
                <w:rFonts w:ascii="Calibri" w:eastAsia="Calibri" w:hAnsi="Calibri" w:cs="Calibri"/>
                <w:sz w:val="18"/>
                <w:szCs w:val="18"/>
              </w:rPr>
              <w:t xml:space="preserve"> </w:t>
            </w:r>
          </w:p>
          <w:p w14:paraId="077C915C" w14:textId="1352AB76" w:rsidR="00665ECD" w:rsidRDefault="00665ECD" w:rsidP="00665ECD">
            <w:pPr>
              <w:ind w:left="434"/>
              <w:contextualSpacing/>
              <w:rPr>
                <w:rFonts w:ascii="Calibri" w:eastAsia="Calibri" w:hAnsi="Calibri" w:cs="Calibri"/>
                <w:noProof/>
                <w:sz w:val="18"/>
                <w:szCs w:val="18"/>
                <w:lang w:val="en-US"/>
              </w:rPr>
            </w:pPr>
            <w:r w:rsidRPr="002A2987">
              <w:rPr>
                <w:rFonts w:ascii="Calibri" w:eastAsia="Calibri" w:hAnsi="Calibri" w:cs="Calibri"/>
                <w:sz w:val="18"/>
                <w:szCs w:val="18"/>
              </w:rPr>
              <w:t>• Use</w:t>
            </w:r>
            <w:r>
              <w:rPr>
                <w:rFonts w:ascii="Calibri" w:eastAsia="Calibri" w:hAnsi="Calibri" w:cs="Calibri"/>
                <w:sz w:val="18"/>
                <w:szCs w:val="18"/>
              </w:rPr>
              <w:t>d</w:t>
            </w:r>
            <w:r w:rsidRPr="002A2987">
              <w:rPr>
                <w:rFonts w:ascii="Calibri" w:eastAsia="Calibri" w:hAnsi="Calibri" w:cs="Calibri"/>
                <w:sz w:val="18"/>
                <w:szCs w:val="18"/>
              </w:rPr>
              <w:t xml:space="preserve"> a 1-sided 0.025 significance level.</w:t>
            </w:r>
          </w:p>
        </w:tc>
        <w:tc>
          <w:tcPr>
            <w:tcW w:w="856" w:type="pct"/>
          </w:tcPr>
          <w:p w14:paraId="65889B6A" w14:textId="77777777" w:rsidR="00665ECD" w:rsidRPr="006B2281" w:rsidRDefault="00665ECD" w:rsidP="00665ECD">
            <w:pPr>
              <w:numPr>
                <w:ilvl w:val="0"/>
                <w:numId w:val="14"/>
              </w:numPr>
              <w:ind w:left="360"/>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Adult18 to 65 years with CM as defined by ICHD-3 beta with at least 15 headache days</w:t>
            </w:r>
          </w:p>
          <w:p w14:paraId="44BF31A3" w14:textId="77777777" w:rsidR="00665ECD" w:rsidRPr="006B2281" w:rsidRDefault="00665ECD" w:rsidP="00665ECD">
            <w:pPr>
              <w:numPr>
                <w:ilvl w:val="0"/>
                <w:numId w:val="14"/>
              </w:numPr>
              <w:ind w:left="360"/>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 Migraine onset before 50 years of age. </w:t>
            </w:r>
          </w:p>
          <w:p w14:paraId="75E004EA" w14:textId="77777777" w:rsidR="00665ECD" w:rsidRPr="006B2281" w:rsidRDefault="00665ECD" w:rsidP="00665ECD">
            <w:pPr>
              <w:numPr>
                <w:ilvl w:val="0"/>
                <w:numId w:val="14"/>
              </w:numPr>
              <w:ind w:left="360"/>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Patients could take acute headache medication as needed throughout the trial but could take opioid- or barbiturate containing medications no more than 3 days per month, could not take oral corticosteroids, and could receive no more than 1 steroid injection during the study and only if in an emergency setting. </w:t>
            </w:r>
          </w:p>
          <w:p w14:paraId="2E2988E2" w14:textId="77777777" w:rsidR="00665ECD" w:rsidRPr="006B2281" w:rsidRDefault="00665ECD" w:rsidP="00665ECD">
            <w:pPr>
              <w:numPr>
                <w:ilvl w:val="0"/>
                <w:numId w:val="14"/>
              </w:numPr>
              <w:ind w:left="360"/>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Patients had to wash out all migraine preventive medications except topiramate or propranolol</w:t>
            </w:r>
          </w:p>
          <w:p w14:paraId="50E1269A" w14:textId="0A7513F5" w:rsidR="00665ECD" w:rsidRPr="006B2281" w:rsidRDefault="00665ECD" w:rsidP="00665ECD">
            <w:pPr>
              <w:numPr>
                <w:ilvl w:val="0"/>
                <w:numId w:val="13"/>
              </w:numPr>
              <w:ind w:left="434"/>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Patients also needed at least 1 headache-free day per month within 3 months before screening period. </w:t>
            </w:r>
          </w:p>
        </w:tc>
        <w:tc>
          <w:tcPr>
            <w:tcW w:w="1349" w:type="pct"/>
          </w:tcPr>
          <w:p w14:paraId="488B46EA" w14:textId="77777777" w:rsidR="00665ECD" w:rsidRPr="006B2281" w:rsidRDefault="00665ECD" w:rsidP="00665ECD">
            <w:pPr>
              <w:numPr>
                <w:ilvl w:val="0"/>
                <w:numId w:val="14"/>
              </w:numPr>
              <w:ind w:left="458"/>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Are currently enrolled in or have participated within the last 30 days or within 5 half-lives (whichever is longer) in a clinical trial involving an investigational product.</w:t>
            </w:r>
          </w:p>
          <w:p w14:paraId="222C5F98" w14:textId="77777777" w:rsidR="00665ECD" w:rsidRPr="006B2281" w:rsidRDefault="00665ECD" w:rsidP="00665ECD">
            <w:pPr>
              <w:numPr>
                <w:ilvl w:val="0"/>
                <w:numId w:val="14"/>
              </w:numPr>
              <w:ind w:left="458"/>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Current use or prior exposure to galcanezumab or another calcitonin gene-related peptide (CGRP) antibody.</w:t>
            </w:r>
          </w:p>
          <w:p w14:paraId="1B5C02DE" w14:textId="77777777" w:rsidR="00665ECD" w:rsidRPr="006B2281" w:rsidRDefault="00665ECD" w:rsidP="00665ECD">
            <w:pPr>
              <w:numPr>
                <w:ilvl w:val="0"/>
                <w:numId w:val="14"/>
              </w:numPr>
              <w:ind w:left="458"/>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Known hypersensitivity to multiple drugs, monoclonal antibodies or other therapeutic proteins, or to galcanezumab.</w:t>
            </w:r>
          </w:p>
          <w:p w14:paraId="6892B3EA" w14:textId="33E6BE6A" w:rsidR="00665ECD" w:rsidRPr="006B2281" w:rsidRDefault="00665ECD" w:rsidP="00665ECD">
            <w:pPr>
              <w:numPr>
                <w:ilvl w:val="0"/>
                <w:numId w:val="13"/>
              </w:numPr>
              <w:ind w:left="31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History of persistent daily headache, cluster headache or migraine subtypes including hemiplegic (sporadic or familial) migraine, ophthalmoplegic migraine, and migraine with brainstem aura (basilar-type migraine) defined by IHS ICHD-3 beta</w:t>
            </w:r>
          </w:p>
        </w:tc>
        <w:tc>
          <w:tcPr>
            <w:tcW w:w="774" w:type="pct"/>
          </w:tcPr>
          <w:p w14:paraId="5F0D0D45" w14:textId="5BCA7661" w:rsidR="00665ECD" w:rsidRPr="006B2281" w:rsidRDefault="00665ECD" w:rsidP="00665ECD">
            <w:pPr>
              <w:rPr>
                <w:rFonts w:ascii="Calibri" w:eastAsia="Calibri" w:hAnsi="Calibri" w:cs="Calibri"/>
                <w:sz w:val="18"/>
                <w:szCs w:val="18"/>
                <w:lang w:val="en-US"/>
              </w:rPr>
            </w:pPr>
            <w:r w:rsidRPr="006B2281">
              <w:rPr>
                <w:rFonts w:ascii="Calibri" w:eastAsia="Calibri" w:hAnsi="Calibri" w:cs="Calibri"/>
                <w:sz w:val="18"/>
                <w:szCs w:val="18"/>
              </w:rPr>
              <w:t xml:space="preserve">Both doses of </w:t>
            </w:r>
            <w:r w:rsidR="006E5A3A" w:rsidRPr="006B2281">
              <w:rPr>
                <w:rFonts w:ascii="Calibri" w:eastAsia="Calibri" w:hAnsi="Calibri" w:cs="Calibri"/>
                <w:sz w:val="18"/>
                <w:szCs w:val="18"/>
              </w:rPr>
              <w:t>Galcanezumab</w:t>
            </w:r>
            <w:r w:rsidRPr="006B2281">
              <w:rPr>
                <w:rFonts w:ascii="Calibri" w:eastAsia="Calibri" w:hAnsi="Calibri" w:cs="Calibri"/>
                <w:sz w:val="18"/>
                <w:szCs w:val="18"/>
              </w:rPr>
              <w:t xml:space="preserve"> were superior to placebo in reducing the number of monthly MHDs. Galcanezumab appears efficacious, safe, and well tolerated for the preventive treatment of chronic migraine.</w:t>
            </w:r>
          </w:p>
        </w:tc>
      </w:tr>
      <w:tr w:rsidR="00665ECD" w:rsidRPr="006B2281" w14:paraId="2C939103" w14:textId="77777777" w:rsidTr="00665ECD">
        <w:trPr>
          <w:cantSplit/>
          <w:trHeight w:val="1134"/>
        </w:trPr>
        <w:tc>
          <w:tcPr>
            <w:tcW w:w="417" w:type="pct"/>
          </w:tcPr>
          <w:p w14:paraId="5F022FD2"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lastRenderedPageBreak/>
              <w:t>Author, year:</w:t>
            </w:r>
            <w:r w:rsidRPr="006B2281">
              <w:rPr>
                <w:rFonts w:ascii="Calibri" w:eastAsia="Calibri" w:hAnsi="Calibri" w:cs="Calibri"/>
                <w:noProof/>
                <w:sz w:val="18"/>
                <w:szCs w:val="18"/>
                <w:lang w:val="en-US"/>
              </w:rPr>
              <w:t xml:space="preserve"> </w:t>
            </w:r>
          </w:p>
          <w:p w14:paraId="71F182B9" w14:textId="77777777" w:rsidR="00665ECD" w:rsidRPr="006B2281" w:rsidRDefault="00665ECD" w:rsidP="00665ECD">
            <w:pPr>
              <w:rPr>
                <w:rFonts w:ascii="Calibri" w:eastAsia="Calibri" w:hAnsi="Calibri" w:cs="Calibri"/>
                <w:sz w:val="18"/>
                <w:szCs w:val="18"/>
              </w:rPr>
            </w:pPr>
            <w:r w:rsidRPr="006B2281">
              <w:rPr>
                <w:rFonts w:ascii="Calibri" w:eastAsia="Calibri" w:hAnsi="Calibri" w:cs="Calibri"/>
                <w:sz w:val="18"/>
                <w:szCs w:val="18"/>
              </w:rPr>
              <w:t>Diener, 2010</w:t>
            </w:r>
          </w:p>
          <w:p w14:paraId="5930F894" w14:textId="0B4E31F7" w:rsidR="00665ECD" w:rsidRPr="006B2281" w:rsidRDefault="00665ECD" w:rsidP="00665ECD">
            <w:pPr>
              <w:rPr>
                <w:rFonts w:ascii="Calibri" w:eastAsia="Calibri" w:hAnsi="Calibri" w:cs="Calibri"/>
                <w:sz w:val="18"/>
                <w:szCs w:val="18"/>
              </w:rPr>
            </w:pPr>
            <w:r w:rsidRPr="006B2281">
              <w:rPr>
                <w:rFonts w:ascii="Calibri" w:eastAsia="Calibri" w:hAnsi="Calibri" w:cs="Calibri"/>
                <w:sz w:val="18"/>
                <w:szCs w:val="18"/>
              </w:rPr>
              <w:fldChar w:fldCharType="begin"/>
            </w:r>
            <w:r w:rsidR="008D698C">
              <w:rPr>
                <w:rFonts w:ascii="Calibri" w:eastAsia="Calibri" w:hAnsi="Calibri" w:cs="Calibri"/>
                <w:sz w:val="18"/>
                <w:szCs w:val="18"/>
              </w:rPr>
              <w:instrText xml:space="preserve"> ADDIN EN.CITE &lt;EndNote&gt;&lt;Cite&gt;&lt;Author&gt;Diener&lt;/Author&gt;&lt;Year&gt;2010&lt;/Year&gt;&lt;RecNum&gt;32&lt;/RecNum&gt;&lt;DisplayText&gt;&lt;style face="superscript"&gt;16&lt;/style&gt;&lt;/DisplayText&gt;&lt;record&gt;&lt;rec-number&gt;32&lt;/rec-number&gt;&lt;foreign-keys&gt;&lt;key app="EN" db-id="fsz20seeavzsfie29wsx20a60watx2ffv2wz" timestamp="1662393796"&gt;32&lt;/key&gt;&lt;/foreign-keys&gt;&lt;ref-type name="Journal Article"&gt;17&lt;/ref-type&gt;&lt;contributors&gt;&lt;authors&gt;&lt;author&gt;Diener, HC&lt;/author&gt;&lt;author&gt;Dodick, DW&lt;/author&gt;&lt;author&gt;Aurora, SK&lt;/author&gt;&lt;author&gt;Turkel, CC&lt;/author&gt;&lt;author&gt;DeGryse, RE&lt;/author&gt;&lt;author&gt;Lipton, RB&lt;/author&gt;&lt;author&gt;Silberstein, SD&lt;/author&gt;&lt;author&gt;Brin, MF&lt;/author&gt;&lt;/authors&gt;&lt;/contributors&gt;&lt;titles&gt;&lt;title&gt;OnabotulinumtoxinA for treatment of chronic migraine: results from the double-blind, randomized, placebo-controlled phase of the PREEMPT 2 trial&lt;/title&gt;&lt;secondary-title&gt;Cephalalgia&lt;/secondary-title&gt;&lt;/titles&gt;&lt;periodical&gt;&lt;full-title&gt;Cephalalgia&lt;/full-title&gt;&lt;/periodical&gt;&lt;pages&gt;804-814&lt;/pages&gt;&lt;volume&gt;30&lt;/volume&gt;&lt;number&gt;7&lt;/number&gt;&lt;dates&gt;&lt;year&gt;2010&lt;/year&gt;&lt;/dates&gt;&lt;isbn&gt;0333-1024&lt;/isbn&gt;&lt;label&gt;32&lt;/label&gt;&lt;urls&gt;&lt;/urls&gt;&lt;/record&gt;&lt;/Cite&gt;&lt;/EndNote&gt;</w:instrText>
            </w:r>
            <w:r w:rsidRPr="006B2281">
              <w:rPr>
                <w:rFonts w:ascii="Calibri" w:eastAsia="Calibri" w:hAnsi="Calibri" w:cs="Calibri"/>
                <w:sz w:val="18"/>
                <w:szCs w:val="18"/>
              </w:rPr>
              <w:fldChar w:fldCharType="separate"/>
            </w:r>
            <w:r w:rsidR="008D698C" w:rsidRPr="008D698C">
              <w:rPr>
                <w:rFonts w:ascii="Calibri" w:eastAsia="Calibri" w:hAnsi="Calibri" w:cs="Calibri"/>
                <w:noProof/>
                <w:sz w:val="18"/>
                <w:szCs w:val="18"/>
                <w:vertAlign w:val="superscript"/>
              </w:rPr>
              <w:t>16</w:t>
            </w:r>
            <w:r w:rsidRPr="006B2281">
              <w:rPr>
                <w:rFonts w:ascii="Calibri" w:eastAsia="Calibri" w:hAnsi="Calibri" w:cs="Calibri"/>
                <w:sz w:val="18"/>
                <w:szCs w:val="18"/>
              </w:rPr>
              <w:fldChar w:fldCharType="end"/>
            </w:r>
          </w:p>
          <w:p w14:paraId="46BD2BE5" w14:textId="77777777" w:rsidR="00665ECD" w:rsidRPr="006B2281" w:rsidRDefault="00665ECD" w:rsidP="00665ECD">
            <w:pPr>
              <w:rPr>
                <w:rFonts w:ascii="Calibri" w:eastAsia="Calibri" w:hAnsi="Calibri" w:cs="Calibri"/>
                <w:sz w:val="18"/>
                <w:szCs w:val="18"/>
              </w:rPr>
            </w:pPr>
          </w:p>
          <w:p w14:paraId="6249B9C5"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Country:</w:t>
            </w:r>
          </w:p>
          <w:p w14:paraId="36CBBA01" w14:textId="4168A2A4"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sz w:val="18"/>
                <w:szCs w:val="18"/>
              </w:rPr>
              <w:t>At 66 global sites North America and 16 European</w:t>
            </w:r>
          </w:p>
        </w:tc>
        <w:tc>
          <w:tcPr>
            <w:tcW w:w="748" w:type="pct"/>
          </w:tcPr>
          <w:p w14:paraId="663452E1"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Purpose:</w:t>
            </w:r>
          </w:p>
          <w:p w14:paraId="005C71C3" w14:textId="07D3E0E2"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sz w:val="18"/>
                <w:szCs w:val="18"/>
              </w:rPr>
              <w:t>to evaluate the efficacy and safety of onabotulinumtoxinA (</w:t>
            </w:r>
            <w:r w:rsidR="00AE38D5">
              <w:rPr>
                <w:rFonts w:ascii="Calibri" w:eastAsia="Calibri" w:hAnsi="Calibri" w:cs="Calibri"/>
                <w:sz w:val="18"/>
                <w:szCs w:val="18"/>
              </w:rPr>
              <w:t>BTA</w:t>
            </w:r>
            <w:r w:rsidRPr="006B2281">
              <w:rPr>
                <w:rFonts w:ascii="Calibri" w:eastAsia="Calibri" w:hAnsi="Calibri" w:cs="Calibri"/>
                <w:sz w:val="18"/>
                <w:szCs w:val="18"/>
              </w:rPr>
              <w:t>) for prophylaxis of headaches in adults with chronic migraine</w:t>
            </w:r>
          </w:p>
          <w:p w14:paraId="7584E827" w14:textId="77777777" w:rsidR="00665ECD" w:rsidRPr="006B2281" w:rsidRDefault="00665ECD" w:rsidP="00665ECD">
            <w:pPr>
              <w:rPr>
                <w:rFonts w:ascii="Calibri" w:eastAsia="Calibri" w:hAnsi="Calibri" w:cs="Calibri"/>
                <w:b/>
                <w:bCs/>
                <w:sz w:val="18"/>
                <w:szCs w:val="18"/>
                <w:lang w:val="en-US"/>
              </w:rPr>
            </w:pPr>
          </w:p>
          <w:p w14:paraId="06CB27B8"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t xml:space="preserve">Study design: </w:t>
            </w:r>
          </w:p>
          <w:p w14:paraId="3ABF6FF9"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sz w:val="18"/>
                <w:szCs w:val="18"/>
              </w:rPr>
              <w:t>a phase 3 study, with a 24-week, double-blind, placebo-controlled phase, followed by a 32-week, open-label phase.</w:t>
            </w:r>
          </w:p>
          <w:p w14:paraId="5D376ACA" w14:textId="77777777" w:rsidR="00665ECD" w:rsidRPr="006B2281" w:rsidRDefault="00665ECD" w:rsidP="00665ECD">
            <w:pPr>
              <w:rPr>
                <w:rFonts w:ascii="Calibri" w:eastAsia="Calibri" w:hAnsi="Calibri" w:cs="Calibri"/>
                <w:noProof/>
                <w:sz w:val="18"/>
                <w:szCs w:val="18"/>
                <w:lang w:val="en-US"/>
              </w:rPr>
            </w:pPr>
          </w:p>
          <w:p w14:paraId="32089E3A"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 xml:space="preserve">Date: </w:t>
            </w:r>
          </w:p>
          <w:p w14:paraId="0FAADE8E" w14:textId="77777777" w:rsidR="00665ECD" w:rsidRPr="006B2281" w:rsidRDefault="00665ECD" w:rsidP="00665ECD">
            <w:pPr>
              <w:rPr>
                <w:rFonts w:ascii="Calibri" w:eastAsia="Calibri" w:hAnsi="Calibri" w:cs="Calibri"/>
                <w:sz w:val="18"/>
                <w:szCs w:val="18"/>
              </w:rPr>
            </w:pPr>
            <w:r w:rsidRPr="006B2281">
              <w:rPr>
                <w:rFonts w:ascii="Calibri" w:eastAsia="Calibri" w:hAnsi="Calibri" w:cs="Calibri"/>
                <w:sz w:val="18"/>
                <w:szCs w:val="18"/>
              </w:rPr>
              <w:t xml:space="preserve">7 February 2006 to 11 August 2008 </w:t>
            </w:r>
          </w:p>
          <w:p w14:paraId="40AB88C3" w14:textId="77777777" w:rsidR="00665ECD" w:rsidRPr="006B2281" w:rsidRDefault="00665ECD" w:rsidP="00665ECD">
            <w:pPr>
              <w:rPr>
                <w:rFonts w:ascii="Calibri" w:eastAsia="Calibri" w:hAnsi="Calibri" w:cs="Calibri"/>
                <w:b/>
                <w:bCs/>
                <w:sz w:val="18"/>
                <w:szCs w:val="18"/>
                <w:lang w:val="en-US"/>
              </w:rPr>
            </w:pPr>
          </w:p>
        </w:tc>
        <w:tc>
          <w:tcPr>
            <w:tcW w:w="856" w:type="pct"/>
          </w:tcPr>
          <w:p w14:paraId="2928AC01" w14:textId="1AE60123" w:rsidR="00665ECD" w:rsidRPr="002A2987" w:rsidRDefault="00665ECD" w:rsidP="00665ECD">
            <w:pPr>
              <w:contextualSpacing/>
              <w:rPr>
                <w:rFonts w:ascii="Calibri" w:eastAsia="Calibri" w:hAnsi="Calibri" w:cs="Calibri"/>
                <w:sz w:val="18"/>
                <w:szCs w:val="18"/>
              </w:rPr>
            </w:pPr>
            <w:r w:rsidRPr="002A2987">
              <w:rPr>
                <w:rFonts w:ascii="Calibri" w:eastAsia="Calibri" w:hAnsi="Calibri" w:cs="Calibri"/>
                <w:sz w:val="18"/>
                <w:szCs w:val="18"/>
              </w:rPr>
              <w:t xml:space="preserve">• Planned </w:t>
            </w:r>
            <w:r w:rsidR="006E5A3A" w:rsidRPr="002A2987">
              <w:rPr>
                <w:rFonts w:ascii="Calibri" w:eastAsia="Calibri" w:hAnsi="Calibri" w:cs="Calibri"/>
                <w:sz w:val="18"/>
                <w:szCs w:val="18"/>
              </w:rPr>
              <w:t>enrolment</w:t>
            </w:r>
            <w:r w:rsidRPr="002A2987">
              <w:rPr>
                <w:rFonts w:ascii="Calibri" w:eastAsia="Calibri" w:hAnsi="Calibri" w:cs="Calibri"/>
                <w:sz w:val="18"/>
                <w:szCs w:val="18"/>
              </w:rPr>
              <w:t>: 650 patients</w:t>
            </w:r>
          </w:p>
          <w:p w14:paraId="185B619B" w14:textId="77777777" w:rsidR="00665ECD" w:rsidRPr="002A2987" w:rsidRDefault="00665ECD" w:rsidP="00665ECD">
            <w:pPr>
              <w:contextualSpacing/>
              <w:rPr>
                <w:rFonts w:ascii="Calibri" w:eastAsia="Calibri" w:hAnsi="Calibri" w:cs="Calibri"/>
                <w:sz w:val="18"/>
                <w:szCs w:val="18"/>
              </w:rPr>
            </w:pPr>
          </w:p>
          <w:p w14:paraId="04BC367A" w14:textId="77777777" w:rsidR="00665ECD" w:rsidRPr="002A2987" w:rsidRDefault="00665ECD" w:rsidP="00665ECD">
            <w:pPr>
              <w:contextualSpacing/>
              <w:rPr>
                <w:rFonts w:ascii="Calibri" w:eastAsia="Calibri" w:hAnsi="Calibri" w:cs="Calibri"/>
                <w:sz w:val="18"/>
                <w:szCs w:val="18"/>
              </w:rPr>
            </w:pPr>
            <w:r w:rsidRPr="002A2987">
              <w:rPr>
                <w:rFonts w:ascii="Calibri" w:eastAsia="Calibri" w:hAnsi="Calibri" w:cs="Calibri"/>
                <w:sz w:val="18"/>
                <w:szCs w:val="18"/>
              </w:rPr>
              <w:t>• For headache day frequency, a minimum sample size of n=325 per group, SD of 6.7</w:t>
            </w:r>
          </w:p>
          <w:p w14:paraId="43829E84" w14:textId="77777777" w:rsidR="00665ECD" w:rsidRPr="002A2987" w:rsidRDefault="00665ECD" w:rsidP="00665ECD">
            <w:pPr>
              <w:contextualSpacing/>
              <w:rPr>
                <w:rFonts w:ascii="Calibri" w:eastAsia="Calibri" w:hAnsi="Calibri" w:cs="Calibri"/>
                <w:sz w:val="18"/>
                <w:szCs w:val="18"/>
              </w:rPr>
            </w:pPr>
          </w:p>
          <w:p w14:paraId="0FAA76DC" w14:textId="050810A3" w:rsidR="00665ECD" w:rsidRDefault="00665ECD" w:rsidP="00665ECD">
            <w:pPr>
              <w:ind w:left="434"/>
              <w:contextualSpacing/>
              <w:rPr>
                <w:rFonts w:ascii="Calibri" w:eastAsia="Calibri" w:hAnsi="Calibri" w:cs="Calibri"/>
                <w:noProof/>
                <w:sz w:val="18"/>
                <w:szCs w:val="18"/>
                <w:lang w:val="en-US"/>
              </w:rPr>
            </w:pPr>
            <w:r w:rsidRPr="002A2987">
              <w:rPr>
                <w:rFonts w:ascii="Calibri" w:eastAsia="Calibri" w:hAnsi="Calibri" w:cs="Calibri"/>
                <w:sz w:val="18"/>
                <w:szCs w:val="18"/>
              </w:rPr>
              <w:t>• Provided &gt;90% power to detect &gt;1.75 between-group difference in mean change from baseline using a two-sided a=0.05 at week 24</w:t>
            </w:r>
          </w:p>
        </w:tc>
        <w:tc>
          <w:tcPr>
            <w:tcW w:w="856" w:type="pct"/>
          </w:tcPr>
          <w:p w14:paraId="199E9D7B" w14:textId="2172F929" w:rsidR="00665ECD" w:rsidRPr="006B2281" w:rsidRDefault="00665ECD" w:rsidP="00665ECD">
            <w:pPr>
              <w:numPr>
                <w:ilvl w:val="0"/>
                <w:numId w:val="13"/>
              </w:numPr>
              <w:ind w:left="434"/>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Men or women aged 18–65 years with a history of migraine meeting the diagnostic criteria listed in ICHD-II section 1, migraine—with the exception of ‘‘complicated migraine’’ (i.e., hemiplegic migraine, basilar-type migraine, ophthalmoplegic migraine, migrainous infarction)—and with headache occurring on &gt;15 days/four weeks were eligible.</w:t>
            </w:r>
          </w:p>
        </w:tc>
        <w:tc>
          <w:tcPr>
            <w:tcW w:w="1349" w:type="pct"/>
          </w:tcPr>
          <w:p w14:paraId="52CD595C" w14:textId="77777777" w:rsidR="00665ECD" w:rsidRPr="006B2281" w:rsidRDefault="00665ECD" w:rsidP="00665ECD">
            <w:pPr>
              <w:numPr>
                <w:ilvl w:val="0"/>
                <w:numId w:val="14"/>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With any medical condition that might put them at increased risk if exposed to onabotulinumtoxinA (e.g., myasthenia gravis, Eaton Lambert syndrome, amyotrophic lateral sclerosis, any other significant disease that could interfere with neuromuscular function). </w:t>
            </w:r>
          </w:p>
          <w:p w14:paraId="2AE9F27E" w14:textId="77777777" w:rsidR="00665ECD" w:rsidRPr="006B2281" w:rsidRDefault="00665ECD" w:rsidP="00665ECD">
            <w:pPr>
              <w:numPr>
                <w:ilvl w:val="0"/>
                <w:numId w:val="14"/>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Diagnosis of other primary or secondary headache disorder, use of any headache prophylactic medication within 28 days of day 1 of baseline, </w:t>
            </w:r>
          </w:p>
          <w:p w14:paraId="6C089DF8" w14:textId="77777777" w:rsidR="00665ECD" w:rsidRPr="006B2281" w:rsidRDefault="00665ECD" w:rsidP="00665ECD">
            <w:pPr>
              <w:numPr>
                <w:ilvl w:val="0"/>
                <w:numId w:val="14"/>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Beck Depression Inventory score of &gt;24 at day 1 of baseline, temporomandibular disorder, fibromyalgia, psychiatric disorders that could interfere with study participation, or previous exposure at any time to any botulinum toxin serotype.</w:t>
            </w:r>
          </w:p>
          <w:p w14:paraId="750C3D10" w14:textId="21A116E7" w:rsidR="00665ECD" w:rsidRPr="006B2281" w:rsidRDefault="00665ECD" w:rsidP="00665ECD">
            <w:pPr>
              <w:numPr>
                <w:ilvl w:val="0"/>
                <w:numId w:val="13"/>
              </w:numPr>
              <w:ind w:left="31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 Prior to administration of study treatment, women of childbearing potential were required to have a negative urine pregnancy test and have been using a reliable means of Contraception</w:t>
            </w:r>
          </w:p>
        </w:tc>
        <w:tc>
          <w:tcPr>
            <w:tcW w:w="774" w:type="pct"/>
          </w:tcPr>
          <w:p w14:paraId="718F96A8" w14:textId="3BF84D4C" w:rsidR="00665ECD" w:rsidRPr="006B2281" w:rsidRDefault="00665ECD" w:rsidP="00665ECD">
            <w:pPr>
              <w:rPr>
                <w:rFonts w:ascii="Calibri" w:eastAsia="Calibri" w:hAnsi="Calibri" w:cs="Calibri"/>
                <w:sz w:val="18"/>
                <w:szCs w:val="18"/>
                <w:lang w:val="en-US"/>
              </w:rPr>
            </w:pPr>
            <w:r w:rsidRPr="006B2281">
              <w:rPr>
                <w:rFonts w:ascii="Calibri" w:eastAsia="Calibri" w:hAnsi="Calibri" w:cs="Calibri"/>
                <w:sz w:val="18"/>
                <w:szCs w:val="18"/>
              </w:rPr>
              <w:t>The results of PREEMPT 2 demonstrate that onabotulinumtoxinA is effective for prophylaxis of headache in adults with chronic migraine. Repeated onabotulinumtoxinA treatments were safe and well tolerated</w:t>
            </w:r>
          </w:p>
        </w:tc>
      </w:tr>
      <w:tr w:rsidR="00665ECD" w:rsidRPr="006B2281" w14:paraId="3393BEA2" w14:textId="77777777" w:rsidTr="00665ECD">
        <w:trPr>
          <w:cantSplit/>
          <w:trHeight w:val="1134"/>
        </w:trPr>
        <w:tc>
          <w:tcPr>
            <w:tcW w:w="417" w:type="pct"/>
          </w:tcPr>
          <w:p w14:paraId="563AD7C8" w14:textId="414EC787" w:rsidR="00665ECD" w:rsidRPr="006B2281" w:rsidRDefault="00665ECD" w:rsidP="00665ECD">
            <w:pPr>
              <w:rPr>
                <w:rFonts w:ascii="Calibri" w:eastAsia="Calibri" w:hAnsi="Calibri" w:cs="Calibri"/>
                <w:sz w:val="18"/>
                <w:szCs w:val="18"/>
              </w:rPr>
            </w:pPr>
            <w:r w:rsidRPr="006B2281">
              <w:rPr>
                <w:rFonts w:ascii="Calibri" w:eastAsia="Calibri" w:hAnsi="Calibri" w:cs="Calibri"/>
                <w:b/>
                <w:bCs/>
                <w:sz w:val="18"/>
                <w:szCs w:val="18"/>
                <w:lang w:val="en-US"/>
              </w:rPr>
              <w:lastRenderedPageBreak/>
              <w:t>Author, year:</w:t>
            </w:r>
            <w:r w:rsidRPr="006B2281">
              <w:rPr>
                <w:rFonts w:ascii="Calibri" w:eastAsia="Calibri" w:hAnsi="Calibri" w:cs="Calibri"/>
                <w:noProof/>
                <w:sz w:val="18"/>
                <w:szCs w:val="18"/>
                <w:lang w:val="en-US"/>
              </w:rPr>
              <w:t xml:space="preserve"> </w:t>
            </w:r>
            <w:r w:rsidRPr="006B2281">
              <w:rPr>
                <w:rFonts w:ascii="Calibri" w:eastAsia="Calibri" w:hAnsi="Calibri" w:cs="Calibri"/>
                <w:sz w:val="18"/>
                <w:szCs w:val="18"/>
              </w:rPr>
              <w:t xml:space="preserve">Dodick, 2019 </w:t>
            </w:r>
            <w:r w:rsidRPr="006B2281">
              <w:rPr>
                <w:rFonts w:ascii="Calibri" w:eastAsia="Calibri" w:hAnsi="Calibri" w:cs="Calibri"/>
                <w:sz w:val="18"/>
                <w:szCs w:val="18"/>
              </w:rPr>
              <w:fldChar w:fldCharType="begin"/>
            </w:r>
            <w:r w:rsidR="008D698C">
              <w:rPr>
                <w:rFonts w:ascii="Calibri" w:eastAsia="Calibri" w:hAnsi="Calibri" w:cs="Calibri"/>
                <w:sz w:val="18"/>
                <w:szCs w:val="18"/>
              </w:rPr>
              <w:instrText xml:space="preserve"> ADDIN EN.CITE &lt;EndNote&gt;&lt;Cite&gt;&lt;Author&gt;Dodick&lt;/Author&gt;&lt;Year&gt;2019&lt;/Year&gt;&lt;RecNum&gt;38&lt;/RecNum&gt;&lt;DisplayText&gt;&lt;style face="superscript"&gt;17&lt;/style&gt;&lt;/DisplayText&gt;&lt;record&gt;&lt;rec-number&gt;38&lt;/rec-number&gt;&lt;foreign-keys&gt;&lt;key app="EN" db-id="fsz20seeavzsfie29wsx20a60watx2ffv2wz" timestamp="1662640654"&gt;38&lt;/key&gt;&lt;/foreign-keys&gt;&lt;ref-type name="Journal Article"&gt;17&lt;/ref-type&gt;&lt;contributors&gt;&lt;authors&gt;&lt;author&gt;Dodick, David W&lt;/author&gt;&lt;author&gt;Lipton, Richard B&lt;/author&gt;&lt;author&gt;Silberstein, Stephen&lt;/author&gt;&lt;author&gt;Goadsby, Peter J&lt;/author&gt;&lt;author&gt;Biondi, David&lt;/author&gt;&lt;author&gt;Hirman, Joe&lt;/author&gt;&lt;author&gt;Cady, Roger&lt;/author&gt;&lt;author&gt;Smith, Jeff&lt;/author&gt;&lt;/authors&gt;&lt;/contributors&gt;&lt;titles&gt;&lt;title&gt;Eptinezumab for prevention of chronic migraine: a randomized phase 2b clinical trial&lt;/title&gt;&lt;secondary-title&gt;Cephalalgia&lt;/secondary-title&gt;&lt;/titles&gt;&lt;periodical&gt;&lt;full-title&gt;Cephalalgia&lt;/full-title&gt;&lt;/periodical&gt;&lt;pages&gt;1075-1085&lt;/pages&gt;&lt;volume&gt;39&lt;/volume&gt;&lt;number&gt;9&lt;/number&gt;&lt;dates&gt;&lt;year&gt;2019&lt;/year&gt;&lt;/dates&gt;&lt;isbn&gt;0333-1024&lt;/isbn&gt;&lt;label&gt;38&lt;/label&gt;&lt;urls&gt;&lt;/urls&gt;&lt;/record&gt;&lt;/Cite&gt;&lt;/EndNote&gt;</w:instrText>
            </w:r>
            <w:r w:rsidRPr="006B2281">
              <w:rPr>
                <w:rFonts w:ascii="Calibri" w:eastAsia="Calibri" w:hAnsi="Calibri" w:cs="Calibri"/>
                <w:sz w:val="18"/>
                <w:szCs w:val="18"/>
              </w:rPr>
              <w:fldChar w:fldCharType="separate"/>
            </w:r>
            <w:r w:rsidR="008D698C" w:rsidRPr="008D698C">
              <w:rPr>
                <w:rFonts w:ascii="Calibri" w:eastAsia="Calibri" w:hAnsi="Calibri" w:cs="Calibri"/>
                <w:noProof/>
                <w:sz w:val="18"/>
                <w:szCs w:val="18"/>
                <w:vertAlign w:val="superscript"/>
              </w:rPr>
              <w:t>17</w:t>
            </w:r>
            <w:r w:rsidRPr="006B2281">
              <w:rPr>
                <w:rFonts w:ascii="Calibri" w:eastAsia="Calibri" w:hAnsi="Calibri" w:cs="Calibri"/>
                <w:sz w:val="18"/>
                <w:szCs w:val="18"/>
              </w:rPr>
              <w:fldChar w:fldCharType="end"/>
            </w:r>
          </w:p>
          <w:p w14:paraId="2A74F3A4" w14:textId="77777777" w:rsidR="00665ECD" w:rsidRPr="006B2281" w:rsidRDefault="00665ECD" w:rsidP="00665ECD">
            <w:pPr>
              <w:rPr>
                <w:rFonts w:ascii="Calibri" w:eastAsia="Calibri" w:hAnsi="Calibri" w:cs="Calibri"/>
                <w:sz w:val="18"/>
                <w:szCs w:val="18"/>
              </w:rPr>
            </w:pPr>
          </w:p>
          <w:p w14:paraId="63B3A834"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Country:</w:t>
            </w:r>
          </w:p>
          <w:p w14:paraId="7D363262" w14:textId="7E48B39F"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sz w:val="18"/>
                <w:szCs w:val="18"/>
              </w:rPr>
              <w:t>82 in the United States, four in Australia, and three each in New Zealand and the Republic of Georgia</w:t>
            </w:r>
          </w:p>
        </w:tc>
        <w:tc>
          <w:tcPr>
            <w:tcW w:w="748" w:type="pct"/>
          </w:tcPr>
          <w:p w14:paraId="461FC7B5"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Purpose:</w:t>
            </w:r>
          </w:p>
          <w:p w14:paraId="4C3D48CA" w14:textId="48E13091"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sz w:val="18"/>
                <w:szCs w:val="18"/>
              </w:rPr>
              <w:t xml:space="preserve">To determine the safety, tolerability, and effectiveness of four dose levels of </w:t>
            </w:r>
            <w:r w:rsidR="006E5A3A">
              <w:rPr>
                <w:rFonts w:ascii="Calibri" w:eastAsia="Calibri" w:hAnsi="Calibri" w:cs="Calibri"/>
                <w:sz w:val="18"/>
                <w:szCs w:val="18"/>
              </w:rPr>
              <w:t>E</w:t>
            </w:r>
            <w:r w:rsidRPr="006B2281">
              <w:rPr>
                <w:rFonts w:ascii="Calibri" w:eastAsia="Calibri" w:hAnsi="Calibri" w:cs="Calibri"/>
                <w:sz w:val="18"/>
                <w:szCs w:val="18"/>
              </w:rPr>
              <w:t>ptinezumab and to inform the phase 3 development program.</w:t>
            </w:r>
          </w:p>
          <w:p w14:paraId="661E45A5" w14:textId="77777777" w:rsidR="00665ECD" w:rsidRPr="006B2281" w:rsidRDefault="00665ECD" w:rsidP="00665ECD">
            <w:pPr>
              <w:rPr>
                <w:rFonts w:ascii="Calibri" w:eastAsia="Calibri" w:hAnsi="Calibri" w:cs="Calibri"/>
                <w:noProof/>
                <w:sz w:val="18"/>
                <w:szCs w:val="18"/>
                <w:lang w:val="en-US"/>
              </w:rPr>
            </w:pPr>
          </w:p>
          <w:p w14:paraId="3262CA19"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t xml:space="preserve">Study design: </w:t>
            </w:r>
          </w:p>
          <w:p w14:paraId="12EFDDED"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sz w:val="18"/>
                <w:szCs w:val="18"/>
              </w:rPr>
              <w:t>phase 2b, parallel-group, double-blind, randomized, placebo-controlled, dose-ranging clinical trial.</w:t>
            </w:r>
          </w:p>
          <w:p w14:paraId="17219375" w14:textId="77777777" w:rsidR="00665ECD" w:rsidRPr="006B2281" w:rsidRDefault="00665ECD" w:rsidP="00665ECD">
            <w:pPr>
              <w:rPr>
                <w:rFonts w:ascii="Calibri" w:eastAsia="Calibri" w:hAnsi="Calibri" w:cs="Calibri"/>
                <w:b/>
                <w:bCs/>
                <w:sz w:val="18"/>
                <w:szCs w:val="18"/>
                <w:lang w:val="en-US"/>
              </w:rPr>
            </w:pPr>
          </w:p>
          <w:p w14:paraId="7E22B87B"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 xml:space="preserve">Date: </w:t>
            </w:r>
          </w:p>
          <w:p w14:paraId="150C43BE"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sz w:val="18"/>
                <w:szCs w:val="18"/>
              </w:rPr>
              <w:t>December 2014 to December 2016</w:t>
            </w:r>
          </w:p>
          <w:p w14:paraId="2337C979" w14:textId="77777777" w:rsidR="00665ECD" w:rsidRPr="006B2281" w:rsidRDefault="00665ECD" w:rsidP="00665ECD">
            <w:pPr>
              <w:rPr>
                <w:rFonts w:ascii="Calibri" w:eastAsia="Calibri" w:hAnsi="Calibri" w:cs="Calibri"/>
                <w:b/>
                <w:bCs/>
                <w:sz w:val="18"/>
                <w:szCs w:val="18"/>
                <w:lang w:val="en-US"/>
              </w:rPr>
            </w:pPr>
          </w:p>
        </w:tc>
        <w:tc>
          <w:tcPr>
            <w:tcW w:w="856" w:type="pct"/>
          </w:tcPr>
          <w:p w14:paraId="128F89A5" w14:textId="77777777" w:rsidR="00665ECD" w:rsidRDefault="00665ECD" w:rsidP="00665ECD">
            <w:pPr>
              <w:contextualSpacing/>
              <w:rPr>
                <w:rFonts w:ascii="Calibri" w:eastAsia="Calibri" w:hAnsi="Calibri" w:cs="Calibri"/>
                <w:noProof/>
                <w:sz w:val="18"/>
                <w:szCs w:val="18"/>
                <w:lang w:val="en-US"/>
              </w:rPr>
            </w:pPr>
            <w:r w:rsidRPr="002A2987">
              <w:rPr>
                <w:rFonts w:ascii="Calibri" w:eastAsia="Calibri" w:hAnsi="Calibri" w:cs="Calibri"/>
                <w:noProof/>
                <w:sz w:val="18"/>
                <w:szCs w:val="18"/>
                <w:lang w:val="en-US"/>
              </w:rPr>
              <w:t>• 10% 2-sided alpha level used for each pairwise test</w:t>
            </w:r>
          </w:p>
          <w:p w14:paraId="27A04C92" w14:textId="77777777" w:rsidR="00665ECD" w:rsidRPr="002A2987" w:rsidRDefault="00665ECD" w:rsidP="00665ECD">
            <w:pPr>
              <w:ind w:left="360"/>
              <w:contextualSpacing/>
              <w:rPr>
                <w:rFonts w:ascii="Calibri" w:eastAsia="Calibri" w:hAnsi="Calibri" w:cs="Calibri"/>
                <w:noProof/>
                <w:sz w:val="18"/>
                <w:szCs w:val="18"/>
                <w:lang w:val="en-US"/>
              </w:rPr>
            </w:pPr>
          </w:p>
          <w:p w14:paraId="4BA63768" w14:textId="77777777" w:rsidR="00665ECD" w:rsidRDefault="00665ECD" w:rsidP="00665ECD">
            <w:pPr>
              <w:contextualSpacing/>
              <w:rPr>
                <w:rFonts w:ascii="Calibri" w:eastAsia="Calibri" w:hAnsi="Calibri" w:cs="Calibri"/>
                <w:noProof/>
                <w:sz w:val="18"/>
                <w:szCs w:val="18"/>
                <w:lang w:val="en-US"/>
              </w:rPr>
            </w:pPr>
            <w:r w:rsidRPr="002A2987">
              <w:rPr>
                <w:rFonts w:ascii="Calibri" w:eastAsia="Calibri" w:hAnsi="Calibri" w:cs="Calibri"/>
                <w:noProof/>
                <w:sz w:val="18"/>
                <w:szCs w:val="18"/>
                <w:lang w:val="en-US"/>
              </w:rPr>
              <w:t xml:space="preserve"> • 120 patients per group provided at least 90% power for each test individually </w:t>
            </w:r>
          </w:p>
          <w:p w14:paraId="42A87DBA" w14:textId="77777777" w:rsidR="00665ECD" w:rsidRDefault="00665ECD" w:rsidP="00665ECD">
            <w:pPr>
              <w:pStyle w:val="ListParagraph"/>
              <w:rPr>
                <w:rFonts w:cs="Calibri"/>
                <w:noProof/>
                <w:sz w:val="18"/>
                <w:szCs w:val="18"/>
                <w:lang w:val="en-US"/>
              </w:rPr>
            </w:pPr>
          </w:p>
          <w:p w14:paraId="54EC2674" w14:textId="77777777" w:rsidR="00665ECD" w:rsidRDefault="00665ECD" w:rsidP="00665ECD">
            <w:pPr>
              <w:contextualSpacing/>
              <w:rPr>
                <w:rFonts w:ascii="Calibri" w:eastAsia="Calibri" w:hAnsi="Calibri" w:cs="Calibri"/>
                <w:noProof/>
                <w:sz w:val="18"/>
                <w:szCs w:val="18"/>
                <w:lang w:val="en-US"/>
              </w:rPr>
            </w:pPr>
            <w:r w:rsidRPr="002A2987">
              <w:rPr>
                <w:rFonts w:ascii="Calibri" w:eastAsia="Calibri" w:hAnsi="Calibri" w:cs="Calibri"/>
                <w:noProof/>
                <w:sz w:val="18"/>
                <w:szCs w:val="18"/>
                <w:lang w:val="en-US"/>
              </w:rPr>
              <w:t xml:space="preserve">• Assumes difference in 75% responder rates &gt; 19% </w:t>
            </w:r>
          </w:p>
          <w:p w14:paraId="028C20D6" w14:textId="77777777" w:rsidR="00665ECD" w:rsidRDefault="00665ECD" w:rsidP="00665ECD">
            <w:pPr>
              <w:pStyle w:val="ListParagraph"/>
              <w:rPr>
                <w:rFonts w:cs="Calibri"/>
                <w:noProof/>
                <w:sz w:val="18"/>
                <w:szCs w:val="18"/>
                <w:lang w:val="en-US"/>
              </w:rPr>
            </w:pPr>
          </w:p>
          <w:p w14:paraId="54D46C69" w14:textId="77777777" w:rsidR="00665ECD" w:rsidRPr="002A2987" w:rsidRDefault="00665ECD" w:rsidP="00665ECD">
            <w:pPr>
              <w:ind w:left="360"/>
              <w:contextualSpacing/>
              <w:rPr>
                <w:rFonts w:ascii="Calibri" w:eastAsia="Calibri" w:hAnsi="Calibri" w:cs="Calibri"/>
                <w:noProof/>
                <w:sz w:val="18"/>
                <w:szCs w:val="18"/>
                <w:lang w:val="en-US"/>
              </w:rPr>
            </w:pPr>
          </w:p>
          <w:p w14:paraId="744FDA9A" w14:textId="77777777" w:rsidR="00665ECD" w:rsidRDefault="00665ECD" w:rsidP="00665ECD">
            <w:pPr>
              <w:contextualSpacing/>
              <w:rPr>
                <w:rFonts w:ascii="Calibri" w:eastAsia="Calibri" w:hAnsi="Calibri" w:cs="Calibri"/>
                <w:noProof/>
                <w:sz w:val="18"/>
                <w:szCs w:val="18"/>
                <w:lang w:val="en-US"/>
              </w:rPr>
            </w:pPr>
            <w:r w:rsidRPr="002A2987">
              <w:rPr>
                <w:rFonts w:ascii="Calibri" w:eastAsia="Calibri" w:hAnsi="Calibri" w:cs="Calibri"/>
                <w:noProof/>
                <w:sz w:val="18"/>
                <w:szCs w:val="18"/>
                <w:lang w:val="en-US"/>
              </w:rPr>
              <w:t>• Achieved 90% power for a pairwise comparison with 10% alpha, 120 patients per group</w:t>
            </w:r>
          </w:p>
          <w:p w14:paraId="36822A5A" w14:textId="77777777" w:rsidR="00665ECD" w:rsidRDefault="00665ECD" w:rsidP="00665ECD">
            <w:pPr>
              <w:contextualSpacing/>
              <w:rPr>
                <w:rFonts w:ascii="Calibri" w:eastAsia="Calibri" w:hAnsi="Calibri" w:cs="Calibri"/>
                <w:noProof/>
                <w:sz w:val="18"/>
                <w:szCs w:val="18"/>
                <w:lang w:val="en-US"/>
              </w:rPr>
            </w:pPr>
          </w:p>
          <w:p w14:paraId="3A9F8175" w14:textId="77777777" w:rsidR="00665ECD" w:rsidRPr="002A2987" w:rsidRDefault="00665ECD" w:rsidP="00665ECD">
            <w:pPr>
              <w:contextualSpacing/>
              <w:rPr>
                <w:rFonts w:ascii="Calibri" w:eastAsia="Calibri" w:hAnsi="Calibri" w:cs="Calibri"/>
                <w:noProof/>
                <w:sz w:val="18"/>
                <w:szCs w:val="18"/>
                <w:lang w:val="en-US"/>
              </w:rPr>
            </w:pPr>
          </w:p>
          <w:p w14:paraId="2E38E1C7" w14:textId="14363947" w:rsidR="00665ECD" w:rsidRDefault="00665ECD" w:rsidP="00665ECD">
            <w:pPr>
              <w:ind w:left="434"/>
              <w:contextualSpacing/>
              <w:rPr>
                <w:rFonts w:ascii="Calibri" w:eastAsia="Calibri" w:hAnsi="Calibri" w:cs="Calibri"/>
                <w:noProof/>
                <w:sz w:val="18"/>
                <w:szCs w:val="18"/>
                <w:lang w:val="en-US"/>
              </w:rPr>
            </w:pPr>
            <w:r w:rsidRPr="002A2987">
              <w:rPr>
                <w:rFonts w:ascii="Calibri" w:eastAsia="Calibri" w:hAnsi="Calibri" w:cs="Calibri"/>
                <w:noProof/>
                <w:sz w:val="18"/>
                <w:szCs w:val="18"/>
                <w:lang w:val="en-US"/>
              </w:rPr>
              <w:t>• Placebo rate of 25%, ALD403 rate of 43%.</w:t>
            </w:r>
          </w:p>
        </w:tc>
        <w:tc>
          <w:tcPr>
            <w:tcW w:w="856" w:type="pct"/>
          </w:tcPr>
          <w:p w14:paraId="7F400F1D" w14:textId="77777777" w:rsidR="00665ECD" w:rsidRPr="006B2281" w:rsidRDefault="00665ECD" w:rsidP="00665ECD">
            <w:pPr>
              <w:numPr>
                <w:ilvl w:val="0"/>
                <w:numId w:val="14"/>
              </w:numPr>
              <w:ind w:left="360"/>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Adult 18–55 years with CM according ICHD-3b</w:t>
            </w:r>
          </w:p>
          <w:p w14:paraId="5790BFD3" w14:textId="77777777" w:rsidR="00665ECD" w:rsidRPr="006B2281" w:rsidRDefault="00665ECD" w:rsidP="00665ECD">
            <w:pPr>
              <w:numPr>
                <w:ilvl w:val="0"/>
                <w:numId w:val="14"/>
              </w:numPr>
              <w:ind w:left="360"/>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Established at age &gt;=35 years and history of CM of &gt;=1 year.</w:t>
            </w:r>
          </w:p>
          <w:p w14:paraId="671BD7E5" w14:textId="77777777" w:rsidR="00665ECD" w:rsidRPr="006B2281" w:rsidRDefault="00665ECD" w:rsidP="00665ECD">
            <w:pPr>
              <w:numPr>
                <w:ilvl w:val="0"/>
                <w:numId w:val="14"/>
              </w:numPr>
              <w:ind w:left="360"/>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&gt;=15 headache days, of which&gt;=8 were assessed as migraine days during baseline priod. </w:t>
            </w:r>
          </w:p>
          <w:p w14:paraId="323648A7" w14:textId="77777777" w:rsidR="00665ECD" w:rsidRPr="006B2281" w:rsidRDefault="00665ECD" w:rsidP="00665ECD">
            <w:pPr>
              <w:numPr>
                <w:ilvl w:val="0"/>
                <w:numId w:val="14"/>
              </w:numPr>
              <w:ind w:left="360"/>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Use of hormonal therapy and preventive medications for headache except botulinum toxin, was allowed if the dosing has been stable for &gt;3 months before screening, and was maintained at the same dosing level throughout the trial </w:t>
            </w:r>
          </w:p>
          <w:p w14:paraId="3D9AB42B" w14:textId="77777777" w:rsidR="00EC6316" w:rsidRDefault="00665ECD" w:rsidP="00EC6316">
            <w:pPr>
              <w:numPr>
                <w:ilvl w:val="0"/>
                <w:numId w:val="14"/>
              </w:numPr>
              <w:ind w:left="360"/>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The use of barbiturates or opioids for the acute treatment of CM was allowed if the dosing had been stable for 3 months before screening, and dosing did not exceed 4 days/month. </w:t>
            </w:r>
          </w:p>
          <w:p w14:paraId="573A5952" w14:textId="4CC1B071" w:rsidR="00665ECD" w:rsidRPr="00EC6316" w:rsidRDefault="00665ECD" w:rsidP="00EC6316">
            <w:pPr>
              <w:numPr>
                <w:ilvl w:val="0"/>
                <w:numId w:val="14"/>
              </w:numPr>
              <w:ind w:left="360"/>
              <w:contextualSpacing/>
              <w:rPr>
                <w:rFonts w:ascii="Calibri" w:eastAsia="Calibri" w:hAnsi="Calibri" w:cs="Calibri"/>
                <w:noProof/>
                <w:sz w:val="18"/>
                <w:szCs w:val="18"/>
                <w:lang w:val="en-US"/>
              </w:rPr>
            </w:pPr>
            <w:r w:rsidRPr="00EC6316">
              <w:rPr>
                <w:rFonts w:ascii="Calibri" w:eastAsia="Calibri" w:hAnsi="Calibri" w:cs="Calibri"/>
                <w:noProof/>
                <w:sz w:val="18"/>
                <w:szCs w:val="18"/>
                <w:lang w:val="en-US"/>
              </w:rPr>
              <w:t xml:space="preserve">Patients with CM who were diagnosed with medication overuse headache </w:t>
            </w:r>
          </w:p>
        </w:tc>
        <w:tc>
          <w:tcPr>
            <w:tcW w:w="1349" w:type="pct"/>
          </w:tcPr>
          <w:p w14:paraId="43F9D0DA" w14:textId="77777777" w:rsidR="00665ECD" w:rsidRPr="006B2281" w:rsidRDefault="00665ECD" w:rsidP="00665ECD">
            <w:pPr>
              <w:numPr>
                <w:ilvl w:val="0"/>
                <w:numId w:val="14"/>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Confounding pain syndromes (e.g. fibromyalgia, chronic low back pain, complex regional pain syndrome) or any pain syndrome that requires regular analgesia</w:t>
            </w:r>
          </w:p>
          <w:p w14:paraId="61CE2524" w14:textId="77777777" w:rsidR="00665ECD" w:rsidRPr="006B2281" w:rsidRDefault="00665ECD" w:rsidP="00665ECD">
            <w:pPr>
              <w:numPr>
                <w:ilvl w:val="0"/>
                <w:numId w:val="14"/>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Psychiatric conditions that are uncontrolled and untreated, including conditions that are not controlled for a minimum of 6 months prior to screening.</w:t>
            </w:r>
          </w:p>
          <w:p w14:paraId="3C73D023" w14:textId="77777777" w:rsidR="00665ECD" w:rsidRPr="006B2281" w:rsidRDefault="00665ECD" w:rsidP="00665ECD">
            <w:pPr>
              <w:numPr>
                <w:ilvl w:val="0"/>
                <w:numId w:val="14"/>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History or diagnosis of complicated migraine (ICHD-III beta version, 2013), chronic tension-type headache, hypnic headache, cluster headache, hemicrania continua, new daily persistent headache, migraine with brainstem aura, sporadic and familial hemiplegic migraine</w:t>
            </w:r>
          </w:p>
          <w:p w14:paraId="4204A46F" w14:textId="77777777" w:rsidR="00665ECD" w:rsidRPr="006B2281" w:rsidRDefault="00665ECD" w:rsidP="00665ECD">
            <w:pPr>
              <w:numPr>
                <w:ilvl w:val="0"/>
                <w:numId w:val="14"/>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Unable to differentiate migraine from other headaches</w:t>
            </w:r>
          </w:p>
          <w:p w14:paraId="4725085F" w14:textId="77777777" w:rsidR="00665ECD" w:rsidRPr="006B2281" w:rsidRDefault="00665ECD" w:rsidP="00665ECD">
            <w:pPr>
              <w:numPr>
                <w:ilvl w:val="0"/>
                <w:numId w:val="14"/>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Subject has received botulinum toxin for migraine or for any other medical/cosmetic reasons requiring injections in the head, face, or neck within 4 months prior to screening.</w:t>
            </w:r>
          </w:p>
          <w:p w14:paraId="74818A4F" w14:textId="72BEFA60" w:rsidR="00665ECD" w:rsidRPr="006B2281" w:rsidRDefault="00665ECD" w:rsidP="00665ECD">
            <w:pPr>
              <w:numPr>
                <w:ilvl w:val="0"/>
                <w:numId w:val="13"/>
              </w:numPr>
              <w:ind w:left="31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Have any clinically significant concurrent medical condition</w:t>
            </w:r>
          </w:p>
        </w:tc>
        <w:tc>
          <w:tcPr>
            <w:tcW w:w="774" w:type="pct"/>
          </w:tcPr>
          <w:p w14:paraId="28A3EBA4" w14:textId="617B426F" w:rsidR="00665ECD" w:rsidRPr="006B2281" w:rsidRDefault="00665ECD" w:rsidP="00665ECD">
            <w:pPr>
              <w:rPr>
                <w:rFonts w:ascii="Calibri" w:eastAsia="Calibri" w:hAnsi="Calibri" w:cs="Calibri"/>
                <w:sz w:val="18"/>
                <w:szCs w:val="18"/>
                <w:lang w:val="en-US"/>
              </w:rPr>
            </w:pPr>
            <w:r w:rsidRPr="006B2281">
              <w:rPr>
                <w:rFonts w:ascii="Calibri" w:eastAsia="Calibri" w:hAnsi="Calibri" w:cs="Calibri"/>
                <w:sz w:val="18"/>
                <w:szCs w:val="18"/>
              </w:rPr>
              <w:t xml:space="preserve">The results of this trial demonstrate that </w:t>
            </w:r>
            <w:r w:rsidR="006E5A3A">
              <w:rPr>
                <w:rFonts w:ascii="Calibri" w:eastAsia="Calibri" w:hAnsi="Calibri" w:cs="Calibri"/>
                <w:sz w:val="18"/>
                <w:szCs w:val="18"/>
              </w:rPr>
              <w:t>E</w:t>
            </w:r>
            <w:r w:rsidRPr="006B2281">
              <w:rPr>
                <w:rFonts w:ascii="Calibri" w:eastAsia="Calibri" w:hAnsi="Calibri" w:cs="Calibri"/>
                <w:sz w:val="18"/>
                <w:szCs w:val="18"/>
              </w:rPr>
              <w:t>ptinezumab appears effective and well-tolerated for the preventive treatment of chronic migraine and justifies the conduct of pivotal phase 3 trials for migraine prevention.</w:t>
            </w:r>
          </w:p>
        </w:tc>
      </w:tr>
      <w:tr w:rsidR="00665ECD" w:rsidRPr="006B2281" w14:paraId="54927FA8" w14:textId="77777777" w:rsidTr="00665ECD">
        <w:trPr>
          <w:cantSplit/>
          <w:trHeight w:val="1134"/>
        </w:trPr>
        <w:tc>
          <w:tcPr>
            <w:tcW w:w="417" w:type="pct"/>
          </w:tcPr>
          <w:p w14:paraId="5265C38E"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lastRenderedPageBreak/>
              <w:t>Author, year:</w:t>
            </w:r>
            <w:r w:rsidRPr="006B2281">
              <w:rPr>
                <w:rFonts w:ascii="Calibri" w:eastAsia="Calibri" w:hAnsi="Calibri" w:cs="Calibri"/>
                <w:noProof/>
                <w:sz w:val="18"/>
                <w:szCs w:val="18"/>
                <w:lang w:val="en-US"/>
              </w:rPr>
              <w:t xml:space="preserve"> </w:t>
            </w:r>
          </w:p>
          <w:p w14:paraId="250BFD86" w14:textId="6F112833" w:rsidR="00665ECD" w:rsidRPr="006B2281" w:rsidRDefault="00665ECD" w:rsidP="00665ECD">
            <w:pPr>
              <w:rPr>
                <w:rFonts w:ascii="Calibri" w:eastAsia="Calibri" w:hAnsi="Calibri" w:cs="Calibri"/>
                <w:sz w:val="18"/>
                <w:szCs w:val="18"/>
              </w:rPr>
            </w:pPr>
            <w:r w:rsidRPr="006B2281">
              <w:rPr>
                <w:rFonts w:ascii="Calibri" w:eastAsia="Calibri" w:hAnsi="Calibri" w:cs="Calibri"/>
                <w:sz w:val="18"/>
                <w:szCs w:val="18"/>
              </w:rPr>
              <w:t xml:space="preserve">Ferrari, 2019 </w:t>
            </w:r>
            <w:r w:rsidRPr="006B2281">
              <w:rPr>
                <w:rFonts w:ascii="Calibri" w:eastAsia="Calibri" w:hAnsi="Calibri" w:cs="Calibri"/>
                <w:sz w:val="18"/>
                <w:szCs w:val="18"/>
              </w:rPr>
              <w:fldChar w:fldCharType="begin"/>
            </w:r>
            <w:r w:rsidR="008D698C">
              <w:rPr>
                <w:rFonts w:ascii="Calibri" w:eastAsia="Calibri" w:hAnsi="Calibri" w:cs="Calibri"/>
                <w:sz w:val="18"/>
                <w:szCs w:val="18"/>
              </w:rPr>
              <w:instrText xml:space="preserve"> ADDIN EN.CITE &lt;EndNote&gt;&lt;Cite&gt;&lt;Author&gt;Ferrari&lt;/Author&gt;&lt;Year&gt;2019&lt;/Year&gt;&lt;RecNum&gt;36&lt;/RecNum&gt;&lt;DisplayText&gt;&lt;style face="superscript"&gt;18&lt;/style&gt;&lt;/DisplayText&gt;&lt;record&gt;&lt;rec-number&gt;36&lt;/rec-number&gt;&lt;foreign-keys&gt;&lt;key app="EN" db-id="fsz20seeavzsfie29wsx20a60watx2ffv2wz" timestamp="1662393905"&gt;36&lt;/key&gt;&lt;/foreign-keys&gt;&lt;ref-type name="Journal Article"&gt;17&lt;/ref-type&gt;&lt;contributors&gt;&lt;authors&gt;&lt;author&gt;Ferrari, Michel D&lt;/author&gt;&lt;author&gt;Diener, Hans Christoph&lt;/author&gt;&lt;author&gt;Ning, Xiaoping&lt;/author&gt;&lt;author&gt;Galic, Maja&lt;/author&gt;&lt;author&gt;Cohen, Joshua M&lt;/author&gt;&lt;author&gt;Yang, Ronghua&lt;/author&gt;&lt;author&gt;Mueller, Matthias&lt;/author&gt;&lt;author&gt;Ahn, Andrew H&lt;/author&gt;&lt;author&gt;Schwartz, Yael Carmeli&lt;/author&gt;&lt;author&gt;Grozinski-Wolff, Melissa&lt;/author&gt;&lt;/authors&gt;&lt;/contributors&gt;&lt;titles&gt;&lt;title&gt;Fremanezumab versus placebo for migraine prevention in patients with documented failure to up to four migraine preventive medication classes (FOCUS): a randomised, double-blind, placebo-controlled, phase 3b trial&lt;/title&gt;&lt;secondary-title&gt;The Lancet&lt;/secondary-title&gt;&lt;/titles&gt;&lt;periodical&gt;&lt;full-title&gt;The Lancet&lt;/full-title&gt;&lt;/periodical&gt;&lt;pages&gt;1030-1040&lt;/pages&gt;&lt;volume&gt;394&lt;/volume&gt;&lt;number&gt;10203&lt;/number&gt;&lt;dates&gt;&lt;year&gt;2019&lt;/year&gt;&lt;/dates&gt;&lt;isbn&gt;0140-6736&lt;/isbn&gt;&lt;label&gt;36&lt;/label&gt;&lt;urls&gt;&lt;/urls&gt;&lt;/record&gt;&lt;/Cite&gt;&lt;/EndNote&gt;</w:instrText>
            </w:r>
            <w:r w:rsidRPr="006B2281">
              <w:rPr>
                <w:rFonts w:ascii="Calibri" w:eastAsia="Calibri" w:hAnsi="Calibri" w:cs="Calibri"/>
                <w:sz w:val="18"/>
                <w:szCs w:val="18"/>
              </w:rPr>
              <w:fldChar w:fldCharType="separate"/>
            </w:r>
            <w:r w:rsidR="008D698C" w:rsidRPr="008D698C">
              <w:rPr>
                <w:rFonts w:ascii="Calibri" w:eastAsia="Calibri" w:hAnsi="Calibri" w:cs="Calibri"/>
                <w:noProof/>
                <w:sz w:val="18"/>
                <w:szCs w:val="18"/>
                <w:vertAlign w:val="superscript"/>
              </w:rPr>
              <w:t>18</w:t>
            </w:r>
            <w:r w:rsidRPr="006B2281">
              <w:rPr>
                <w:rFonts w:ascii="Calibri" w:eastAsia="Calibri" w:hAnsi="Calibri" w:cs="Calibri"/>
                <w:sz w:val="18"/>
                <w:szCs w:val="18"/>
              </w:rPr>
              <w:fldChar w:fldCharType="end"/>
            </w:r>
          </w:p>
          <w:p w14:paraId="5809B679" w14:textId="77777777" w:rsidR="00665ECD" w:rsidRPr="006B2281" w:rsidRDefault="00665ECD" w:rsidP="00665ECD">
            <w:pPr>
              <w:rPr>
                <w:rFonts w:ascii="Calibri" w:eastAsia="Calibri" w:hAnsi="Calibri" w:cs="Calibri"/>
                <w:sz w:val="18"/>
                <w:szCs w:val="18"/>
              </w:rPr>
            </w:pPr>
          </w:p>
          <w:p w14:paraId="07AA3406"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Country:</w:t>
            </w:r>
          </w:p>
          <w:p w14:paraId="279A8B85"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Belgium, the</w:t>
            </w:r>
          </w:p>
          <w:p w14:paraId="6EE72FC6"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Czech Republic, Denmark, Finland, France, Germany, Italy, the Netherlands, Poland, Spain, Sweden, Switzerland,</w:t>
            </w:r>
          </w:p>
          <w:p w14:paraId="4FD459E0" w14:textId="3620C38E"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noProof/>
                <w:sz w:val="18"/>
                <w:szCs w:val="18"/>
                <w:lang w:val="en-US"/>
              </w:rPr>
              <w:t>the UK, and the USA.</w:t>
            </w:r>
          </w:p>
        </w:tc>
        <w:tc>
          <w:tcPr>
            <w:tcW w:w="748" w:type="pct"/>
          </w:tcPr>
          <w:p w14:paraId="21FAE58C"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Purpose:</w:t>
            </w:r>
          </w:p>
          <w:p w14:paraId="3144DFDC"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To investigate the efficacy and tolerability of monthly and quarterly fremanezumab compared with placebo in patients with difficult-to-treat episodic or chronic migraine, who had documented failure to two to four pharmacological classes of migraine preventive</w:t>
            </w:r>
          </w:p>
          <w:p w14:paraId="3A4CD702"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medications.</w:t>
            </w:r>
          </w:p>
          <w:p w14:paraId="30E14AA2" w14:textId="77777777" w:rsidR="00665ECD" w:rsidRPr="006B2281" w:rsidRDefault="00665ECD" w:rsidP="00665ECD">
            <w:pPr>
              <w:rPr>
                <w:rFonts w:ascii="Calibri" w:eastAsia="Calibri" w:hAnsi="Calibri" w:cs="Calibri"/>
                <w:noProof/>
                <w:sz w:val="18"/>
                <w:szCs w:val="18"/>
                <w:lang w:val="en-US"/>
              </w:rPr>
            </w:pPr>
          </w:p>
          <w:p w14:paraId="4DF8F9B3"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t xml:space="preserve">Study design: </w:t>
            </w:r>
          </w:p>
          <w:p w14:paraId="2088D20D" w14:textId="6390217D"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noProof/>
                <w:sz w:val="18"/>
                <w:szCs w:val="18"/>
                <w:lang w:val="en-US"/>
              </w:rPr>
              <w:t xml:space="preserve">Phase 3 FOCUS trial, randomised, double-blind, placebo-controlled, parallel-group </w:t>
            </w:r>
          </w:p>
        </w:tc>
        <w:tc>
          <w:tcPr>
            <w:tcW w:w="856" w:type="pct"/>
          </w:tcPr>
          <w:p w14:paraId="2B61B3F8" w14:textId="77777777" w:rsidR="00665ECD" w:rsidRDefault="00665ECD" w:rsidP="00665ECD">
            <w:pPr>
              <w:contextualSpacing/>
              <w:rPr>
                <w:rFonts w:ascii="Calibri" w:eastAsia="Calibri" w:hAnsi="Calibri" w:cs="Calibri"/>
                <w:noProof/>
                <w:sz w:val="18"/>
                <w:szCs w:val="18"/>
                <w:lang w:val="en-US"/>
              </w:rPr>
            </w:pPr>
            <w:r w:rsidRPr="003476D3">
              <w:rPr>
                <w:rFonts w:ascii="Calibri" w:eastAsia="Calibri" w:hAnsi="Calibri" w:cs="Calibri"/>
                <w:noProof/>
                <w:sz w:val="18"/>
                <w:szCs w:val="18"/>
                <w:lang w:val="en-US"/>
              </w:rPr>
              <w:t>• Sample size of 705 participants (235 per treatment group) needed for 90% power to detect a difference of 1.8 in migraine days (assuming common SD of 6 days) at an alpha level of 0.05.</w:t>
            </w:r>
          </w:p>
          <w:p w14:paraId="5E41F8B9" w14:textId="77777777" w:rsidR="00665ECD" w:rsidRDefault="00665ECD" w:rsidP="00665ECD">
            <w:pPr>
              <w:contextualSpacing/>
              <w:rPr>
                <w:rFonts w:ascii="Calibri" w:eastAsia="Calibri" w:hAnsi="Calibri" w:cs="Calibri"/>
                <w:noProof/>
                <w:sz w:val="18"/>
                <w:szCs w:val="18"/>
                <w:lang w:val="en-US"/>
              </w:rPr>
            </w:pPr>
          </w:p>
          <w:p w14:paraId="23EFC3ED" w14:textId="77777777" w:rsidR="00665ECD" w:rsidRDefault="00665ECD" w:rsidP="00665ECD">
            <w:pPr>
              <w:contextualSpacing/>
              <w:rPr>
                <w:rFonts w:ascii="Calibri" w:eastAsia="Calibri" w:hAnsi="Calibri" w:cs="Calibri"/>
                <w:noProof/>
                <w:sz w:val="18"/>
                <w:szCs w:val="18"/>
                <w:lang w:val="en-US"/>
              </w:rPr>
            </w:pPr>
          </w:p>
          <w:p w14:paraId="403C1218" w14:textId="77777777" w:rsidR="00665ECD" w:rsidRPr="003476D3" w:rsidRDefault="00665ECD" w:rsidP="00665ECD">
            <w:pPr>
              <w:contextualSpacing/>
              <w:rPr>
                <w:rFonts w:ascii="Calibri" w:eastAsia="Calibri" w:hAnsi="Calibri" w:cs="Calibri"/>
                <w:noProof/>
                <w:sz w:val="18"/>
                <w:szCs w:val="18"/>
                <w:lang w:val="en-US"/>
              </w:rPr>
            </w:pPr>
          </w:p>
          <w:p w14:paraId="3BEEF0E0" w14:textId="5B8F08FF" w:rsidR="00665ECD" w:rsidRDefault="00665ECD" w:rsidP="00665ECD">
            <w:pPr>
              <w:ind w:left="434"/>
              <w:contextualSpacing/>
              <w:rPr>
                <w:rFonts w:ascii="Calibri" w:eastAsia="Calibri" w:hAnsi="Calibri" w:cs="Calibri"/>
                <w:noProof/>
                <w:sz w:val="18"/>
                <w:szCs w:val="18"/>
                <w:lang w:val="en-US"/>
              </w:rPr>
            </w:pPr>
            <w:r w:rsidRPr="003476D3">
              <w:rPr>
                <w:rFonts w:ascii="Calibri" w:eastAsia="Calibri" w:hAnsi="Calibri" w:cs="Calibri"/>
                <w:noProof/>
                <w:sz w:val="18"/>
                <w:szCs w:val="18"/>
                <w:lang w:val="en-US"/>
              </w:rPr>
              <w:t>• Planned for 268 participants per treatment group for randomization, assuming a 12% discontinuation rate.</w:t>
            </w:r>
          </w:p>
        </w:tc>
        <w:tc>
          <w:tcPr>
            <w:tcW w:w="856" w:type="pct"/>
          </w:tcPr>
          <w:p w14:paraId="1958F628" w14:textId="77777777" w:rsidR="00665ECD" w:rsidRPr="006B2281" w:rsidRDefault="00665ECD" w:rsidP="00665ECD">
            <w:pPr>
              <w:numPr>
                <w:ilvl w:val="0"/>
                <w:numId w:val="14"/>
              </w:numPr>
              <w:ind w:left="218" w:hanging="142"/>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Adult(18–70 years), had </w:t>
            </w:r>
          </w:p>
          <w:p w14:paraId="04E81601" w14:textId="77777777" w:rsidR="00665ECD" w:rsidRPr="006B2281" w:rsidRDefault="00665ECD" w:rsidP="00665ECD">
            <w:pPr>
              <w:ind w:left="218"/>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a diagnosis of migraine with onset at or before age 50 years.</w:t>
            </w:r>
          </w:p>
          <w:p w14:paraId="56A0E40D" w14:textId="77777777" w:rsidR="00665ECD" w:rsidRPr="006B2281" w:rsidRDefault="00665ECD" w:rsidP="00665ECD">
            <w:pPr>
              <w:numPr>
                <w:ilvl w:val="0"/>
                <w:numId w:val="14"/>
              </w:numPr>
              <w:ind w:left="218" w:hanging="142"/>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Chronic migraine history at least  12 months before screening.</w:t>
            </w:r>
          </w:p>
          <w:p w14:paraId="7559AFB2" w14:textId="77777777" w:rsidR="00665ECD" w:rsidRPr="006B2281" w:rsidRDefault="00665ECD" w:rsidP="00665ECD">
            <w:pPr>
              <w:numPr>
                <w:ilvl w:val="0"/>
                <w:numId w:val="14"/>
              </w:numPr>
              <w:ind w:left="218" w:hanging="142"/>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&gt; 15 headache days per month, with at least 8 migraine days </w:t>
            </w:r>
          </w:p>
          <w:p w14:paraId="0CB62BDD" w14:textId="77777777" w:rsidR="00665ECD" w:rsidRPr="006B2281" w:rsidRDefault="00665ECD" w:rsidP="00665ECD">
            <w:pPr>
              <w:numPr>
                <w:ilvl w:val="0"/>
                <w:numId w:val="14"/>
              </w:numPr>
              <w:ind w:left="218" w:hanging="142"/>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Participants with and without overuse of acute headache medication</w:t>
            </w:r>
          </w:p>
          <w:p w14:paraId="589B8509" w14:textId="43BD7BDA" w:rsidR="00665ECD" w:rsidRPr="006B2281" w:rsidRDefault="00665ECD" w:rsidP="00665ECD">
            <w:pPr>
              <w:numPr>
                <w:ilvl w:val="0"/>
                <w:numId w:val="13"/>
              </w:numPr>
              <w:ind w:left="434"/>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With failure to two to four classes of migraine preventive medications in the past 10 years. </w:t>
            </w:r>
          </w:p>
        </w:tc>
        <w:tc>
          <w:tcPr>
            <w:tcW w:w="1349" w:type="pct"/>
          </w:tcPr>
          <w:p w14:paraId="5745275F" w14:textId="77777777" w:rsidR="00665ECD" w:rsidRPr="006B2281" w:rsidRDefault="00665ECD" w:rsidP="00665ECD">
            <w:pPr>
              <w:numPr>
                <w:ilvl w:val="0"/>
                <w:numId w:val="14"/>
              </w:numPr>
              <w:ind w:left="317" w:hanging="142"/>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 At the time of screening visit, participant is receiving any preventive migraine medications, regardless of the medical indication for more than 5 days and expects to continue with these medications.</w:t>
            </w:r>
          </w:p>
          <w:p w14:paraId="130444CD" w14:textId="77777777" w:rsidR="00665ECD" w:rsidRPr="006B2281" w:rsidRDefault="00665ECD" w:rsidP="00665ECD">
            <w:pPr>
              <w:numPr>
                <w:ilvl w:val="0"/>
                <w:numId w:val="14"/>
              </w:numPr>
              <w:tabs>
                <w:tab w:val="left" w:pos="458"/>
              </w:tabs>
              <w:ind w:left="17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Participant has received onabotulinumtoxinA for migraine or for any medical or cosmetic reasons requiring injections in the head, face, or neck during the 3 months before screening visit.</w:t>
            </w:r>
          </w:p>
          <w:p w14:paraId="25D0256C" w14:textId="77777777" w:rsidR="00665ECD" w:rsidRPr="006B2281" w:rsidRDefault="00665ECD" w:rsidP="00665ECD">
            <w:pPr>
              <w:numPr>
                <w:ilvl w:val="0"/>
                <w:numId w:val="14"/>
              </w:numPr>
              <w:tabs>
                <w:tab w:val="left" w:pos="458"/>
              </w:tabs>
              <w:ind w:left="17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The participant has used an intervention/device (for example; scheduled nerve blocks and transcranial magnetic stimulation) for migraine during the 2 months prior to screening.</w:t>
            </w:r>
          </w:p>
          <w:p w14:paraId="3D385582" w14:textId="77777777" w:rsidR="00665ECD" w:rsidRPr="006B2281" w:rsidRDefault="00665ECD" w:rsidP="00665ECD">
            <w:pPr>
              <w:numPr>
                <w:ilvl w:val="0"/>
                <w:numId w:val="14"/>
              </w:numPr>
              <w:tabs>
                <w:tab w:val="left" w:pos="458"/>
              </w:tabs>
              <w:ind w:left="17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The participant uses triptans/ergots as preventive therapies for migraine.</w:t>
            </w:r>
          </w:p>
          <w:p w14:paraId="614B84EE" w14:textId="35353BB0" w:rsidR="00665ECD" w:rsidRPr="006B2281" w:rsidRDefault="00665ECD" w:rsidP="00665ECD">
            <w:pPr>
              <w:numPr>
                <w:ilvl w:val="0"/>
                <w:numId w:val="13"/>
              </w:numPr>
              <w:ind w:left="31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Participant uses non-steroidal anti-inflammatory drugs (NSAIDs) as preventive therapy for migraine on nearly daily basis for other indications. Note: Low dose aspirin (for example; 81 mg) used for cardiovascular disease prevention is allowed.</w:t>
            </w:r>
          </w:p>
        </w:tc>
        <w:tc>
          <w:tcPr>
            <w:tcW w:w="774" w:type="pct"/>
          </w:tcPr>
          <w:p w14:paraId="2937966C" w14:textId="563F9226" w:rsidR="00665ECD" w:rsidRPr="006B2281" w:rsidRDefault="00665ECD" w:rsidP="00665ECD">
            <w:pPr>
              <w:rPr>
                <w:rFonts w:ascii="Calibri" w:eastAsia="Calibri" w:hAnsi="Calibri" w:cs="Calibri"/>
                <w:sz w:val="18"/>
                <w:szCs w:val="18"/>
                <w:lang w:val="en-US"/>
              </w:rPr>
            </w:pPr>
            <w:r w:rsidRPr="006B2281">
              <w:rPr>
                <w:rFonts w:ascii="Calibri" w:eastAsia="Calibri" w:hAnsi="Calibri" w:cs="Calibri"/>
                <w:sz w:val="18"/>
                <w:szCs w:val="18"/>
                <w:lang w:val="en-US"/>
              </w:rPr>
              <w:t>Fremanezumab was effective and well tolerated in patients with difficult-to-treat migraine who had previously not responded to up to four classes of migraine preventive medications.</w:t>
            </w:r>
          </w:p>
        </w:tc>
      </w:tr>
      <w:tr w:rsidR="00665ECD" w:rsidRPr="006B2281" w14:paraId="3283971D" w14:textId="77777777" w:rsidTr="00665ECD">
        <w:trPr>
          <w:cantSplit/>
          <w:trHeight w:val="1134"/>
        </w:trPr>
        <w:tc>
          <w:tcPr>
            <w:tcW w:w="417" w:type="pct"/>
          </w:tcPr>
          <w:p w14:paraId="5EC3EAD4"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lastRenderedPageBreak/>
              <w:t>Author, year:</w:t>
            </w:r>
            <w:r w:rsidRPr="006B2281">
              <w:rPr>
                <w:rFonts w:ascii="Calibri" w:eastAsia="Calibri" w:hAnsi="Calibri" w:cs="Calibri"/>
                <w:noProof/>
                <w:sz w:val="18"/>
                <w:szCs w:val="18"/>
                <w:lang w:val="en-US"/>
              </w:rPr>
              <w:t xml:space="preserve"> </w:t>
            </w:r>
          </w:p>
          <w:p w14:paraId="1D149EAF" w14:textId="20F94719" w:rsidR="00665ECD" w:rsidRPr="006B2281" w:rsidRDefault="00665ECD" w:rsidP="00665ECD">
            <w:pPr>
              <w:rPr>
                <w:rFonts w:ascii="Calibri" w:eastAsia="Calibri" w:hAnsi="Calibri" w:cs="Calibri"/>
                <w:sz w:val="18"/>
                <w:szCs w:val="18"/>
              </w:rPr>
            </w:pPr>
            <w:r w:rsidRPr="006B2281">
              <w:rPr>
                <w:rFonts w:ascii="Calibri" w:eastAsia="Calibri" w:hAnsi="Calibri" w:cs="Calibri"/>
                <w:sz w:val="18"/>
                <w:szCs w:val="18"/>
              </w:rPr>
              <w:t>Lipton, 2020</w:t>
            </w:r>
            <w:r w:rsidRPr="006B2281">
              <w:rPr>
                <w:rFonts w:ascii="Calibri" w:eastAsia="Calibri" w:hAnsi="Calibri" w:cs="Calibri"/>
                <w:sz w:val="18"/>
                <w:szCs w:val="18"/>
              </w:rPr>
              <w:fldChar w:fldCharType="begin"/>
            </w:r>
            <w:r w:rsidR="008D698C">
              <w:rPr>
                <w:rFonts w:ascii="Calibri" w:eastAsia="Calibri" w:hAnsi="Calibri" w:cs="Calibri"/>
                <w:sz w:val="18"/>
                <w:szCs w:val="18"/>
              </w:rPr>
              <w:instrText xml:space="preserve"> ADDIN EN.CITE &lt;EndNote&gt;&lt;Cite&gt;&lt;Author&gt;Lipton&lt;/Author&gt;&lt;Year&gt;2020&lt;/Year&gt;&lt;RecNum&gt;33&lt;/RecNum&gt;&lt;DisplayText&gt;&lt;style face="superscript"&gt;22&lt;/style&gt;&lt;/DisplayText&gt;&lt;record&gt;&lt;rec-number&gt;33&lt;/rec-number&gt;&lt;foreign-keys&gt;&lt;key app="EN" db-id="fsz20seeavzsfie29wsx20a60watx2ffv2wz" timestamp="1662393822"&gt;33&lt;/key&gt;&lt;/foreign-keys&gt;&lt;ref-type name="Journal Article"&gt;17&lt;/ref-type&gt;&lt;contributors&gt;&lt;authors&gt;&lt;author&gt;Lipton, Richard B&lt;/author&gt;&lt;author&gt;Goadsby, Peter J&lt;/author&gt;&lt;author&gt;Smith, Jeff&lt;/author&gt;&lt;author&gt;Schaeffler, Barbara A&lt;/author&gt;&lt;author&gt;Biondi, David M&lt;/author&gt;&lt;author&gt;Hirman, Joe&lt;/author&gt;&lt;author&gt;Pederson, Susan&lt;/author&gt;&lt;author&gt;Allan, Brent&lt;/author&gt;&lt;author&gt;Cady, Roger&lt;/author&gt;&lt;/authors&gt;&lt;/contributors&gt;&lt;titles&gt;&lt;title&gt;Efficacy and safety of eptinezumab in patients with chronic migraine: PROMISE-2&lt;/title&gt;&lt;secondary-title&gt;Neurology&lt;/secondary-title&gt;&lt;/titles&gt;&lt;periodical&gt;&lt;full-title&gt;Neurology&lt;/full-title&gt;&lt;/periodical&gt;&lt;pages&gt;e1365-e1377&lt;/pages&gt;&lt;volume&gt;94&lt;/volume&gt;&lt;number&gt;13&lt;/number&gt;&lt;dates&gt;&lt;year&gt;2020&lt;/year&gt;&lt;/dates&gt;&lt;isbn&gt;0028-3878&lt;/isbn&gt;&lt;label&gt;33&lt;/label&gt;&lt;urls&gt;&lt;/urls&gt;&lt;/record&gt;&lt;/Cite&gt;&lt;Cite&gt;&lt;Author&gt;Lipton&lt;/Author&gt;&lt;Year&gt;2020&lt;/Year&gt;&lt;RecNum&gt;33&lt;/RecNum&gt;&lt;record&gt;&lt;rec-number&gt;33&lt;/rec-number&gt;&lt;foreign-keys&gt;&lt;key app="EN" db-id="fsz20seeavzsfie29wsx20a60watx2ffv2wz" timestamp="1662393822"&gt;33&lt;/key&gt;&lt;/foreign-keys&gt;&lt;ref-type name="Journal Article"&gt;17&lt;/ref-type&gt;&lt;contributors&gt;&lt;authors&gt;&lt;author&gt;Lipton, Richard B&lt;/author&gt;&lt;author&gt;Goadsby, Peter J&lt;/author&gt;&lt;author&gt;Smith, Jeff&lt;/author&gt;&lt;author&gt;Schaeffler, Barbara A&lt;/author&gt;&lt;author&gt;Biondi, David M&lt;/author&gt;&lt;author&gt;Hirman, Joe&lt;/author&gt;&lt;author&gt;Pederson, Susan&lt;/author&gt;&lt;author&gt;Allan, Brent&lt;/author&gt;&lt;author&gt;Cady, Roger&lt;/author&gt;&lt;/authors&gt;&lt;/contributors&gt;&lt;titles&gt;&lt;title&gt;Efficacy and safety of eptinezumab in patients with chronic migraine: PROMISE-2&lt;/title&gt;&lt;secondary-title&gt;Neurology&lt;/secondary-title&gt;&lt;/titles&gt;&lt;periodical&gt;&lt;full-title&gt;Neurology&lt;/full-title&gt;&lt;/periodical&gt;&lt;pages&gt;e1365-e1377&lt;/pages&gt;&lt;volume&gt;94&lt;/volume&gt;&lt;number&gt;13&lt;/number&gt;&lt;dates&gt;&lt;year&gt;2020&lt;/year&gt;&lt;/dates&gt;&lt;isbn&gt;0028-3878&lt;/isbn&gt;&lt;label&gt;33&lt;/label&gt;&lt;urls&gt;&lt;/urls&gt;&lt;/record&gt;&lt;/Cite&gt;&lt;/EndNote&gt;</w:instrText>
            </w:r>
            <w:r w:rsidRPr="006B2281">
              <w:rPr>
                <w:rFonts w:ascii="Calibri" w:eastAsia="Calibri" w:hAnsi="Calibri" w:cs="Calibri"/>
                <w:sz w:val="18"/>
                <w:szCs w:val="18"/>
              </w:rPr>
              <w:fldChar w:fldCharType="separate"/>
            </w:r>
            <w:r w:rsidR="008D698C" w:rsidRPr="008D698C">
              <w:rPr>
                <w:rFonts w:ascii="Calibri" w:eastAsia="Calibri" w:hAnsi="Calibri" w:cs="Calibri"/>
                <w:noProof/>
                <w:sz w:val="18"/>
                <w:szCs w:val="18"/>
                <w:vertAlign w:val="superscript"/>
              </w:rPr>
              <w:t>22</w:t>
            </w:r>
            <w:r w:rsidRPr="006B2281">
              <w:rPr>
                <w:rFonts w:ascii="Calibri" w:eastAsia="Calibri" w:hAnsi="Calibri" w:cs="Calibri"/>
                <w:sz w:val="18"/>
                <w:szCs w:val="18"/>
              </w:rPr>
              <w:fldChar w:fldCharType="end"/>
            </w:r>
          </w:p>
          <w:p w14:paraId="3B1866FB" w14:textId="77777777" w:rsidR="00665ECD" w:rsidRPr="006B2281" w:rsidRDefault="00665ECD" w:rsidP="00665ECD">
            <w:pPr>
              <w:rPr>
                <w:rFonts w:ascii="Calibri" w:eastAsia="Calibri" w:hAnsi="Calibri" w:cs="Calibri"/>
                <w:b/>
                <w:bCs/>
                <w:sz w:val="18"/>
                <w:szCs w:val="18"/>
                <w:lang w:val="en-US"/>
              </w:rPr>
            </w:pPr>
          </w:p>
          <w:p w14:paraId="323388FF"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Country:</w:t>
            </w:r>
          </w:p>
          <w:p w14:paraId="7E1B61FE"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13 countries (United States, Spain, Ukraine, Russian</w:t>
            </w:r>
          </w:p>
          <w:p w14:paraId="7B8B58C9"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Federation, United Kingdom, Republic of Georgia, Hungary,</w:t>
            </w:r>
          </w:p>
          <w:p w14:paraId="2BDA1F9E"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Italy, Slovakia, Germany, Czech Republic, Denmark, and</w:t>
            </w:r>
          </w:p>
          <w:p w14:paraId="5C6669AB" w14:textId="69FBA8F8"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noProof/>
                <w:sz w:val="18"/>
                <w:szCs w:val="18"/>
                <w:lang w:val="en-US"/>
              </w:rPr>
              <w:t>Belgium)</w:t>
            </w:r>
          </w:p>
        </w:tc>
        <w:tc>
          <w:tcPr>
            <w:tcW w:w="748" w:type="pct"/>
          </w:tcPr>
          <w:p w14:paraId="768E1140"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Purpose:</w:t>
            </w:r>
          </w:p>
          <w:p w14:paraId="4338B850" w14:textId="01078B11"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sz w:val="18"/>
                <w:szCs w:val="18"/>
              </w:rPr>
              <w:t xml:space="preserve">To evaluate the efficacy and safety of </w:t>
            </w:r>
            <w:r w:rsidR="004C22A2">
              <w:rPr>
                <w:rFonts w:ascii="Calibri" w:eastAsia="Calibri" w:hAnsi="Calibri" w:cs="Calibri"/>
                <w:sz w:val="18"/>
                <w:szCs w:val="18"/>
              </w:rPr>
              <w:t>E</w:t>
            </w:r>
            <w:r w:rsidRPr="006B2281">
              <w:rPr>
                <w:rFonts w:ascii="Calibri" w:eastAsia="Calibri" w:hAnsi="Calibri" w:cs="Calibri"/>
                <w:sz w:val="18"/>
                <w:szCs w:val="18"/>
              </w:rPr>
              <w:t>ptinezumab, a humanized anti–calcitonin gene-related peptide monoclonal antibody, in the preventive treatment of chronic migraine (CM).</w:t>
            </w:r>
          </w:p>
          <w:p w14:paraId="7203BCD6" w14:textId="77777777" w:rsidR="00665ECD" w:rsidRPr="006B2281" w:rsidRDefault="00665ECD" w:rsidP="00665ECD">
            <w:pPr>
              <w:rPr>
                <w:rFonts w:ascii="Calibri" w:eastAsia="Calibri" w:hAnsi="Calibri" w:cs="Calibri"/>
                <w:noProof/>
                <w:sz w:val="18"/>
                <w:szCs w:val="18"/>
                <w:lang w:val="en-US"/>
              </w:rPr>
            </w:pPr>
          </w:p>
          <w:p w14:paraId="14704D8A"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t xml:space="preserve">Study design: </w:t>
            </w:r>
          </w:p>
          <w:p w14:paraId="335B5AE9" w14:textId="77777777" w:rsidR="00665ECD" w:rsidRPr="006B2281" w:rsidRDefault="00665ECD" w:rsidP="00665ECD">
            <w:pPr>
              <w:rPr>
                <w:rFonts w:ascii="Calibri" w:eastAsia="Calibri" w:hAnsi="Calibri" w:cs="Calibri"/>
                <w:sz w:val="18"/>
                <w:szCs w:val="18"/>
              </w:rPr>
            </w:pPr>
            <w:r w:rsidRPr="006B2281">
              <w:rPr>
                <w:rFonts w:ascii="Calibri" w:eastAsia="Calibri" w:hAnsi="Calibri" w:cs="Calibri"/>
                <w:sz w:val="18"/>
                <w:szCs w:val="18"/>
              </w:rPr>
              <w:t>phase 3, double-blind, randomized, placebo-controlled, parallel-group</w:t>
            </w:r>
          </w:p>
          <w:p w14:paraId="52BB63D3" w14:textId="77777777" w:rsidR="00665ECD" w:rsidRPr="006B2281" w:rsidRDefault="00665ECD" w:rsidP="00665ECD">
            <w:pPr>
              <w:rPr>
                <w:rFonts w:ascii="Calibri" w:eastAsia="Calibri" w:hAnsi="Calibri" w:cs="Calibri"/>
                <w:noProof/>
                <w:sz w:val="18"/>
                <w:szCs w:val="18"/>
                <w:lang w:val="en-US"/>
              </w:rPr>
            </w:pPr>
          </w:p>
          <w:p w14:paraId="79F184EB"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 xml:space="preserve">Date: </w:t>
            </w:r>
          </w:p>
          <w:p w14:paraId="5FF0B67C" w14:textId="41852175"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sz w:val="18"/>
                <w:szCs w:val="18"/>
              </w:rPr>
              <w:t>30 November 2016, to 20 April  2018.</w:t>
            </w:r>
          </w:p>
        </w:tc>
        <w:tc>
          <w:tcPr>
            <w:tcW w:w="856" w:type="pct"/>
          </w:tcPr>
          <w:p w14:paraId="2B616989" w14:textId="77777777" w:rsidR="00665ECD" w:rsidRDefault="00665ECD" w:rsidP="00665ECD">
            <w:pPr>
              <w:ind w:left="218"/>
              <w:contextualSpacing/>
              <w:rPr>
                <w:rFonts w:ascii="Calibri" w:eastAsia="Calibri" w:hAnsi="Calibri" w:cs="Calibri"/>
                <w:sz w:val="18"/>
                <w:szCs w:val="18"/>
              </w:rPr>
            </w:pPr>
            <w:r w:rsidRPr="002B22A9">
              <w:rPr>
                <w:rFonts w:ascii="Calibri" w:eastAsia="Calibri" w:hAnsi="Calibri" w:cs="Calibri"/>
                <w:sz w:val="18"/>
                <w:szCs w:val="18"/>
              </w:rPr>
              <w:t xml:space="preserve">• Planned sample: 350 patients per group with at least 90% power </w:t>
            </w:r>
          </w:p>
          <w:p w14:paraId="531A730D" w14:textId="77777777" w:rsidR="00665ECD" w:rsidRDefault="00665ECD" w:rsidP="00665ECD">
            <w:pPr>
              <w:ind w:left="218"/>
              <w:contextualSpacing/>
              <w:rPr>
                <w:rFonts w:ascii="Calibri" w:eastAsia="Calibri" w:hAnsi="Calibri" w:cs="Calibri"/>
                <w:sz w:val="18"/>
                <w:szCs w:val="18"/>
              </w:rPr>
            </w:pPr>
          </w:p>
          <w:p w14:paraId="38BCA219" w14:textId="77777777" w:rsidR="00665ECD" w:rsidRDefault="00665ECD" w:rsidP="00665ECD">
            <w:pPr>
              <w:ind w:left="218"/>
              <w:contextualSpacing/>
              <w:rPr>
                <w:rFonts w:ascii="Calibri" w:eastAsia="Calibri" w:hAnsi="Calibri" w:cs="Calibri"/>
                <w:sz w:val="18"/>
                <w:szCs w:val="18"/>
              </w:rPr>
            </w:pPr>
          </w:p>
          <w:p w14:paraId="37A373E5" w14:textId="77777777" w:rsidR="00665ECD" w:rsidRPr="002B22A9" w:rsidRDefault="00665ECD" w:rsidP="00665ECD">
            <w:pPr>
              <w:ind w:left="218"/>
              <w:contextualSpacing/>
              <w:rPr>
                <w:rFonts w:ascii="Calibri" w:eastAsia="Calibri" w:hAnsi="Calibri" w:cs="Calibri"/>
                <w:sz w:val="18"/>
                <w:szCs w:val="18"/>
              </w:rPr>
            </w:pPr>
          </w:p>
          <w:p w14:paraId="3095AC6F" w14:textId="14A1F7BA" w:rsidR="00665ECD" w:rsidRDefault="00665ECD" w:rsidP="00665ECD">
            <w:pPr>
              <w:ind w:left="434"/>
              <w:contextualSpacing/>
              <w:rPr>
                <w:rFonts w:ascii="Calibri" w:eastAsia="Calibri" w:hAnsi="Calibri" w:cs="Calibri"/>
                <w:noProof/>
                <w:sz w:val="18"/>
                <w:szCs w:val="18"/>
                <w:lang w:val="en-US"/>
              </w:rPr>
            </w:pPr>
            <w:r w:rsidRPr="002B22A9">
              <w:rPr>
                <w:rFonts w:ascii="Calibri" w:eastAsia="Calibri" w:hAnsi="Calibri" w:cs="Calibri"/>
                <w:sz w:val="18"/>
                <w:szCs w:val="18"/>
              </w:rPr>
              <w:t>• Assumed treatment effect was ≥1 day and the common standard deviation (SD) was ≤4 days.</w:t>
            </w:r>
          </w:p>
        </w:tc>
        <w:tc>
          <w:tcPr>
            <w:tcW w:w="856" w:type="pct"/>
          </w:tcPr>
          <w:p w14:paraId="24A964C0" w14:textId="77777777" w:rsidR="00665ECD" w:rsidRPr="006B2281" w:rsidRDefault="00665ECD" w:rsidP="00665ECD">
            <w:pPr>
              <w:numPr>
                <w:ilvl w:val="0"/>
                <w:numId w:val="18"/>
              </w:numPr>
              <w:ind w:left="218" w:hanging="218"/>
              <w:contextualSpacing/>
              <w:rPr>
                <w:rFonts w:ascii="Calibri" w:eastAsia="Calibri" w:hAnsi="Calibri" w:cs="Calibri"/>
                <w:sz w:val="18"/>
                <w:szCs w:val="18"/>
              </w:rPr>
            </w:pPr>
            <w:r w:rsidRPr="006B2281">
              <w:rPr>
                <w:rFonts w:ascii="Calibri" w:eastAsia="Calibri" w:hAnsi="Calibri" w:cs="Calibri"/>
                <w:sz w:val="18"/>
                <w:szCs w:val="18"/>
              </w:rPr>
              <w:t>Adults (18 to 65 years) of age (inclusive) with a diagnosis of migraine at or before 50 years of age if they had a history of CM for ≥12 months before screening, completed the headache electronic diary (eDiary) on ≥24 of the 28 days and experienced ≥15 to ≤26 headache days and ≥8 migraine days during the 28-day screening period.</w:t>
            </w:r>
          </w:p>
          <w:p w14:paraId="118AECD9" w14:textId="77777777" w:rsidR="00665ECD" w:rsidRPr="006B2281" w:rsidRDefault="00665ECD" w:rsidP="00665ECD">
            <w:pPr>
              <w:numPr>
                <w:ilvl w:val="0"/>
                <w:numId w:val="18"/>
              </w:numPr>
              <w:ind w:left="218" w:hanging="142"/>
              <w:contextualSpacing/>
              <w:rPr>
                <w:rFonts w:ascii="Calibri" w:eastAsia="Calibri" w:hAnsi="Calibri" w:cs="Calibri"/>
                <w:sz w:val="18"/>
                <w:szCs w:val="18"/>
              </w:rPr>
            </w:pPr>
            <w:r w:rsidRPr="006B2281">
              <w:rPr>
                <w:rFonts w:ascii="Calibri" w:eastAsia="Calibri" w:hAnsi="Calibri" w:cs="Calibri"/>
                <w:sz w:val="18"/>
                <w:szCs w:val="18"/>
              </w:rPr>
              <w:t>Migraine preventive medication use had to be stable for ≥3 months before screening. Hormonal therapy was also permitted if it was stable and ongoing ≥3 months before screening.</w:t>
            </w:r>
          </w:p>
          <w:p w14:paraId="19AD052B" w14:textId="77777777" w:rsidR="00665ECD" w:rsidRPr="006B2281" w:rsidRDefault="00665ECD" w:rsidP="00665ECD">
            <w:pPr>
              <w:numPr>
                <w:ilvl w:val="0"/>
                <w:numId w:val="18"/>
              </w:numPr>
              <w:ind w:left="218" w:hanging="142"/>
              <w:contextualSpacing/>
              <w:rPr>
                <w:rFonts w:ascii="Calibri" w:eastAsia="Calibri" w:hAnsi="Calibri" w:cs="Calibri"/>
                <w:noProof/>
                <w:sz w:val="18"/>
                <w:szCs w:val="18"/>
                <w:lang w:val="en-US"/>
              </w:rPr>
            </w:pPr>
            <w:r w:rsidRPr="006B2281">
              <w:rPr>
                <w:rFonts w:ascii="Calibri" w:eastAsia="Calibri" w:hAnsi="Calibri" w:cs="Calibri"/>
                <w:sz w:val="18"/>
                <w:szCs w:val="18"/>
              </w:rPr>
              <w:t>Patients using barbiturates or prescription opioids ≤4 d/mo were eligible for participation if use was stable for ≥2 months before screening.</w:t>
            </w:r>
          </w:p>
          <w:p w14:paraId="7904DBB0" w14:textId="79EE89B2" w:rsidR="00665ECD" w:rsidRPr="006B02C4" w:rsidRDefault="00665ECD" w:rsidP="006B02C4">
            <w:pPr>
              <w:numPr>
                <w:ilvl w:val="0"/>
                <w:numId w:val="18"/>
              </w:numPr>
              <w:ind w:left="218" w:hanging="142"/>
              <w:contextualSpacing/>
              <w:rPr>
                <w:rFonts w:ascii="Calibri" w:eastAsia="Calibri" w:hAnsi="Calibri" w:cs="Calibri"/>
                <w:noProof/>
                <w:sz w:val="18"/>
                <w:szCs w:val="18"/>
                <w:lang w:val="en-US"/>
              </w:rPr>
            </w:pPr>
            <w:r w:rsidRPr="006B2281">
              <w:rPr>
                <w:rFonts w:ascii="Calibri" w:eastAsia="Calibri" w:hAnsi="Calibri" w:cs="Calibri"/>
                <w:sz w:val="18"/>
                <w:szCs w:val="18"/>
              </w:rPr>
              <w:t xml:space="preserve"> Patients with CM and medication-overuse headache with the exception of the overuse of barbiturates or opioids </w:t>
            </w:r>
          </w:p>
        </w:tc>
        <w:tc>
          <w:tcPr>
            <w:tcW w:w="1349" w:type="pct"/>
          </w:tcPr>
          <w:p w14:paraId="6CD2C34C" w14:textId="77777777" w:rsidR="00665ECD" w:rsidRPr="006B2281" w:rsidRDefault="00665ECD" w:rsidP="00665ECD">
            <w:pPr>
              <w:numPr>
                <w:ilvl w:val="0"/>
                <w:numId w:val="18"/>
              </w:numPr>
              <w:tabs>
                <w:tab w:val="left" w:pos="33"/>
                <w:tab w:val="left" w:pos="175"/>
              </w:tabs>
              <w:ind w:left="33"/>
              <w:contextualSpacing/>
              <w:rPr>
                <w:rFonts w:ascii="Calibri" w:eastAsia="Calibri" w:hAnsi="Calibri" w:cs="Calibri"/>
                <w:noProof/>
                <w:sz w:val="18"/>
                <w:szCs w:val="18"/>
                <w:lang w:val="en-US"/>
              </w:rPr>
            </w:pPr>
            <w:r w:rsidRPr="006B2281">
              <w:rPr>
                <w:rFonts w:ascii="Calibri" w:eastAsia="Calibri" w:hAnsi="Calibri" w:cs="Calibri"/>
                <w:sz w:val="18"/>
                <w:szCs w:val="18"/>
              </w:rPr>
              <w:t>Patients using opioids or barbiturates ≥5 d/mo</w:t>
            </w:r>
          </w:p>
          <w:p w14:paraId="6C9B36C3" w14:textId="77777777" w:rsidR="00665ECD" w:rsidRPr="006B2281" w:rsidRDefault="00665ECD" w:rsidP="00665ECD">
            <w:pPr>
              <w:numPr>
                <w:ilvl w:val="0"/>
                <w:numId w:val="18"/>
              </w:numPr>
              <w:tabs>
                <w:tab w:val="left" w:pos="33"/>
                <w:tab w:val="left" w:pos="175"/>
              </w:tabs>
              <w:ind w:left="33"/>
              <w:contextualSpacing/>
              <w:rPr>
                <w:rFonts w:ascii="Calibri" w:eastAsia="Calibri" w:hAnsi="Calibri" w:cs="Calibri"/>
                <w:noProof/>
                <w:sz w:val="18"/>
                <w:szCs w:val="18"/>
                <w:lang w:val="en-US"/>
              </w:rPr>
            </w:pPr>
            <w:r w:rsidRPr="006B2281">
              <w:rPr>
                <w:rFonts w:ascii="Calibri" w:eastAsia="Calibri" w:hAnsi="Calibri" w:cs="Calibri"/>
                <w:sz w:val="18"/>
                <w:szCs w:val="18"/>
              </w:rPr>
              <w:t>With a confounding pain disorder or clinically significant pain syndromes; uncontrolled or untreated psychiatric conditions; acute or active temporomandibular disorders; history or diagnosis of a headache or migraine disorders that did not meet the ICHD-3 criteria</w:t>
            </w:r>
          </w:p>
          <w:p w14:paraId="1990D64C" w14:textId="77777777" w:rsidR="00665ECD" w:rsidRPr="006B2281" w:rsidRDefault="00665ECD" w:rsidP="00665ECD">
            <w:pPr>
              <w:numPr>
                <w:ilvl w:val="0"/>
                <w:numId w:val="18"/>
              </w:numPr>
              <w:tabs>
                <w:tab w:val="left" w:pos="33"/>
                <w:tab w:val="left" w:pos="175"/>
              </w:tabs>
              <w:ind w:left="33"/>
              <w:contextualSpacing/>
              <w:rPr>
                <w:rFonts w:ascii="Calibri" w:eastAsia="Calibri" w:hAnsi="Calibri" w:cs="Calibri"/>
                <w:noProof/>
                <w:sz w:val="18"/>
                <w:szCs w:val="18"/>
                <w:lang w:val="en-US"/>
              </w:rPr>
            </w:pPr>
            <w:r w:rsidRPr="006B2281">
              <w:rPr>
                <w:rFonts w:ascii="Calibri" w:eastAsia="Calibri" w:hAnsi="Calibri" w:cs="Calibri"/>
                <w:sz w:val="18"/>
                <w:szCs w:val="18"/>
              </w:rPr>
              <w:t>present or previous malignancies, any active, progressive, or unstable cardiovascular, neurologic, or autoimmune disorder; newly diagnosed or uncontrolled hypertension.</w:t>
            </w:r>
          </w:p>
          <w:p w14:paraId="6479D409" w14:textId="77777777" w:rsidR="00665ECD" w:rsidRPr="006B2281" w:rsidRDefault="00665ECD" w:rsidP="00665ECD">
            <w:pPr>
              <w:numPr>
                <w:ilvl w:val="0"/>
                <w:numId w:val="18"/>
              </w:numPr>
              <w:tabs>
                <w:tab w:val="left" w:pos="33"/>
                <w:tab w:val="left" w:pos="175"/>
              </w:tabs>
              <w:ind w:left="33"/>
              <w:contextualSpacing/>
              <w:rPr>
                <w:rFonts w:ascii="Calibri" w:eastAsia="Calibri" w:hAnsi="Calibri" w:cs="Calibri"/>
                <w:noProof/>
                <w:sz w:val="18"/>
                <w:szCs w:val="18"/>
                <w:lang w:val="en-US"/>
              </w:rPr>
            </w:pPr>
            <w:r w:rsidRPr="006B2281">
              <w:rPr>
                <w:rFonts w:ascii="Calibri" w:eastAsia="Calibri" w:hAnsi="Calibri" w:cs="Calibri"/>
                <w:sz w:val="18"/>
                <w:szCs w:val="18"/>
              </w:rPr>
              <w:t>Women who were pregnant, breastfeeding, or planning to become pregnant during the study</w:t>
            </w:r>
          </w:p>
          <w:p w14:paraId="30C8407A" w14:textId="77777777" w:rsidR="00665ECD" w:rsidRPr="006B2281" w:rsidRDefault="00665ECD" w:rsidP="00665ECD">
            <w:pPr>
              <w:numPr>
                <w:ilvl w:val="0"/>
                <w:numId w:val="18"/>
              </w:numPr>
              <w:tabs>
                <w:tab w:val="left" w:pos="33"/>
                <w:tab w:val="left" w:pos="175"/>
              </w:tabs>
              <w:ind w:left="33"/>
              <w:contextualSpacing/>
              <w:rPr>
                <w:rFonts w:ascii="Calibri" w:eastAsia="Calibri" w:hAnsi="Calibri" w:cs="Calibri"/>
                <w:noProof/>
                <w:sz w:val="18"/>
                <w:szCs w:val="18"/>
                <w:lang w:val="en-US"/>
              </w:rPr>
            </w:pPr>
            <w:r w:rsidRPr="006B2281">
              <w:rPr>
                <w:rFonts w:ascii="Calibri" w:eastAsia="Calibri" w:hAnsi="Calibri" w:cs="Calibri"/>
                <w:sz w:val="18"/>
                <w:szCs w:val="18"/>
              </w:rPr>
              <w:t>positive for HIV, hepatitis B surface antigen, or hepatitis C</w:t>
            </w:r>
          </w:p>
          <w:p w14:paraId="0D5E4EAE" w14:textId="77777777" w:rsidR="00665ECD" w:rsidRPr="006B2281" w:rsidRDefault="00665ECD" w:rsidP="00665ECD">
            <w:pPr>
              <w:numPr>
                <w:ilvl w:val="0"/>
                <w:numId w:val="18"/>
              </w:numPr>
              <w:tabs>
                <w:tab w:val="left" w:pos="33"/>
                <w:tab w:val="left" w:pos="175"/>
              </w:tabs>
              <w:ind w:left="33"/>
              <w:contextualSpacing/>
              <w:rPr>
                <w:rFonts w:ascii="Calibri" w:eastAsia="Calibri" w:hAnsi="Calibri" w:cs="Calibri"/>
                <w:noProof/>
                <w:sz w:val="18"/>
                <w:szCs w:val="18"/>
                <w:lang w:val="en-US"/>
              </w:rPr>
            </w:pPr>
            <w:r w:rsidRPr="006B2281">
              <w:rPr>
                <w:rFonts w:ascii="Calibri" w:eastAsia="Calibri" w:hAnsi="Calibri" w:cs="Calibri"/>
                <w:sz w:val="18"/>
                <w:szCs w:val="18"/>
              </w:rPr>
              <w:t xml:space="preserve">A concurrent medical condition or laboratory abnormality during the screening period or before dosing on day 0; </w:t>
            </w:r>
          </w:p>
          <w:p w14:paraId="75FD3230" w14:textId="77777777" w:rsidR="00665ECD" w:rsidRPr="006B2281" w:rsidRDefault="00665ECD" w:rsidP="00665ECD">
            <w:pPr>
              <w:numPr>
                <w:ilvl w:val="0"/>
                <w:numId w:val="18"/>
              </w:numPr>
              <w:tabs>
                <w:tab w:val="left" w:pos="33"/>
                <w:tab w:val="left" w:pos="175"/>
              </w:tabs>
              <w:ind w:left="33"/>
              <w:contextualSpacing/>
              <w:rPr>
                <w:rFonts w:ascii="Calibri" w:eastAsia="Calibri" w:hAnsi="Calibri" w:cs="Calibri"/>
                <w:noProof/>
                <w:sz w:val="18"/>
                <w:szCs w:val="18"/>
                <w:lang w:val="en-US"/>
              </w:rPr>
            </w:pPr>
            <w:r w:rsidRPr="006B2281">
              <w:rPr>
                <w:rFonts w:ascii="Calibri" w:eastAsia="Calibri" w:hAnsi="Calibri" w:cs="Calibri"/>
                <w:sz w:val="18"/>
                <w:szCs w:val="18"/>
              </w:rPr>
              <w:t xml:space="preserve">body mass index ≥39 kg/m2 </w:t>
            </w:r>
          </w:p>
          <w:p w14:paraId="0D7B587F" w14:textId="77777777" w:rsidR="00665ECD" w:rsidRPr="006B2281" w:rsidRDefault="00665ECD" w:rsidP="00665ECD">
            <w:pPr>
              <w:numPr>
                <w:ilvl w:val="0"/>
                <w:numId w:val="18"/>
              </w:numPr>
              <w:tabs>
                <w:tab w:val="left" w:pos="33"/>
                <w:tab w:val="left" w:pos="175"/>
              </w:tabs>
              <w:ind w:left="33"/>
              <w:contextualSpacing/>
              <w:rPr>
                <w:rFonts w:ascii="Calibri" w:eastAsia="Calibri" w:hAnsi="Calibri" w:cs="Calibri"/>
                <w:noProof/>
                <w:sz w:val="18"/>
                <w:szCs w:val="18"/>
                <w:lang w:val="en-US"/>
              </w:rPr>
            </w:pPr>
            <w:r w:rsidRPr="006B2281">
              <w:rPr>
                <w:rFonts w:ascii="Calibri" w:eastAsia="Calibri" w:hAnsi="Calibri" w:cs="Calibri"/>
                <w:sz w:val="18"/>
                <w:szCs w:val="18"/>
              </w:rPr>
              <w:t xml:space="preserve"> or recent or planned surgery requiring general anesthesia within 8 weeks before screening or during the duration of the study</w:t>
            </w:r>
          </w:p>
          <w:p w14:paraId="4FFEB9C2" w14:textId="77777777" w:rsidR="00665ECD" w:rsidRPr="006B2281" w:rsidRDefault="00665ECD" w:rsidP="00665ECD">
            <w:pPr>
              <w:numPr>
                <w:ilvl w:val="0"/>
                <w:numId w:val="18"/>
              </w:numPr>
              <w:tabs>
                <w:tab w:val="left" w:pos="33"/>
                <w:tab w:val="left" w:pos="175"/>
              </w:tabs>
              <w:ind w:left="33"/>
              <w:contextualSpacing/>
              <w:rPr>
                <w:rFonts w:ascii="Calibri" w:eastAsia="Calibri" w:hAnsi="Calibri" w:cs="Calibri"/>
                <w:noProof/>
                <w:sz w:val="18"/>
                <w:szCs w:val="18"/>
                <w:lang w:val="en-US"/>
              </w:rPr>
            </w:pPr>
            <w:r w:rsidRPr="006B2281">
              <w:rPr>
                <w:rFonts w:ascii="Calibri" w:eastAsia="Calibri" w:hAnsi="Calibri" w:cs="Calibri"/>
                <w:sz w:val="18"/>
                <w:szCs w:val="18"/>
              </w:rPr>
              <w:t xml:space="preserve"> botulinum toxin (any type) for migraine or for any other medical cosmetic reasons requiring injections within 4 months before screening or during the screening period</w:t>
            </w:r>
          </w:p>
          <w:p w14:paraId="4A6CE613" w14:textId="275BEDDC" w:rsidR="00665ECD" w:rsidRPr="006B2281" w:rsidRDefault="00665ECD" w:rsidP="00665ECD">
            <w:pPr>
              <w:numPr>
                <w:ilvl w:val="0"/>
                <w:numId w:val="13"/>
              </w:numPr>
              <w:ind w:left="315"/>
              <w:contextualSpacing/>
              <w:rPr>
                <w:rFonts w:ascii="Calibri" w:eastAsia="Calibri" w:hAnsi="Calibri" w:cs="Calibri"/>
                <w:noProof/>
                <w:sz w:val="18"/>
                <w:szCs w:val="18"/>
                <w:lang w:val="en-US"/>
              </w:rPr>
            </w:pPr>
            <w:r w:rsidRPr="006B2281">
              <w:rPr>
                <w:rFonts w:ascii="Calibri" w:eastAsia="Calibri" w:hAnsi="Calibri" w:cs="Calibri"/>
                <w:sz w:val="18"/>
                <w:szCs w:val="18"/>
              </w:rPr>
              <w:t xml:space="preserve">any monoclonal antibody treatment within 6 months of screening; or </w:t>
            </w:r>
            <w:r w:rsidR="004C22A2">
              <w:rPr>
                <w:rFonts w:ascii="Calibri" w:eastAsia="Calibri" w:hAnsi="Calibri" w:cs="Calibri"/>
                <w:sz w:val="18"/>
                <w:szCs w:val="18"/>
              </w:rPr>
              <w:t>E</w:t>
            </w:r>
            <w:r w:rsidRPr="006B2281">
              <w:rPr>
                <w:rFonts w:ascii="Calibri" w:eastAsia="Calibri" w:hAnsi="Calibri" w:cs="Calibri"/>
                <w:sz w:val="18"/>
                <w:szCs w:val="18"/>
              </w:rPr>
              <w:t>ptinezumab or any monoclonal antibody targeting the CGRP pathway.</w:t>
            </w:r>
          </w:p>
        </w:tc>
        <w:tc>
          <w:tcPr>
            <w:tcW w:w="774" w:type="pct"/>
          </w:tcPr>
          <w:p w14:paraId="4EC3398C" w14:textId="49BCF105" w:rsidR="00665ECD" w:rsidRPr="006B2281" w:rsidRDefault="00665ECD" w:rsidP="00665ECD">
            <w:pPr>
              <w:rPr>
                <w:rFonts w:ascii="Calibri" w:eastAsia="Calibri" w:hAnsi="Calibri" w:cs="Calibri"/>
                <w:sz w:val="18"/>
                <w:szCs w:val="18"/>
                <w:lang w:val="en-US"/>
              </w:rPr>
            </w:pPr>
            <w:r w:rsidRPr="006B2281">
              <w:rPr>
                <w:rFonts w:ascii="Calibri" w:eastAsia="Calibri" w:hAnsi="Calibri" w:cs="Calibri"/>
                <w:sz w:val="18"/>
                <w:szCs w:val="18"/>
              </w:rPr>
              <w:t xml:space="preserve">In patients with CM, </w:t>
            </w:r>
            <w:r w:rsidR="004C22A2">
              <w:rPr>
                <w:rFonts w:ascii="Calibri" w:eastAsia="Calibri" w:hAnsi="Calibri" w:cs="Calibri"/>
                <w:sz w:val="18"/>
                <w:szCs w:val="18"/>
              </w:rPr>
              <w:t>E</w:t>
            </w:r>
            <w:r w:rsidRPr="006B2281">
              <w:rPr>
                <w:rFonts w:ascii="Calibri" w:eastAsia="Calibri" w:hAnsi="Calibri" w:cs="Calibri"/>
                <w:sz w:val="18"/>
                <w:szCs w:val="18"/>
              </w:rPr>
              <w:t>ptinezumab 100 and 300 mg was associated with a significant reduction in MMDs from the day after IV administration through week 12, was well tolerated, and demonstrated an acceptable safety profile.</w:t>
            </w:r>
          </w:p>
        </w:tc>
      </w:tr>
      <w:tr w:rsidR="00665ECD" w:rsidRPr="006B2281" w14:paraId="4D9FD6E6" w14:textId="77777777" w:rsidTr="00665ECD">
        <w:trPr>
          <w:cantSplit/>
          <w:trHeight w:val="1134"/>
        </w:trPr>
        <w:tc>
          <w:tcPr>
            <w:tcW w:w="417" w:type="pct"/>
          </w:tcPr>
          <w:p w14:paraId="72CC1EDD" w14:textId="3E8797BC" w:rsidR="00665ECD" w:rsidRPr="006B2281" w:rsidRDefault="00665ECD" w:rsidP="00665ECD">
            <w:pPr>
              <w:rPr>
                <w:rFonts w:ascii="Calibri" w:eastAsia="Calibri" w:hAnsi="Calibri" w:cs="Calibri"/>
                <w:sz w:val="18"/>
                <w:szCs w:val="18"/>
              </w:rPr>
            </w:pPr>
            <w:r w:rsidRPr="006B2281">
              <w:rPr>
                <w:rFonts w:ascii="Calibri" w:eastAsia="Calibri" w:hAnsi="Calibri" w:cs="Calibri"/>
                <w:b/>
                <w:bCs/>
                <w:sz w:val="18"/>
                <w:szCs w:val="18"/>
                <w:lang w:val="en-US"/>
              </w:rPr>
              <w:lastRenderedPageBreak/>
              <w:t>Author, year:</w:t>
            </w:r>
            <w:r w:rsidRPr="006B2281">
              <w:rPr>
                <w:rFonts w:ascii="Calibri" w:eastAsia="Calibri" w:hAnsi="Calibri" w:cs="Calibri"/>
                <w:noProof/>
                <w:sz w:val="18"/>
                <w:szCs w:val="18"/>
                <w:lang w:val="en-US"/>
              </w:rPr>
              <w:t xml:space="preserve"> </w:t>
            </w:r>
            <w:r w:rsidRPr="006B2281">
              <w:rPr>
                <w:rFonts w:ascii="Calibri" w:eastAsia="Calibri" w:hAnsi="Calibri" w:cs="Calibri"/>
                <w:sz w:val="18"/>
                <w:szCs w:val="18"/>
              </w:rPr>
              <w:t xml:space="preserve">Rothrock, 2019 </w:t>
            </w:r>
            <w:r w:rsidRPr="006B2281">
              <w:rPr>
                <w:rFonts w:ascii="Calibri" w:eastAsia="Calibri" w:hAnsi="Calibri" w:cs="Calibri"/>
                <w:sz w:val="18"/>
                <w:szCs w:val="18"/>
              </w:rPr>
              <w:fldChar w:fldCharType="begin">
                <w:fldData xml:space="preserve">PEVuZE5vdGU+PENpdGU+PEF1dGhvcj5Sb3Rocm9jazwvQXV0aG9yPjxZZWFyPjIwMTk8L1llYXI+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</w:fldData>
              </w:fldChar>
            </w:r>
            <w:r w:rsidR="008D698C">
              <w:rPr>
                <w:rFonts w:ascii="Calibri" w:eastAsia="Calibri" w:hAnsi="Calibri" w:cs="Calibri"/>
                <w:sz w:val="18"/>
                <w:szCs w:val="18"/>
              </w:rPr>
              <w:instrText xml:space="preserve"> ADDIN EN.CITE </w:instrText>
            </w:r>
            <w:r w:rsidR="008D698C">
              <w:rPr>
                <w:rFonts w:ascii="Calibri" w:eastAsia="Calibri" w:hAnsi="Calibri" w:cs="Calibri"/>
                <w:sz w:val="18"/>
                <w:szCs w:val="18"/>
              </w:rPr>
              <w:fldChar w:fldCharType="begin">
                <w:fldData xml:space="preserve">PEVuZE5vdGU+PENpdGU+PEF1dGhvcj5Sb3Rocm9jazwvQXV0aG9yPjxZZWFyPjIwMTk8L1llYXI+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</w:fldData>
              </w:fldChar>
            </w:r>
            <w:r w:rsidR="008D698C">
              <w:rPr>
                <w:rFonts w:ascii="Calibri" w:eastAsia="Calibri" w:hAnsi="Calibri" w:cs="Calibri"/>
                <w:sz w:val="18"/>
                <w:szCs w:val="18"/>
              </w:rPr>
              <w:instrText xml:space="preserve"> ADDIN EN.CITE.DATA </w:instrText>
            </w:r>
            <w:r w:rsidR="008D698C">
              <w:rPr>
                <w:rFonts w:ascii="Calibri" w:eastAsia="Calibri" w:hAnsi="Calibri" w:cs="Calibri"/>
                <w:sz w:val="18"/>
                <w:szCs w:val="18"/>
              </w:rPr>
            </w:r>
            <w:r w:rsidR="008D698C">
              <w:rPr>
                <w:rFonts w:ascii="Calibri" w:eastAsia="Calibri" w:hAnsi="Calibri" w:cs="Calibri"/>
                <w:sz w:val="18"/>
                <w:szCs w:val="18"/>
              </w:rPr>
              <w:fldChar w:fldCharType="end"/>
            </w:r>
            <w:r w:rsidRPr="006B2281">
              <w:rPr>
                <w:rFonts w:ascii="Calibri" w:eastAsia="Calibri" w:hAnsi="Calibri" w:cs="Calibri"/>
                <w:sz w:val="18"/>
                <w:szCs w:val="18"/>
              </w:rPr>
            </w:r>
            <w:r w:rsidRPr="006B2281">
              <w:rPr>
                <w:rFonts w:ascii="Calibri" w:eastAsia="Calibri" w:hAnsi="Calibri" w:cs="Calibri"/>
                <w:sz w:val="18"/>
                <w:szCs w:val="18"/>
              </w:rPr>
              <w:fldChar w:fldCharType="separate"/>
            </w:r>
            <w:r w:rsidR="008D698C" w:rsidRPr="008D698C">
              <w:rPr>
                <w:rFonts w:ascii="Calibri" w:eastAsia="Calibri" w:hAnsi="Calibri" w:cs="Calibri"/>
                <w:noProof/>
                <w:sz w:val="18"/>
                <w:szCs w:val="18"/>
                <w:vertAlign w:val="superscript"/>
              </w:rPr>
              <w:t>36</w:t>
            </w:r>
            <w:r w:rsidRPr="006B2281">
              <w:rPr>
                <w:rFonts w:ascii="Calibri" w:eastAsia="Calibri" w:hAnsi="Calibri" w:cs="Calibri"/>
                <w:sz w:val="18"/>
                <w:szCs w:val="18"/>
              </w:rPr>
              <w:fldChar w:fldCharType="end"/>
            </w:r>
          </w:p>
          <w:p w14:paraId="1BC8EFF6" w14:textId="77777777" w:rsidR="00665ECD" w:rsidRPr="006B2281" w:rsidRDefault="00665ECD" w:rsidP="00665ECD">
            <w:pPr>
              <w:rPr>
                <w:rFonts w:ascii="Calibri" w:eastAsia="Calibri" w:hAnsi="Calibri" w:cs="Calibri"/>
                <w:sz w:val="18"/>
                <w:szCs w:val="18"/>
              </w:rPr>
            </w:pPr>
          </w:p>
          <w:p w14:paraId="06AA6499"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Country:</w:t>
            </w:r>
          </w:p>
          <w:p w14:paraId="51E1E5D9" w14:textId="77777777" w:rsidR="00665ECD" w:rsidRPr="006B2281" w:rsidRDefault="00665ECD" w:rsidP="00665ECD">
            <w:pPr>
              <w:rPr>
                <w:rFonts w:ascii="Calibri" w:eastAsia="Calibri" w:hAnsi="Calibri" w:cs="Calibri"/>
                <w:sz w:val="18"/>
                <w:szCs w:val="18"/>
              </w:rPr>
            </w:pPr>
            <w:r w:rsidRPr="006B2281">
              <w:rPr>
                <w:rFonts w:ascii="Calibri" w:eastAsia="Calibri" w:hAnsi="Calibri" w:cs="Calibri"/>
                <w:sz w:val="18"/>
                <w:szCs w:val="18"/>
              </w:rPr>
              <w:t>United State</w:t>
            </w:r>
          </w:p>
          <w:p w14:paraId="401AFF9B" w14:textId="77777777" w:rsidR="00665ECD" w:rsidRPr="006B2281" w:rsidRDefault="00665ECD" w:rsidP="00665ECD">
            <w:pPr>
              <w:rPr>
                <w:rFonts w:ascii="Calibri" w:eastAsia="Calibri" w:hAnsi="Calibri" w:cs="Calibri"/>
                <w:b/>
                <w:bCs/>
                <w:sz w:val="18"/>
                <w:szCs w:val="18"/>
                <w:lang w:val="en-US"/>
              </w:rPr>
            </w:pPr>
          </w:p>
        </w:tc>
        <w:tc>
          <w:tcPr>
            <w:tcW w:w="748" w:type="pct"/>
          </w:tcPr>
          <w:p w14:paraId="623B8C5F"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Purpose:</w:t>
            </w:r>
          </w:p>
          <w:p w14:paraId="218510D9"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To  compare  effectiveness  of  onabotulinumtoxinA  and  topiramate  for  chronic  migraine  (CM)  prevention.</w:t>
            </w:r>
          </w:p>
          <w:p w14:paraId="08E423BC" w14:textId="77777777" w:rsidR="00665ECD" w:rsidRPr="006B2281" w:rsidRDefault="00665ECD" w:rsidP="00665ECD">
            <w:pPr>
              <w:rPr>
                <w:rFonts w:ascii="Calibri" w:eastAsia="Calibri" w:hAnsi="Calibri" w:cs="Calibri"/>
                <w:noProof/>
                <w:sz w:val="18"/>
                <w:szCs w:val="18"/>
                <w:lang w:val="en-US"/>
              </w:rPr>
            </w:pPr>
          </w:p>
          <w:p w14:paraId="333BA10A"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t xml:space="preserve">Study design: </w:t>
            </w:r>
          </w:p>
          <w:p w14:paraId="119DC9E3"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multicenter, randomized, parallel-group, post-authorization, open-label prospective study (ethodology. After 12 weeks, patients initially randomized to topiramate could cross over to onabotulinumtoxinA treatment</w:t>
            </w:r>
          </w:p>
          <w:p w14:paraId="6D56C75A" w14:textId="77777777" w:rsidR="00665ECD" w:rsidRPr="006B2281" w:rsidRDefault="00665ECD" w:rsidP="00665ECD">
            <w:pPr>
              <w:rPr>
                <w:rFonts w:ascii="Calibri" w:eastAsia="Calibri" w:hAnsi="Calibri" w:cs="Calibri"/>
                <w:noProof/>
                <w:sz w:val="18"/>
                <w:szCs w:val="18"/>
                <w:lang w:val="en-US"/>
              </w:rPr>
            </w:pPr>
          </w:p>
          <w:p w14:paraId="352AC93F"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 xml:space="preserve">Date: </w:t>
            </w:r>
          </w:p>
          <w:p w14:paraId="66CCB4F9" w14:textId="457751F9"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noProof/>
                <w:sz w:val="18"/>
                <w:szCs w:val="18"/>
                <w:lang w:val="en-US"/>
              </w:rPr>
              <w:t>August 2014 to  September  2017</w:t>
            </w:r>
          </w:p>
        </w:tc>
        <w:tc>
          <w:tcPr>
            <w:tcW w:w="856" w:type="pct"/>
          </w:tcPr>
          <w:p w14:paraId="0D90A05E" w14:textId="77777777" w:rsidR="00665ECD" w:rsidRDefault="00665ECD" w:rsidP="00665ECD">
            <w:pPr>
              <w:ind w:left="40"/>
              <w:contextualSpacing/>
              <w:rPr>
                <w:rFonts w:ascii="Calibri" w:eastAsia="Calibri" w:hAnsi="Calibri" w:cs="Calibri"/>
                <w:noProof/>
                <w:sz w:val="18"/>
                <w:szCs w:val="18"/>
                <w:lang w:val="en-US"/>
              </w:rPr>
            </w:pPr>
            <w:r w:rsidRPr="00871081">
              <w:rPr>
                <w:rFonts w:ascii="Calibri" w:eastAsia="Calibri" w:hAnsi="Calibri" w:cs="Calibri"/>
                <w:noProof/>
                <w:sz w:val="18"/>
                <w:szCs w:val="18"/>
                <w:lang w:val="en-US"/>
              </w:rPr>
              <w:t>• Sample size of approximately 400 patients is needed for 90% power to detect a treatment difference of 16% (200 patients per group)</w:t>
            </w:r>
          </w:p>
          <w:p w14:paraId="0064E0A3" w14:textId="77777777" w:rsidR="00665ECD" w:rsidRPr="00871081" w:rsidRDefault="00665ECD" w:rsidP="00665ECD">
            <w:pPr>
              <w:ind w:left="40"/>
              <w:contextualSpacing/>
              <w:rPr>
                <w:rFonts w:ascii="Calibri" w:eastAsia="Calibri" w:hAnsi="Calibri" w:cs="Calibri"/>
                <w:noProof/>
                <w:sz w:val="18"/>
                <w:szCs w:val="18"/>
                <w:lang w:val="en-US"/>
              </w:rPr>
            </w:pPr>
          </w:p>
          <w:p w14:paraId="390A8051" w14:textId="77777777" w:rsidR="00665ECD" w:rsidRDefault="00665ECD" w:rsidP="00665ECD">
            <w:pPr>
              <w:ind w:left="40"/>
              <w:contextualSpacing/>
              <w:rPr>
                <w:rFonts w:ascii="Calibri" w:eastAsia="Calibri" w:hAnsi="Calibri" w:cs="Calibri"/>
                <w:noProof/>
                <w:sz w:val="18"/>
                <w:szCs w:val="18"/>
                <w:lang w:val="en-US"/>
              </w:rPr>
            </w:pPr>
            <w:r w:rsidRPr="00871081">
              <w:rPr>
                <w:rFonts w:ascii="Calibri" w:eastAsia="Calibri" w:hAnsi="Calibri" w:cs="Calibri"/>
                <w:noProof/>
                <w:sz w:val="18"/>
                <w:szCs w:val="18"/>
                <w:lang w:val="en-US"/>
              </w:rPr>
              <w:t>• 280 patients provide 80% power</w:t>
            </w:r>
          </w:p>
          <w:p w14:paraId="62E9789E" w14:textId="77777777" w:rsidR="00665ECD" w:rsidRPr="00871081" w:rsidRDefault="00665ECD" w:rsidP="00665ECD">
            <w:pPr>
              <w:ind w:left="40"/>
              <w:contextualSpacing/>
              <w:rPr>
                <w:rFonts w:ascii="Calibri" w:eastAsia="Calibri" w:hAnsi="Calibri" w:cs="Calibri"/>
                <w:noProof/>
                <w:sz w:val="18"/>
                <w:szCs w:val="18"/>
                <w:lang w:val="en-US"/>
              </w:rPr>
            </w:pPr>
          </w:p>
          <w:p w14:paraId="31C541C8" w14:textId="77777777" w:rsidR="00665ECD" w:rsidRDefault="00665ECD" w:rsidP="00665ECD">
            <w:pPr>
              <w:ind w:left="40"/>
              <w:contextualSpacing/>
              <w:rPr>
                <w:rFonts w:ascii="Calibri" w:eastAsia="Calibri" w:hAnsi="Calibri" w:cs="Calibri"/>
                <w:noProof/>
                <w:sz w:val="18"/>
                <w:szCs w:val="18"/>
                <w:lang w:val="en-US"/>
              </w:rPr>
            </w:pPr>
            <w:r w:rsidRPr="00871081">
              <w:rPr>
                <w:rFonts w:ascii="Calibri" w:eastAsia="Calibri" w:hAnsi="Calibri" w:cs="Calibri"/>
                <w:noProof/>
                <w:sz w:val="18"/>
                <w:szCs w:val="18"/>
                <w:lang w:val="en-US"/>
              </w:rPr>
              <w:t>• Enrollment target not met despite a 6-month extension to 24 months</w:t>
            </w:r>
          </w:p>
          <w:p w14:paraId="77795D36" w14:textId="77777777" w:rsidR="00665ECD" w:rsidRPr="00871081" w:rsidRDefault="00665ECD" w:rsidP="00665ECD">
            <w:pPr>
              <w:ind w:left="40"/>
              <w:contextualSpacing/>
              <w:rPr>
                <w:rFonts w:ascii="Calibri" w:eastAsia="Calibri" w:hAnsi="Calibri" w:cs="Calibri"/>
                <w:noProof/>
                <w:sz w:val="18"/>
                <w:szCs w:val="18"/>
                <w:lang w:val="en-US"/>
              </w:rPr>
            </w:pPr>
          </w:p>
          <w:p w14:paraId="5647A23A" w14:textId="05F9CC5E" w:rsidR="00665ECD" w:rsidRDefault="00665ECD" w:rsidP="00665ECD">
            <w:pPr>
              <w:ind w:left="434"/>
              <w:contextualSpacing/>
              <w:rPr>
                <w:rFonts w:ascii="Calibri" w:eastAsia="Calibri" w:hAnsi="Calibri" w:cs="Calibri"/>
                <w:noProof/>
                <w:sz w:val="18"/>
                <w:szCs w:val="18"/>
                <w:lang w:val="en-US"/>
              </w:rPr>
            </w:pPr>
            <w:r w:rsidRPr="00871081">
              <w:rPr>
                <w:rFonts w:ascii="Calibri" w:eastAsia="Calibri" w:hAnsi="Calibri" w:cs="Calibri"/>
                <w:noProof/>
                <w:sz w:val="18"/>
                <w:szCs w:val="18"/>
                <w:lang w:val="en-US"/>
              </w:rPr>
              <w:t>• 80% power deemed sufficient</w:t>
            </w:r>
          </w:p>
        </w:tc>
        <w:tc>
          <w:tcPr>
            <w:tcW w:w="856" w:type="pct"/>
          </w:tcPr>
          <w:p w14:paraId="5B21ED6A" w14:textId="77777777" w:rsidR="00665ECD" w:rsidRPr="006B2281" w:rsidRDefault="00665ECD" w:rsidP="00665ECD">
            <w:pPr>
              <w:numPr>
                <w:ilvl w:val="0"/>
                <w:numId w:val="16"/>
              </w:numPr>
              <w:ind w:left="218" w:hanging="218"/>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Adult (18-65) had to record ≥20 diary days during 28 days baseline screening </w:t>
            </w:r>
          </w:p>
          <w:p w14:paraId="3F9DEF59" w14:textId="77777777" w:rsidR="00665ECD" w:rsidRPr="006B2281" w:rsidRDefault="00665ECD" w:rsidP="00665ECD">
            <w:pPr>
              <w:numPr>
                <w:ilvl w:val="0"/>
                <w:numId w:val="15"/>
              </w:numPr>
              <w:ind w:left="218" w:hanging="218"/>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reported ≥15 headache days.</w:t>
            </w:r>
          </w:p>
          <w:p w14:paraId="28F3FC21" w14:textId="77777777" w:rsidR="00665ECD" w:rsidRPr="006B2281" w:rsidRDefault="00665ECD" w:rsidP="00665ECD">
            <w:pPr>
              <w:numPr>
                <w:ilvl w:val="0"/>
                <w:numId w:val="15"/>
              </w:numPr>
              <w:ind w:left="218" w:hanging="218"/>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Patients taking other preventive treatments were eligible for enrollment if the dose had been stable and well tolerated for ≥12 weeks before screening and the patient was willing to maintain a stable dose.</w:t>
            </w:r>
          </w:p>
          <w:p w14:paraId="152768E2" w14:textId="331C4CD0" w:rsidR="00665ECD" w:rsidRPr="006B2281" w:rsidRDefault="00665ECD" w:rsidP="00665ECD">
            <w:pPr>
              <w:numPr>
                <w:ilvl w:val="0"/>
                <w:numId w:val="13"/>
              </w:numPr>
              <w:ind w:left="434"/>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Patients were permitted to take prescription or over the-counter acute headache pain medication, recording use in their daily diary</w:t>
            </w:r>
          </w:p>
        </w:tc>
        <w:tc>
          <w:tcPr>
            <w:tcW w:w="1349" w:type="pct"/>
          </w:tcPr>
          <w:p w14:paraId="5FBBA4B2" w14:textId="77777777" w:rsidR="00665ECD" w:rsidRPr="006B2281" w:rsidRDefault="00665ECD" w:rsidP="00665ECD">
            <w:pPr>
              <w:numPr>
                <w:ilvl w:val="0"/>
                <w:numId w:val="14"/>
              </w:numPr>
              <w:ind w:left="317" w:hanging="284"/>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Taking opioid-containing products for acute headache treatment more than 8 days during a 28-day period</w:t>
            </w:r>
          </w:p>
          <w:p w14:paraId="3CAA3866" w14:textId="77777777" w:rsidR="00665ECD" w:rsidRPr="006B2281" w:rsidRDefault="00665ECD" w:rsidP="00665ECD">
            <w:pPr>
              <w:numPr>
                <w:ilvl w:val="0"/>
                <w:numId w:val="14"/>
              </w:numPr>
              <w:ind w:left="317" w:hanging="284"/>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Previous treatment with botulinum toxin of any serotype for any reason</w:t>
            </w:r>
          </w:p>
          <w:p w14:paraId="694284EF" w14:textId="77777777" w:rsidR="00665ECD" w:rsidRPr="006B2281" w:rsidRDefault="00665ECD" w:rsidP="00665ECD">
            <w:pPr>
              <w:numPr>
                <w:ilvl w:val="0"/>
                <w:numId w:val="14"/>
              </w:numPr>
              <w:ind w:left="317" w:hanging="284"/>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Previous treatment with topiramate</w:t>
            </w:r>
          </w:p>
          <w:p w14:paraId="37F2A389" w14:textId="77777777" w:rsidR="00665ECD" w:rsidRPr="006B2281" w:rsidRDefault="00665ECD" w:rsidP="00665ECD">
            <w:pPr>
              <w:numPr>
                <w:ilvl w:val="0"/>
                <w:numId w:val="14"/>
              </w:numPr>
              <w:ind w:left="317" w:hanging="284"/>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On a ketogenic diet (high in fat, low in carbohydrates)</w:t>
            </w:r>
          </w:p>
          <w:p w14:paraId="72788905" w14:textId="77777777" w:rsidR="00665ECD" w:rsidRPr="006B2281" w:rsidRDefault="00665ECD" w:rsidP="00665ECD">
            <w:pPr>
              <w:numPr>
                <w:ilvl w:val="0"/>
                <w:numId w:val="14"/>
              </w:numPr>
              <w:ind w:left="317" w:hanging="284"/>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History of acute myopia or increased intraocular pressure</w:t>
            </w:r>
          </w:p>
          <w:p w14:paraId="152D853F" w14:textId="77777777" w:rsidR="00665ECD" w:rsidRPr="006B2281" w:rsidRDefault="00665ECD" w:rsidP="00665ECD">
            <w:pPr>
              <w:numPr>
                <w:ilvl w:val="0"/>
                <w:numId w:val="14"/>
              </w:numPr>
              <w:ind w:left="317" w:hanging="284"/>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Diagnosis of myasthenia gravis, Eaton-Lambert syndrome, amyotrophic lateral sclerosis or any other significant disease that might interfere with neuromuscular function</w:t>
            </w:r>
          </w:p>
          <w:p w14:paraId="23EF6977" w14:textId="0E5D8241" w:rsidR="00665ECD" w:rsidRPr="006B2281" w:rsidRDefault="00665ECD" w:rsidP="00665ECD">
            <w:pPr>
              <w:numPr>
                <w:ilvl w:val="0"/>
                <w:numId w:val="13"/>
              </w:numPr>
              <w:ind w:left="31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Acupuncture, transcutaneous electrical stimulation (TENS), cranial traction, dental splints for headache, or injection of anesthetics/steroids in the 4 weeks prior to screening.</w:t>
            </w:r>
          </w:p>
        </w:tc>
        <w:tc>
          <w:tcPr>
            <w:tcW w:w="774" w:type="pct"/>
          </w:tcPr>
          <w:p w14:paraId="345AAC37" w14:textId="5DB0A6E5" w:rsidR="00665ECD" w:rsidRPr="006B2281" w:rsidRDefault="00665ECD" w:rsidP="00665ECD">
            <w:pPr>
              <w:rPr>
                <w:rFonts w:ascii="Calibri" w:eastAsia="Calibri" w:hAnsi="Calibri" w:cs="Calibri"/>
                <w:sz w:val="18"/>
                <w:szCs w:val="18"/>
                <w:lang w:val="en-US"/>
              </w:rPr>
            </w:pPr>
            <w:r w:rsidRPr="006B2281">
              <w:rPr>
                <w:rFonts w:ascii="Calibri" w:eastAsia="Calibri" w:hAnsi="Calibri" w:cs="Calibri"/>
                <w:sz w:val="18"/>
                <w:szCs w:val="18"/>
                <w:lang w:val="en-US"/>
              </w:rPr>
              <w:t xml:space="preserve">Although in those few patients who were randomized to the oral medication and completed the treatment phase, topiramate was at least as efficacious as </w:t>
            </w:r>
            <w:r w:rsidR="004C22A2">
              <w:rPr>
                <w:rFonts w:ascii="Calibri" w:eastAsia="Calibri" w:hAnsi="Calibri" w:cs="Calibri"/>
                <w:sz w:val="18"/>
                <w:szCs w:val="18"/>
                <w:lang w:val="en-US"/>
              </w:rPr>
              <w:t>O</w:t>
            </w:r>
            <w:r w:rsidRPr="006B2281">
              <w:rPr>
                <w:rFonts w:ascii="Calibri" w:eastAsia="Calibri" w:hAnsi="Calibri" w:cs="Calibri"/>
                <w:sz w:val="18"/>
                <w:szCs w:val="18"/>
                <w:lang w:val="en-US"/>
              </w:rPr>
              <w:t xml:space="preserve">nabotulinumtoxin A. </w:t>
            </w:r>
          </w:p>
          <w:p w14:paraId="158D8117" w14:textId="4F43400B" w:rsidR="00665ECD" w:rsidRPr="006B2281" w:rsidRDefault="004C22A2" w:rsidP="00665ECD">
            <w:pPr>
              <w:rPr>
                <w:rFonts w:ascii="Calibri" w:eastAsia="Calibri" w:hAnsi="Calibri" w:cs="Calibri"/>
                <w:sz w:val="18"/>
                <w:szCs w:val="18"/>
                <w:lang w:val="en-US"/>
              </w:rPr>
            </w:pPr>
            <w:r w:rsidRPr="006B2281">
              <w:rPr>
                <w:rFonts w:ascii="Calibri" w:eastAsia="Calibri" w:hAnsi="Calibri" w:cs="Calibri"/>
                <w:sz w:val="18"/>
                <w:szCs w:val="18"/>
                <w:lang w:val="en-US"/>
              </w:rPr>
              <w:t>The</w:t>
            </w:r>
            <w:r w:rsidR="00665ECD" w:rsidRPr="006B2281">
              <w:rPr>
                <w:rFonts w:ascii="Calibri" w:eastAsia="Calibri" w:hAnsi="Calibri" w:cs="Calibri"/>
                <w:sz w:val="18"/>
                <w:szCs w:val="18"/>
                <w:lang w:val="en-US"/>
              </w:rPr>
              <w:t xml:space="preserve"> high discontinuation rate associated with topiramate (the majority (51%) of patients discontinued treatment because of AEs) appears to diminish its clinical value significantly. Compared to only 4% of </w:t>
            </w:r>
            <w:r w:rsidR="00AE38D5">
              <w:rPr>
                <w:rFonts w:ascii="Calibri" w:eastAsia="Calibri" w:hAnsi="Calibri" w:cs="Calibri"/>
                <w:sz w:val="18"/>
                <w:szCs w:val="18"/>
                <w:lang w:val="en-US"/>
              </w:rPr>
              <w:t>BTA</w:t>
            </w:r>
            <w:r w:rsidR="00665ECD" w:rsidRPr="006B2281">
              <w:rPr>
                <w:rFonts w:ascii="Calibri" w:eastAsia="Calibri" w:hAnsi="Calibri" w:cs="Calibri"/>
                <w:sz w:val="18"/>
                <w:szCs w:val="18"/>
                <w:lang w:val="en-US"/>
              </w:rPr>
              <w:t xml:space="preserve"> group.</w:t>
            </w:r>
          </w:p>
          <w:p w14:paraId="32ADB906" w14:textId="7A52A6E1" w:rsidR="00665ECD" w:rsidRPr="006B2281" w:rsidRDefault="00665ECD" w:rsidP="00665ECD">
            <w:pPr>
              <w:rPr>
                <w:rFonts w:ascii="Calibri" w:eastAsia="Calibri" w:hAnsi="Calibri" w:cs="Calibri"/>
                <w:sz w:val="18"/>
                <w:szCs w:val="18"/>
                <w:lang w:val="en-US"/>
              </w:rPr>
            </w:pPr>
            <w:r w:rsidRPr="006B2281">
              <w:rPr>
                <w:rFonts w:ascii="Calibri" w:eastAsia="Calibri" w:hAnsi="Calibri" w:cs="Calibri"/>
                <w:sz w:val="18"/>
                <w:szCs w:val="18"/>
                <w:lang w:val="en-US"/>
              </w:rPr>
              <w:t xml:space="preserve">Results also demonstrate that </w:t>
            </w:r>
            <w:r w:rsidR="00AE38D5">
              <w:rPr>
                <w:rFonts w:ascii="Calibri" w:eastAsia="Calibri" w:hAnsi="Calibri" w:cs="Calibri"/>
                <w:sz w:val="18"/>
                <w:szCs w:val="18"/>
                <w:lang w:val="en-US"/>
              </w:rPr>
              <w:t>BTA</w:t>
            </w:r>
            <w:r w:rsidRPr="006B2281">
              <w:rPr>
                <w:rFonts w:ascii="Calibri" w:eastAsia="Calibri" w:hAnsi="Calibri" w:cs="Calibri"/>
                <w:sz w:val="18"/>
                <w:szCs w:val="18"/>
                <w:lang w:val="en-US"/>
              </w:rPr>
              <w:t xml:space="preserve"> is a safe and often effective alternative for patients with CM who discontinue treatment with topiramate.</w:t>
            </w:r>
          </w:p>
        </w:tc>
      </w:tr>
      <w:tr w:rsidR="00665ECD" w:rsidRPr="006B2281" w14:paraId="43DD17EA" w14:textId="77777777" w:rsidTr="00665ECD">
        <w:trPr>
          <w:cantSplit/>
          <w:trHeight w:val="1134"/>
        </w:trPr>
        <w:tc>
          <w:tcPr>
            <w:tcW w:w="417" w:type="pct"/>
          </w:tcPr>
          <w:p w14:paraId="50FEED37"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lastRenderedPageBreak/>
              <w:t>Author, year:</w:t>
            </w:r>
            <w:r w:rsidRPr="006B2281">
              <w:rPr>
                <w:rFonts w:ascii="Calibri" w:eastAsia="Calibri" w:hAnsi="Calibri" w:cs="Calibri"/>
                <w:noProof/>
                <w:sz w:val="18"/>
                <w:szCs w:val="18"/>
                <w:lang w:val="en-US"/>
              </w:rPr>
              <w:t xml:space="preserve"> </w:t>
            </w:r>
          </w:p>
          <w:p w14:paraId="5EDF3730" w14:textId="727A35F6"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Sakai F, 2021</w:t>
            </w:r>
            <w:r w:rsidRPr="006B2281">
              <w:rPr>
                <w:rFonts w:ascii="Calibri" w:eastAsia="Calibri" w:hAnsi="Calibri" w:cs="Calibri"/>
                <w:noProof/>
                <w:sz w:val="18"/>
                <w:szCs w:val="18"/>
                <w:lang w:val="en-US"/>
              </w:rPr>
              <w:fldChar w:fldCharType="begin"/>
            </w:r>
            <w:r w:rsidR="008D698C">
              <w:rPr>
                <w:rFonts w:ascii="Calibri" w:eastAsia="Calibri" w:hAnsi="Calibri" w:cs="Calibri"/>
                <w:noProof/>
                <w:sz w:val="18"/>
                <w:szCs w:val="18"/>
                <w:lang w:val="en-US"/>
              </w:rPr>
              <w:instrText xml:space="preserve"> ADDIN EN.CITE &lt;EndNote&gt;&lt;Cite&gt;&lt;Author&gt;Sakai&lt;/Author&gt;&lt;Year&gt;2021&lt;/Year&gt;&lt;RecNum&gt;29&lt;/RecNum&gt;&lt;DisplayText&gt;&lt;style face="superscript"&gt;38&lt;/style&gt;&lt;/DisplayText&gt;&lt;record&gt;&lt;rec-number&gt;29&lt;/rec-number&gt;&lt;foreign-keys&gt;&lt;key app="EN" db-id="fsz20seeavzsfie29wsx20a60watx2ffv2wz" timestamp="1662393706"&gt;29&lt;/key&gt;&lt;/foreign-keys&gt;&lt;ref-type name="Journal Article"&gt;17&lt;/ref-type&gt;&lt;contributors&gt;&lt;authors&gt;&lt;author&gt;Sakai, Fumihiko&lt;/author&gt;&lt;author&gt;Suzuki, Norihiro&lt;/author&gt;&lt;author&gt;Kim, Byung‐Kun&lt;/author&gt;&lt;author&gt;Igarashi, Hisaka&lt;/author&gt;&lt;author&gt;Hirata, Koichi&lt;/author&gt;&lt;author&gt;Takeshima, Takao&lt;/author&gt;&lt;author&gt;Ning, Xiaoping&lt;/author&gt;&lt;author&gt;Shima, Tomoko&lt;/author&gt;&lt;author&gt;Ishida, Miki&lt;/author&gt;&lt;author&gt;Iba, Katsuhiro&lt;/author&gt;&lt;/authors&gt;&lt;/contributors&gt;&lt;titles&gt;&lt;title&gt;Efficacy and safety of fremanezumab for chronic migraine prevention: Multicenter, randomized, double‐blind, placebo‐controlled, parallel‐group trial in Japanese and Korean patients&lt;/title&gt;&lt;secondary-title&gt;Headache: The Journal of Head and Face Pain&lt;/secondary-title&gt;&lt;/titles&gt;&lt;periodical&gt;&lt;full-title&gt;Headache: The Journal of Head and Face Pain&lt;/full-title&gt;&lt;/periodical&gt;&lt;pages&gt;1092-1101&lt;/pages&gt;&lt;volume&gt;61&lt;/volume&gt;&lt;number&gt;7&lt;/number&gt;&lt;dates&gt;&lt;year&gt;2021&lt;/year&gt;&lt;/dates&gt;&lt;isbn&gt;0017-8748&lt;/isbn&gt;&lt;label&gt;29&lt;/label&gt;&lt;urls&gt;&lt;/urls&gt;&lt;/record&gt;&lt;/Cite&gt;&lt;/EndNote&gt;</w:instrText>
            </w:r>
            <w:r w:rsidRPr="006B2281">
              <w:rPr>
                <w:rFonts w:ascii="Calibri" w:eastAsia="Calibri" w:hAnsi="Calibri" w:cs="Calibri"/>
                <w:noProof/>
                <w:sz w:val="18"/>
                <w:szCs w:val="18"/>
                <w:lang w:val="en-US"/>
              </w:rPr>
              <w:fldChar w:fldCharType="separate"/>
            </w:r>
            <w:r w:rsidR="008D698C" w:rsidRPr="008D698C">
              <w:rPr>
                <w:rFonts w:ascii="Calibri" w:eastAsia="Calibri" w:hAnsi="Calibri" w:cs="Calibri"/>
                <w:noProof/>
                <w:sz w:val="18"/>
                <w:szCs w:val="18"/>
                <w:vertAlign w:val="superscript"/>
                <w:lang w:val="en-US"/>
              </w:rPr>
              <w:t>38</w:t>
            </w:r>
            <w:r w:rsidRPr="006B2281">
              <w:rPr>
                <w:rFonts w:ascii="Calibri" w:eastAsia="Calibri" w:hAnsi="Calibri" w:cs="Calibri"/>
                <w:noProof/>
                <w:sz w:val="18"/>
                <w:szCs w:val="18"/>
                <w:lang w:val="en-US"/>
              </w:rPr>
              <w:fldChar w:fldCharType="end"/>
            </w:r>
          </w:p>
          <w:p w14:paraId="34550EF8" w14:textId="77777777" w:rsidR="00665ECD" w:rsidRPr="006B2281" w:rsidRDefault="00665ECD" w:rsidP="00665ECD">
            <w:pPr>
              <w:rPr>
                <w:rFonts w:ascii="Calibri" w:eastAsia="Calibri" w:hAnsi="Calibri" w:cs="Calibri"/>
                <w:noProof/>
                <w:sz w:val="18"/>
                <w:szCs w:val="18"/>
                <w:lang w:val="en-US"/>
              </w:rPr>
            </w:pPr>
          </w:p>
          <w:p w14:paraId="3E2C1477"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Country:</w:t>
            </w:r>
          </w:p>
          <w:p w14:paraId="3C19E0F0"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Japan and Korea</w:t>
            </w:r>
          </w:p>
          <w:p w14:paraId="57F6E5A2" w14:textId="77777777" w:rsidR="00665ECD" w:rsidRPr="006B2281" w:rsidRDefault="00665ECD" w:rsidP="00665ECD">
            <w:pPr>
              <w:rPr>
                <w:rFonts w:ascii="Calibri" w:eastAsia="Calibri" w:hAnsi="Calibri" w:cs="Calibri"/>
                <w:b/>
                <w:bCs/>
                <w:sz w:val="18"/>
                <w:szCs w:val="18"/>
                <w:lang w:val="en-US"/>
              </w:rPr>
            </w:pPr>
          </w:p>
        </w:tc>
        <w:tc>
          <w:tcPr>
            <w:tcW w:w="748" w:type="pct"/>
          </w:tcPr>
          <w:p w14:paraId="47D72A82"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t>Purpose</w:t>
            </w:r>
            <w:r w:rsidRPr="006B2281">
              <w:rPr>
                <w:rFonts w:ascii="Calibri" w:eastAsia="Calibri" w:hAnsi="Calibri" w:cs="Calibri"/>
                <w:noProof/>
                <w:sz w:val="18"/>
                <w:szCs w:val="18"/>
                <w:lang w:val="en-US"/>
              </w:rPr>
              <w:t>:</w:t>
            </w:r>
          </w:p>
          <w:p w14:paraId="24869678"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To determine the efficacy and safety of fremanezumab administration in Japanese and Korean patients with chronic migraine (CM).</w:t>
            </w:r>
          </w:p>
          <w:p w14:paraId="5A4739E2" w14:textId="77777777" w:rsidR="00665ECD" w:rsidRPr="006B2281" w:rsidRDefault="00665ECD" w:rsidP="00665ECD">
            <w:pPr>
              <w:rPr>
                <w:rFonts w:ascii="Calibri" w:eastAsia="Calibri" w:hAnsi="Calibri" w:cs="Calibri"/>
                <w:noProof/>
                <w:sz w:val="18"/>
                <w:szCs w:val="18"/>
                <w:lang w:val="en-US"/>
              </w:rPr>
            </w:pPr>
          </w:p>
          <w:p w14:paraId="79846718"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t xml:space="preserve">Study design: </w:t>
            </w:r>
            <w:r w:rsidRPr="006B2281">
              <w:rPr>
                <w:rFonts w:ascii="Calibri" w:eastAsia="Calibri" w:hAnsi="Calibri" w:cs="Calibri"/>
                <w:noProof/>
                <w:sz w:val="18"/>
                <w:szCs w:val="18"/>
                <w:lang w:val="en-US"/>
              </w:rPr>
              <w:t>multicenter,  randomized,  double-blind,  placebo-controlled, parallel-group</w:t>
            </w:r>
          </w:p>
          <w:p w14:paraId="6773F54F" w14:textId="77777777" w:rsidR="00665ECD" w:rsidRPr="006B2281" w:rsidRDefault="00665ECD" w:rsidP="00665ECD">
            <w:pPr>
              <w:rPr>
                <w:rFonts w:ascii="Calibri" w:eastAsia="Calibri" w:hAnsi="Calibri" w:cs="Calibri"/>
                <w:noProof/>
                <w:sz w:val="18"/>
                <w:szCs w:val="18"/>
                <w:lang w:val="en-US"/>
              </w:rPr>
            </w:pPr>
          </w:p>
          <w:p w14:paraId="6696BF9F"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 xml:space="preserve">Date: </w:t>
            </w:r>
          </w:p>
          <w:p w14:paraId="35D44B3F" w14:textId="4042347E"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noProof/>
                <w:sz w:val="18"/>
                <w:szCs w:val="18"/>
                <w:lang w:val="en-US"/>
              </w:rPr>
              <w:t>November 2017 and November 2019</w:t>
            </w:r>
          </w:p>
        </w:tc>
        <w:tc>
          <w:tcPr>
            <w:tcW w:w="856" w:type="pct"/>
          </w:tcPr>
          <w:p w14:paraId="46E497AC" w14:textId="77777777" w:rsidR="00665ECD" w:rsidRDefault="00665ECD" w:rsidP="00665ECD">
            <w:pPr>
              <w:pStyle w:val="ListParagraph"/>
              <w:numPr>
                <w:ilvl w:val="0"/>
                <w:numId w:val="34"/>
              </w:numPr>
              <w:ind w:left="182" w:hanging="182"/>
              <w:rPr>
                <w:rFonts w:cs="Calibri"/>
                <w:noProof/>
                <w:sz w:val="18"/>
                <w:szCs w:val="18"/>
                <w:lang w:val="en-US"/>
              </w:rPr>
            </w:pPr>
            <w:r w:rsidRPr="002A2987">
              <w:rPr>
                <w:rFonts w:cs="Calibri"/>
                <w:noProof/>
                <w:sz w:val="18"/>
                <w:szCs w:val="18"/>
                <w:lang w:val="en-US"/>
              </w:rPr>
              <w:t>The difference in mean change from baseline in the monthly average number of headache days of at least moderate severity between fremanezumab monthly and placebo group was 1.7 days</w:t>
            </w:r>
          </w:p>
          <w:p w14:paraId="4A9B696A" w14:textId="77777777" w:rsidR="00665ECD" w:rsidRDefault="00665ECD" w:rsidP="00665ECD">
            <w:pPr>
              <w:rPr>
                <w:rFonts w:cs="Calibri"/>
                <w:noProof/>
                <w:sz w:val="18"/>
                <w:szCs w:val="18"/>
                <w:lang w:val="en-US"/>
              </w:rPr>
            </w:pPr>
          </w:p>
          <w:p w14:paraId="4727EFBC" w14:textId="77777777" w:rsidR="00665ECD" w:rsidRPr="002A2987" w:rsidRDefault="00665ECD" w:rsidP="00665ECD">
            <w:pPr>
              <w:rPr>
                <w:rFonts w:cs="Calibri"/>
                <w:noProof/>
                <w:sz w:val="18"/>
                <w:szCs w:val="18"/>
                <w:lang w:val="en-US"/>
              </w:rPr>
            </w:pPr>
            <w:r w:rsidRPr="002A2987">
              <w:rPr>
                <w:rFonts w:cs="Calibri"/>
                <w:noProof/>
                <w:sz w:val="18"/>
                <w:szCs w:val="18"/>
                <w:lang w:val="en-US"/>
              </w:rPr>
              <w:t xml:space="preserve"> </w:t>
            </w:r>
          </w:p>
          <w:p w14:paraId="2C579019" w14:textId="6224CC2C" w:rsidR="00665ECD" w:rsidRDefault="00665ECD" w:rsidP="004B073F">
            <w:pPr>
              <w:contextualSpacing/>
              <w:rPr>
                <w:rFonts w:ascii="Calibri" w:eastAsia="Calibri" w:hAnsi="Calibri" w:cs="Calibri"/>
                <w:noProof/>
                <w:sz w:val="18"/>
                <w:szCs w:val="18"/>
                <w:lang w:val="en-US"/>
              </w:rPr>
            </w:pPr>
            <w:r>
              <w:rPr>
                <w:rFonts w:cs="Calibri"/>
                <w:noProof/>
                <w:sz w:val="18"/>
                <w:szCs w:val="18"/>
                <w:lang w:val="en-US"/>
              </w:rPr>
              <w:t>T</w:t>
            </w:r>
            <w:r w:rsidRPr="002A2987">
              <w:rPr>
                <w:rFonts w:ascii="Calibri" w:eastAsia="Calibri" w:hAnsi="Calibri" w:cs="Calibri"/>
                <w:noProof/>
                <w:sz w:val="18"/>
                <w:szCs w:val="18"/>
                <w:lang w:val="en-US"/>
              </w:rPr>
              <w:t>o detect with at least 80% power</w:t>
            </w:r>
          </w:p>
        </w:tc>
        <w:tc>
          <w:tcPr>
            <w:tcW w:w="856" w:type="pct"/>
          </w:tcPr>
          <w:p w14:paraId="38B99BC3" w14:textId="77777777" w:rsidR="00665ECD" w:rsidRPr="006B2281" w:rsidRDefault="00665ECD" w:rsidP="00665ECD">
            <w:pPr>
              <w:numPr>
                <w:ilvl w:val="0"/>
                <w:numId w:val="14"/>
              </w:numPr>
              <w:ind w:left="150" w:hanging="142"/>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Patient with migraine onset at ≤50 years of age</w:t>
            </w:r>
          </w:p>
          <w:p w14:paraId="4E55B2CB" w14:textId="77777777" w:rsidR="004B073F" w:rsidRDefault="00665ECD" w:rsidP="004B073F">
            <w:pPr>
              <w:numPr>
                <w:ilvl w:val="0"/>
                <w:numId w:val="14"/>
              </w:numPr>
              <w:ind w:left="150" w:hanging="142"/>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Headache occurring on ≥15 days and fulfilling any of the following on ≥8 days: (ICHD-3 beta diagnostic criteria C and D for 1.1 Migraine without aura, criteria B and C for 1.2 Migraine with aura, Probable migraine.</w:t>
            </w:r>
          </w:p>
          <w:p w14:paraId="363FCB40" w14:textId="21D39DB3" w:rsidR="00665ECD" w:rsidRPr="004B073F" w:rsidRDefault="00665ECD" w:rsidP="004B073F">
            <w:pPr>
              <w:numPr>
                <w:ilvl w:val="0"/>
                <w:numId w:val="14"/>
              </w:numPr>
              <w:ind w:left="150" w:hanging="142"/>
              <w:contextualSpacing/>
              <w:rPr>
                <w:rFonts w:ascii="Calibri" w:eastAsia="Calibri" w:hAnsi="Calibri" w:cs="Calibri"/>
                <w:noProof/>
                <w:sz w:val="18"/>
                <w:szCs w:val="18"/>
                <w:lang w:val="en-US"/>
              </w:rPr>
            </w:pPr>
            <w:r w:rsidRPr="004B073F">
              <w:rPr>
                <w:rFonts w:ascii="Calibri" w:eastAsia="Calibri" w:hAnsi="Calibri" w:cs="Calibri"/>
                <w:noProof/>
                <w:sz w:val="18"/>
                <w:szCs w:val="18"/>
                <w:lang w:val="en-US"/>
              </w:rPr>
              <w:t>Not using preventive migraine medications for migraine or other medical conditions or using no more than 1 preventive migraine medication for migraine or other medical conditions if the dose and regimen have been stable for at least 2 months prior to giving informed consent.</w:t>
            </w:r>
          </w:p>
        </w:tc>
        <w:tc>
          <w:tcPr>
            <w:tcW w:w="1349" w:type="pct"/>
          </w:tcPr>
          <w:p w14:paraId="16F51E70" w14:textId="77777777" w:rsidR="00665ECD" w:rsidRPr="006B2281" w:rsidRDefault="00665ECD" w:rsidP="00665ECD">
            <w:pPr>
              <w:numPr>
                <w:ilvl w:val="0"/>
                <w:numId w:val="14"/>
              </w:numPr>
              <w:ind w:left="172" w:hanging="123"/>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The lack of efficacy of at least two of four clusters of preventive medications despite an ade-quate treatment,</w:t>
            </w:r>
          </w:p>
          <w:p w14:paraId="549D77BE" w14:textId="77777777" w:rsidR="00665ECD" w:rsidRPr="006B2281" w:rsidRDefault="00665ECD" w:rsidP="00665ECD">
            <w:pPr>
              <w:numPr>
                <w:ilvl w:val="0"/>
                <w:numId w:val="14"/>
              </w:numPr>
              <w:ind w:left="172" w:hanging="123"/>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Unremitting headaches with duration more than 80% of waking hours and with less than 4 days without headache per month,</w:t>
            </w:r>
          </w:p>
          <w:p w14:paraId="380791AF" w14:textId="77777777" w:rsidR="00665ECD" w:rsidRPr="006B2281" w:rsidRDefault="00665ECD" w:rsidP="00665ECD">
            <w:pPr>
              <w:numPr>
                <w:ilvl w:val="0"/>
                <w:numId w:val="14"/>
              </w:numPr>
              <w:ind w:left="172" w:hanging="123"/>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Clinically significant major organ disease</w:t>
            </w:r>
          </w:p>
          <w:p w14:paraId="156CC25D" w14:textId="77777777" w:rsidR="00665ECD" w:rsidRPr="006B2281" w:rsidRDefault="00665ECD" w:rsidP="00665ECD">
            <w:pPr>
              <w:numPr>
                <w:ilvl w:val="0"/>
                <w:numId w:val="14"/>
              </w:numPr>
              <w:ind w:left="172" w:hanging="13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Patient has received onabotulinumtoxin A for migraine or for any medical or cosmetic reason requiring injection in the head, face, or neck during the 4 months prior to giving informed consent.</w:t>
            </w:r>
          </w:p>
          <w:p w14:paraId="086930D2" w14:textId="77777777" w:rsidR="00665ECD" w:rsidRPr="006B2281" w:rsidRDefault="00665ECD" w:rsidP="00665ECD">
            <w:pPr>
              <w:numPr>
                <w:ilvl w:val="0"/>
                <w:numId w:val="14"/>
              </w:numPr>
              <w:ind w:left="172" w:hanging="13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Patient is using medications containing opioids  or barbiturates on more than 4 days per month for the treatment of migraine or for any other reason.</w:t>
            </w:r>
          </w:p>
          <w:p w14:paraId="48652A9E" w14:textId="4682A342" w:rsidR="00665ECD" w:rsidRPr="006B2281" w:rsidRDefault="00665ECD" w:rsidP="00665ECD">
            <w:pPr>
              <w:numPr>
                <w:ilvl w:val="0"/>
                <w:numId w:val="13"/>
              </w:numPr>
              <w:ind w:left="31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Patient has used an intervention or device for migraine during the 2 months prior to giving informed consent.</w:t>
            </w:r>
          </w:p>
        </w:tc>
        <w:tc>
          <w:tcPr>
            <w:tcW w:w="774" w:type="pct"/>
          </w:tcPr>
          <w:p w14:paraId="6C20DD77" w14:textId="1CBDF2F2" w:rsidR="00665ECD" w:rsidRPr="006B2281" w:rsidRDefault="00665ECD" w:rsidP="00665ECD">
            <w:pPr>
              <w:rPr>
                <w:rFonts w:ascii="Calibri" w:eastAsia="Calibri" w:hAnsi="Calibri" w:cs="Calibri"/>
                <w:sz w:val="18"/>
                <w:szCs w:val="18"/>
                <w:lang w:val="en-US"/>
              </w:rPr>
            </w:pPr>
            <w:r w:rsidRPr="006B2281">
              <w:rPr>
                <w:rFonts w:ascii="Calibri" w:eastAsia="Calibri" w:hAnsi="Calibri" w:cs="Calibri"/>
                <w:sz w:val="18"/>
                <w:szCs w:val="18"/>
                <w:lang w:val="en-US"/>
              </w:rPr>
              <w:t>Fremanezumab effectively prevents CM in Japanese and Korean patients and was well tolerated. No safety signal was detected.</w:t>
            </w:r>
          </w:p>
        </w:tc>
      </w:tr>
      <w:tr w:rsidR="00665ECD" w:rsidRPr="006B2281" w14:paraId="652610F8" w14:textId="77777777" w:rsidTr="00665ECD">
        <w:trPr>
          <w:cantSplit/>
          <w:trHeight w:val="1134"/>
        </w:trPr>
        <w:tc>
          <w:tcPr>
            <w:tcW w:w="417" w:type="pct"/>
          </w:tcPr>
          <w:p w14:paraId="5ED8FAEB" w14:textId="480FD902" w:rsidR="00665ECD" w:rsidRPr="006B2281" w:rsidRDefault="00665ECD" w:rsidP="00665ECD">
            <w:pPr>
              <w:rPr>
                <w:rFonts w:ascii="Calibri" w:eastAsia="Calibri" w:hAnsi="Calibri" w:cs="Calibri"/>
                <w:noProof/>
                <w:sz w:val="18"/>
                <w:szCs w:val="18"/>
                <w:lang w:val="en-US"/>
              </w:rPr>
            </w:pPr>
            <w:bookmarkStart w:id="11" w:name="_Hlk113886064"/>
            <w:r w:rsidRPr="006B2281">
              <w:rPr>
                <w:rFonts w:ascii="Calibri" w:eastAsia="Calibri" w:hAnsi="Calibri" w:cs="Calibri"/>
                <w:b/>
                <w:bCs/>
                <w:sz w:val="18"/>
                <w:szCs w:val="18"/>
                <w:lang w:val="en-US"/>
              </w:rPr>
              <w:lastRenderedPageBreak/>
              <w:t>Author, year:</w:t>
            </w:r>
            <w:r w:rsidRPr="006B2281">
              <w:rPr>
                <w:rFonts w:ascii="Calibri" w:eastAsia="Calibri" w:hAnsi="Calibri" w:cs="Calibri"/>
                <w:noProof/>
                <w:sz w:val="18"/>
                <w:szCs w:val="18"/>
                <w:lang w:val="en-US"/>
              </w:rPr>
              <w:t xml:space="preserve"> Silberstein SD,2007</w:t>
            </w:r>
            <w:r w:rsidRPr="006B2281">
              <w:rPr>
                <w:rFonts w:ascii="Calibri" w:eastAsia="Calibri" w:hAnsi="Calibri" w:cs="Calibri"/>
                <w:noProof/>
                <w:sz w:val="18"/>
                <w:szCs w:val="18"/>
                <w:lang w:val="en-US"/>
              </w:rPr>
              <w:fldChar w:fldCharType="begin"/>
            </w:r>
            <w:r w:rsidR="008D698C">
              <w:rPr>
                <w:rFonts w:ascii="Calibri" w:eastAsia="Calibri" w:hAnsi="Calibri" w:cs="Calibri"/>
                <w:noProof/>
                <w:sz w:val="18"/>
                <w:szCs w:val="18"/>
                <w:lang w:val="en-US"/>
              </w:rPr>
              <w:instrText xml:space="preserve"> ADDIN EN.CITE &lt;EndNote&gt;&lt;Cite&gt;&lt;Author&gt;Silberstein&lt;/Author&gt;&lt;Year&gt;2007&lt;/Year&gt;&lt;RecNum&gt;28&lt;/RecNum&gt;&lt;DisplayText&gt;&lt;style face="superscript"&gt;41&lt;/style&gt;&lt;/DisplayText&gt;&lt;record&gt;&lt;rec-number&gt;28&lt;/rec-number&gt;&lt;foreign-keys&gt;&lt;key app="EN" db-id="fsz20seeavzsfie29wsx20a60watx2ffv2wz" timestamp="1662393653"&gt;28&lt;/key&gt;&lt;/foreign-keys&gt;&lt;ref-type name="Journal Article"&gt;17&lt;/ref-type&gt;&lt;contributors&gt;&lt;authors&gt;&lt;author&gt;Silberstein, Stephen D&lt;/author&gt;&lt;author&gt;Lipton, Richard B&lt;/author&gt;&lt;author&gt;Dodick, David W&lt;/author&gt;&lt;author&gt;Freitag, Frederick G&lt;/author&gt;&lt;author&gt;Ramadan, Nabih&lt;/author&gt;&lt;author&gt;Mathew, Ninan&lt;/author&gt;&lt;author&gt;Brandes, Jan L&lt;/author&gt;&lt;author&gt;Bigal, Marcelo&lt;/author&gt;&lt;author&gt;Saper, Joel&lt;/author&gt;&lt;author&gt;Ascher, Steven&lt;/author&gt;&lt;/authors&gt;&lt;/contributors&gt;&lt;titles&gt;&lt;title&gt;Efficacy and safety of topiramate for the treatment of chronic migraine: A randomized, double‐blind, placebo‐controlled trial&lt;/title&gt;&lt;secondary-title&gt;Headache: The Journal of Head and Face Pain&lt;/secondary-title&gt;&lt;/titles&gt;&lt;periodical&gt;&lt;full-title&gt;Headache: The Journal of Head and Face Pain&lt;/full-title&gt;&lt;/periodical&gt;&lt;pages&gt;170-180&lt;/pages&gt;&lt;volume&gt;47&lt;/volume&gt;&lt;number&gt;2&lt;/number&gt;&lt;dates&gt;&lt;year&gt;2007&lt;/year&gt;&lt;/dates&gt;&lt;isbn&gt;0017-8748&lt;/isbn&gt;&lt;label&gt;28&lt;/label&gt;&lt;urls&gt;&lt;/urls&gt;&lt;/record&gt;&lt;/Cite&gt;&lt;/EndNote&gt;</w:instrText>
            </w:r>
            <w:r w:rsidRPr="006B2281">
              <w:rPr>
                <w:rFonts w:ascii="Calibri" w:eastAsia="Calibri" w:hAnsi="Calibri" w:cs="Calibri"/>
                <w:noProof/>
                <w:sz w:val="18"/>
                <w:szCs w:val="18"/>
                <w:lang w:val="en-US"/>
              </w:rPr>
              <w:fldChar w:fldCharType="separate"/>
            </w:r>
            <w:r w:rsidR="008D698C" w:rsidRPr="008D698C">
              <w:rPr>
                <w:rFonts w:ascii="Calibri" w:eastAsia="Calibri" w:hAnsi="Calibri" w:cs="Calibri"/>
                <w:noProof/>
                <w:sz w:val="18"/>
                <w:szCs w:val="18"/>
                <w:vertAlign w:val="superscript"/>
                <w:lang w:val="en-US"/>
              </w:rPr>
              <w:t>41</w:t>
            </w:r>
            <w:r w:rsidRPr="006B2281">
              <w:rPr>
                <w:rFonts w:ascii="Calibri" w:eastAsia="Calibri" w:hAnsi="Calibri" w:cs="Calibri"/>
                <w:noProof/>
                <w:sz w:val="18"/>
                <w:szCs w:val="18"/>
                <w:lang w:val="en-US"/>
              </w:rPr>
              <w:fldChar w:fldCharType="end"/>
            </w:r>
          </w:p>
          <w:p w14:paraId="451EF9D7" w14:textId="77777777" w:rsidR="00665ECD" w:rsidRPr="006B2281" w:rsidRDefault="00665ECD" w:rsidP="00665ECD">
            <w:pPr>
              <w:rPr>
                <w:rFonts w:ascii="Calibri" w:eastAsia="Calibri" w:hAnsi="Calibri" w:cs="Calibri"/>
                <w:noProof/>
                <w:sz w:val="18"/>
                <w:szCs w:val="18"/>
                <w:lang w:val="en-US"/>
              </w:rPr>
            </w:pPr>
          </w:p>
          <w:p w14:paraId="5063793B"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Country:</w:t>
            </w:r>
          </w:p>
          <w:p w14:paraId="132EBB41"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USA</w:t>
            </w:r>
          </w:p>
          <w:p w14:paraId="02D278E5" w14:textId="77777777" w:rsidR="00665ECD" w:rsidRPr="006B2281" w:rsidRDefault="00665ECD" w:rsidP="00665ECD">
            <w:pPr>
              <w:rPr>
                <w:rFonts w:ascii="Calibri" w:eastAsia="Calibri" w:hAnsi="Calibri" w:cs="Calibri"/>
                <w:noProof/>
                <w:sz w:val="18"/>
                <w:szCs w:val="18"/>
                <w:lang w:val="en-US"/>
              </w:rPr>
            </w:pPr>
          </w:p>
        </w:tc>
        <w:tc>
          <w:tcPr>
            <w:tcW w:w="748" w:type="pct"/>
          </w:tcPr>
          <w:p w14:paraId="5F749938"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t>Purpose</w:t>
            </w:r>
            <w:r w:rsidRPr="006B2281">
              <w:rPr>
                <w:rFonts w:ascii="Calibri" w:eastAsia="Calibri" w:hAnsi="Calibri" w:cs="Calibri"/>
                <w:noProof/>
                <w:sz w:val="18"/>
                <w:szCs w:val="18"/>
                <w:lang w:val="en-US"/>
              </w:rPr>
              <w:t>:</w:t>
            </w:r>
          </w:p>
          <w:p w14:paraId="1726E3BF"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To evaluate the efficacy and safety of topiramate (100 mg/day) compared with placebo for the treatment of chronic migraine</w:t>
            </w:r>
          </w:p>
          <w:p w14:paraId="49FBDE2B" w14:textId="77777777" w:rsidR="00665ECD" w:rsidRPr="006B2281" w:rsidRDefault="00665ECD" w:rsidP="00665ECD">
            <w:pPr>
              <w:rPr>
                <w:rFonts w:ascii="Calibri" w:eastAsia="Calibri" w:hAnsi="Calibri" w:cs="Calibri"/>
                <w:noProof/>
                <w:sz w:val="18"/>
                <w:szCs w:val="18"/>
                <w:lang w:val="en-US"/>
              </w:rPr>
            </w:pPr>
          </w:p>
          <w:p w14:paraId="5E86F1E8"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t xml:space="preserve">Study design: </w:t>
            </w:r>
            <w:r w:rsidRPr="006B2281">
              <w:rPr>
                <w:rFonts w:ascii="Calibri" w:eastAsia="Calibri" w:hAnsi="Calibri" w:cs="Calibri"/>
                <w:noProof/>
                <w:sz w:val="18"/>
                <w:szCs w:val="18"/>
                <w:lang w:val="en-US"/>
              </w:rPr>
              <w:t>randomized, double-blind, placebo-controlled,  parallel-group,  multicenter  trial</w:t>
            </w:r>
          </w:p>
          <w:p w14:paraId="79FB4CC3" w14:textId="77777777" w:rsidR="00665ECD" w:rsidRPr="006B2281" w:rsidRDefault="00665ECD" w:rsidP="00665ECD">
            <w:pPr>
              <w:rPr>
                <w:rFonts w:ascii="Calibri" w:eastAsia="Calibri" w:hAnsi="Calibri" w:cs="Calibri"/>
                <w:noProof/>
                <w:sz w:val="18"/>
                <w:szCs w:val="18"/>
                <w:lang w:val="en-US"/>
              </w:rPr>
            </w:pPr>
          </w:p>
          <w:p w14:paraId="38BCBBDE"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 xml:space="preserve">Date: </w:t>
            </w:r>
          </w:p>
          <w:p w14:paraId="3B800432"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September 2003 to March 2005</w:t>
            </w:r>
          </w:p>
        </w:tc>
        <w:tc>
          <w:tcPr>
            <w:tcW w:w="856" w:type="pct"/>
          </w:tcPr>
          <w:p w14:paraId="09619B58" w14:textId="2C6D6A43" w:rsidR="00665ECD" w:rsidRPr="006B2281" w:rsidRDefault="00665ECD" w:rsidP="00665ECD">
            <w:pPr>
              <w:ind w:left="434"/>
              <w:contextualSpacing/>
              <w:rPr>
                <w:rFonts w:ascii="Calibri" w:eastAsia="Calibri" w:hAnsi="Calibri" w:cs="Calibri"/>
                <w:noProof/>
                <w:sz w:val="18"/>
                <w:szCs w:val="18"/>
                <w:lang w:val="en-US"/>
              </w:rPr>
            </w:pPr>
            <w:r>
              <w:rPr>
                <w:rFonts w:ascii="Calibri" w:eastAsia="Calibri" w:hAnsi="Calibri" w:cs="Calibri"/>
                <w:noProof/>
                <w:sz w:val="18"/>
                <w:szCs w:val="18"/>
                <w:lang w:val="en-US"/>
              </w:rPr>
              <w:t>Nothing mentioned</w:t>
            </w:r>
          </w:p>
        </w:tc>
        <w:tc>
          <w:tcPr>
            <w:tcW w:w="856" w:type="pct"/>
          </w:tcPr>
          <w:p w14:paraId="392DD61F" w14:textId="1F39D9B4" w:rsidR="00665ECD" w:rsidRPr="006B2281" w:rsidRDefault="00665ECD" w:rsidP="00665ECD">
            <w:pPr>
              <w:numPr>
                <w:ilvl w:val="0"/>
                <w:numId w:val="13"/>
              </w:numPr>
              <w:ind w:left="434"/>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Adult subjects with at least 15headache days per 28 days with head pain for at least30 minutes, On at least half of these days, subjects have experienced migraine with or with-out aura or migrainous headache</w:t>
            </w:r>
          </w:p>
          <w:p w14:paraId="2E7C2294" w14:textId="77777777" w:rsidR="00665ECD" w:rsidRPr="006B2281" w:rsidRDefault="00665ECD" w:rsidP="00665ECD">
            <w:pPr>
              <w:numPr>
                <w:ilvl w:val="0"/>
                <w:numId w:val="13"/>
              </w:numPr>
              <w:ind w:left="360" w:hanging="284"/>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At least 11 score of Migraine Disability Assessment (MIDAS) at visit 1</w:t>
            </w:r>
          </w:p>
          <w:p w14:paraId="6B474DE5" w14:textId="77777777" w:rsidR="00665ECD" w:rsidRPr="006B2281" w:rsidRDefault="00665ECD" w:rsidP="00665ECD">
            <w:pPr>
              <w:spacing w:line="360" w:lineRule="auto"/>
              <w:rPr>
                <w:rFonts w:ascii="Calibri" w:eastAsia="Calibri" w:hAnsi="Calibri" w:cs="Calibri"/>
                <w:sz w:val="18"/>
                <w:szCs w:val="18"/>
                <w:lang w:val="en-US"/>
              </w:rPr>
            </w:pPr>
          </w:p>
          <w:p w14:paraId="29844AFF" w14:textId="77777777" w:rsidR="00665ECD" w:rsidRPr="006B2281" w:rsidRDefault="00665ECD" w:rsidP="00665ECD">
            <w:pPr>
              <w:spacing w:line="360" w:lineRule="auto"/>
              <w:rPr>
                <w:rFonts w:ascii="Calibri" w:eastAsia="Calibri" w:hAnsi="Calibri" w:cs="Calibri"/>
                <w:sz w:val="18"/>
                <w:szCs w:val="18"/>
                <w:lang w:val="en-US"/>
              </w:rPr>
            </w:pPr>
          </w:p>
          <w:p w14:paraId="533DD567" w14:textId="77777777" w:rsidR="00665ECD" w:rsidRPr="006B2281" w:rsidRDefault="00665ECD" w:rsidP="00665ECD">
            <w:pPr>
              <w:spacing w:line="360" w:lineRule="auto"/>
              <w:rPr>
                <w:rFonts w:ascii="Calibri" w:eastAsia="Calibri" w:hAnsi="Calibri" w:cs="Calibri"/>
                <w:sz w:val="18"/>
                <w:szCs w:val="18"/>
                <w:lang w:val="en-US"/>
              </w:rPr>
            </w:pPr>
          </w:p>
        </w:tc>
        <w:tc>
          <w:tcPr>
            <w:tcW w:w="1349" w:type="pct"/>
          </w:tcPr>
          <w:p w14:paraId="0630B62D" w14:textId="77777777" w:rsidR="00665ECD" w:rsidRPr="006B2281" w:rsidRDefault="00665ECD" w:rsidP="00665ECD">
            <w:pPr>
              <w:numPr>
                <w:ilvl w:val="0"/>
                <w:numId w:val="13"/>
              </w:numPr>
              <w:ind w:left="31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Previously failed more than 2 adequate trials of migraine preventive medications </w:t>
            </w:r>
          </w:p>
          <w:p w14:paraId="15C98317" w14:textId="77777777" w:rsidR="00665ECD" w:rsidRPr="006B2281" w:rsidRDefault="00665ECD" w:rsidP="00665ECD">
            <w:pPr>
              <w:numPr>
                <w:ilvl w:val="0"/>
                <w:numId w:val="13"/>
              </w:numPr>
              <w:ind w:left="31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Previously  failed  an  adequate  trial  of  topira-mate therapy due to lack of efficacy or adverseevents</w:t>
            </w:r>
          </w:p>
          <w:p w14:paraId="6EB6B94F" w14:textId="77777777" w:rsidR="00665ECD" w:rsidRPr="006B2281" w:rsidRDefault="00665ECD" w:rsidP="00665ECD">
            <w:pPr>
              <w:numPr>
                <w:ilvl w:val="0"/>
                <w:numId w:val="13"/>
              </w:numPr>
              <w:ind w:left="31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History of cluster headache or basilar, ophthal-moplegic, or hemiplegic migraines</w:t>
            </w:r>
          </w:p>
          <w:p w14:paraId="72EFEF20" w14:textId="77777777" w:rsidR="00665ECD" w:rsidRPr="006B2281" w:rsidRDefault="00665ECD" w:rsidP="00665ECD">
            <w:pPr>
              <w:numPr>
                <w:ilvl w:val="0"/>
                <w:numId w:val="13"/>
              </w:numPr>
              <w:ind w:left="31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Migraine onset after age 50</w:t>
            </w:r>
          </w:p>
          <w:p w14:paraId="79B5A053" w14:textId="77777777" w:rsidR="00665ECD" w:rsidRPr="006B2281" w:rsidRDefault="00665ECD" w:rsidP="00665ECD">
            <w:pPr>
              <w:numPr>
                <w:ilvl w:val="0"/>
                <w:numId w:val="13"/>
              </w:numPr>
              <w:ind w:left="31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Overuse of acute migraine medication </w:t>
            </w:r>
          </w:p>
          <w:p w14:paraId="47D47A2D" w14:textId="77777777" w:rsidR="00665ECD" w:rsidRPr="006B2281" w:rsidRDefault="00665ECD" w:rsidP="00665ECD">
            <w:pPr>
              <w:numPr>
                <w:ilvl w:val="0"/>
                <w:numId w:val="13"/>
              </w:numPr>
              <w:ind w:left="31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History of hepatic disorder or nephrolithiasis</w:t>
            </w:r>
          </w:p>
          <w:p w14:paraId="3D5FEB16" w14:textId="77777777" w:rsidR="00665ECD" w:rsidRPr="006B2281" w:rsidRDefault="00665ECD" w:rsidP="00665ECD">
            <w:pPr>
              <w:numPr>
                <w:ilvl w:val="0"/>
                <w:numId w:val="13"/>
              </w:numPr>
              <w:ind w:left="31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Progressive neurologic disorder other than mi-graine</w:t>
            </w:r>
          </w:p>
          <w:p w14:paraId="23CA838F" w14:textId="77777777" w:rsidR="00665ECD" w:rsidRPr="006B2281" w:rsidRDefault="00665ECD" w:rsidP="00665ECD">
            <w:pPr>
              <w:numPr>
                <w:ilvl w:val="0"/>
                <w:numId w:val="13"/>
              </w:numPr>
              <w:ind w:left="321" w:hanging="321"/>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Pregnant or nursing</w:t>
            </w:r>
          </w:p>
        </w:tc>
        <w:tc>
          <w:tcPr>
            <w:tcW w:w="774" w:type="pct"/>
          </w:tcPr>
          <w:p w14:paraId="2B25D340"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sz w:val="18"/>
                <w:szCs w:val="18"/>
                <w:lang w:val="en-US"/>
              </w:rPr>
              <w:t>Topiramate resulted in statistically significant improvements compared with placebo in mean monthly migraine/migraineurs and migraine headache days. Topiramate is safe and generally well tolerated.</w:t>
            </w:r>
          </w:p>
        </w:tc>
      </w:tr>
      <w:bookmarkEnd w:id="11"/>
      <w:tr w:rsidR="00665ECD" w:rsidRPr="006B2281" w14:paraId="0985E679" w14:textId="77777777" w:rsidTr="00665ECD">
        <w:trPr>
          <w:cantSplit/>
          <w:trHeight w:val="1134"/>
        </w:trPr>
        <w:tc>
          <w:tcPr>
            <w:tcW w:w="417" w:type="pct"/>
          </w:tcPr>
          <w:p w14:paraId="271B86C5" w14:textId="61FCCD9F" w:rsidR="00665ECD" w:rsidRPr="006B2281" w:rsidRDefault="00665ECD" w:rsidP="00665ECD">
            <w:pPr>
              <w:rPr>
                <w:rFonts w:ascii="Calibri" w:eastAsia="Calibri" w:hAnsi="Calibri" w:cs="Calibri"/>
                <w:sz w:val="18"/>
                <w:szCs w:val="18"/>
              </w:rPr>
            </w:pPr>
            <w:r w:rsidRPr="006B2281">
              <w:rPr>
                <w:rFonts w:ascii="Calibri" w:eastAsia="Calibri" w:hAnsi="Calibri" w:cs="Calibri"/>
                <w:b/>
                <w:bCs/>
                <w:sz w:val="18"/>
                <w:szCs w:val="18"/>
                <w:lang w:val="en-US"/>
              </w:rPr>
              <w:t>Author, year:</w:t>
            </w:r>
            <w:r w:rsidRPr="006B2281">
              <w:rPr>
                <w:rFonts w:ascii="Calibri" w:eastAsia="Calibri" w:hAnsi="Calibri" w:cs="Calibri"/>
                <w:noProof/>
                <w:sz w:val="18"/>
                <w:szCs w:val="18"/>
                <w:lang w:val="en-US"/>
              </w:rPr>
              <w:t xml:space="preserve"> </w:t>
            </w:r>
            <w:r w:rsidRPr="006B2281">
              <w:rPr>
                <w:rFonts w:ascii="Calibri" w:eastAsia="Calibri" w:hAnsi="Calibri" w:cs="Calibri"/>
                <w:sz w:val="18"/>
                <w:szCs w:val="18"/>
              </w:rPr>
              <w:t>Silberstein SD,</w:t>
            </w:r>
            <w:r w:rsidR="004C22A2">
              <w:rPr>
                <w:rFonts w:ascii="Calibri" w:eastAsia="Calibri" w:hAnsi="Calibri" w:cs="Calibri"/>
                <w:sz w:val="18"/>
                <w:szCs w:val="18"/>
              </w:rPr>
              <w:t xml:space="preserve"> </w:t>
            </w:r>
            <w:r w:rsidRPr="006B2281">
              <w:rPr>
                <w:rFonts w:ascii="Calibri" w:eastAsia="Calibri" w:hAnsi="Calibri" w:cs="Calibri"/>
                <w:sz w:val="18"/>
                <w:szCs w:val="18"/>
              </w:rPr>
              <w:t>2017</w:t>
            </w:r>
          </w:p>
          <w:p w14:paraId="660DF786" w14:textId="00662F50" w:rsidR="00665ECD" w:rsidRPr="006B2281" w:rsidRDefault="00665ECD" w:rsidP="00665ECD">
            <w:pPr>
              <w:rPr>
                <w:rFonts w:ascii="Calibri" w:eastAsia="Calibri" w:hAnsi="Calibri" w:cs="Calibri"/>
                <w:sz w:val="18"/>
                <w:szCs w:val="18"/>
              </w:rPr>
            </w:pPr>
            <w:r w:rsidRPr="006B2281">
              <w:rPr>
                <w:rFonts w:ascii="Calibri" w:eastAsia="Calibri" w:hAnsi="Calibri" w:cs="Calibri"/>
                <w:sz w:val="18"/>
                <w:szCs w:val="18"/>
              </w:rPr>
              <w:fldChar w:fldCharType="begin"/>
            </w:r>
            <w:r w:rsidR="008D698C">
              <w:rPr>
                <w:rFonts w:ascii="Calibri" w:eastAsia="Calibri" w:hAnsi="Calibri" w:cs="Calibri"/>
                <w:sz w:val="18"/>
                <w:szCs w:val="18"/>
              </w:rPr>
              <w:instrText xml:space="preserve"> ADDIN EN.CITE &lt;EndNote&gt;&lt;Cite&gt;&lt;Author&gt;Silberstein&lt;/Author&gt;&lt;Year&gt;2017&lt;/Year&gt;&lt;RecNum&gt;30&lt;/RecNum&gt;&lt;DisplayText&gt;&lt;style face="superscript"&gt;44&lt;/style&gt;&lt;/DisplayText&gt;&lt;record&gt;&lt;rec-number&gt;30&lt;/rec-number&gt;&lt;foreign-keys&gt;&lt;key app="EN" db-id="fsz20seeavzsfie29wsx20a60watx2ffv2wz" timestamp="1662393734"&gt;30&lt;/key&gt;&lt;/foreign-keys&gt;&lt;ref-type name="Journal Article"&gt;17&lt;/ref-type&gt;&lt;contributors&gt;&lt;authors&gt;&lt;author&gt;Silberstein, Stephen D&lt;/author&gt;&lt;author&gt;Dodick, David W&lt;/author&gt;&lt;author&gt;Bigal, Marcelo E&lt;/author&gt;&lt;author&gt;Yeung, Paul P&lt;/author&gt;&lt;author&gt;Goadsby, Peter J&lt;/author&gt;&lt;author&gt;Blankenbiller, Tricia&lt;/author&gt;&lt;author&gt;Grozinski-Wolff, Melissa&lt;/author&gt;&lt;author&gt;Yang, Ronghua&lt;/author&gt;&lt;author&gt;Ma, Yuju&lt;/author&gt;&lt;author&gt;Aycardi, Ernesto&lt;/author&gt;&lt;/authors&gt;&lt;/contributors&gt;&lt;titles&gt;&lt;title&gt;Fremanezumab for the preventive treatment of chronic migraine&lt;/title&gt;&lt;secondary-title&gt;New England Journal of Medicine&lt;/secondary-title&gt;&lt;/titles&gt;&lt;periodical&gt;&lt;full-title&gt;New England Journal of Medicine&lt;/full-title&gt;&lt;/periodical&gt;&lt;pages&gt;2113-2122&lt;/pages&gt;&lt;volume&gt;377&lt;/volume&gt;&lt;number&gt;22&lt;/number&gt;&lt;dates&gt;&lt;year&gt;2017&lt;/year&gt;&lt;/dates&gt;&lt;isbn&gt;0028-4793&lt;/isbn&gt;&lt;label&gt;30&lt;/label&gt;&lt;urls&gt;&lt;/urls&gt;&lt;/record&gt;&lt;/Cite&gt;&lt;/EndNote&gt;</w:instrText>
            </w:r>
            <w:r w:rsidRPr="006B2281">
              <w:rPr>
                <w:rFonts w:ascii="Calibri" w:eastAsia="Calibri" w:hAnsi="Calibri" w:cs="Calibri"/>
                <w:sz w:val="18"/>
                <w:szCs w:val="18"/>
              </w:rPr>
              <w:fldChar w:fldCharType="separate"/>
            </w:r>
            <w:r w:rsidR="008D698C" w:rsidRPr="008D698C">
              <w:rPr>
                <w:rFonts w:ascii="Calibri" w:eastAsia="Calibri" w:hAnsi="Calibri" w:cs="Calibri"/>
                <w:noProof/>
                <w:sz w:val="18"/>
                <w:szCs w:val="18"/>
                <w:vertAlign w:val="superscript"/>
              </w:rPr>
              <w:t>44</w:t>
            </w:r>
            <w:r w:rsidRPr="006B2281">
              <w:rPr>
                <w:rFonts w:ascii="Calibri" w:eastAsia="Calibri" w:hAnsi="Calibri" w:cs="Calibri"/>
                <w:sz w:val="18"/>
                <w:szCs w:val="18"/>
              </w:rPr>
              <w:fldChar w:fldCharType="end"/>
            </w:r>
          </w:p>
          <w:p w14:paraId="40DDC637" w14:textId="77777777" w:rsidR="00665ECD" w:rsidRPr="006B2281" w:rsidRDefault="00665ECD" w:rsidP="00665ECD">
            <w:pPr>
              <w:rPr>
                <w:rFonts w:ascii="Calibri" w:eastAsia="Calibri" w:hAnsi="Calibri" w:cs="Calibri"/>
                <w:sz w:val="18"/>
                <w:szCs w:val="18"/>
              </w:rPr>
            </w:pPr>
          </w:p>
          <w:p w14:paraId="170A1376"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Country:</w:t>
            </w:r>
          </w:p>
          <w:p w14:paraId="4C848696" w14:textId="7899436C"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sz w:val="18"/>
                <w:szCs w:val="18"/>
              </w:rPr>
              <w:t>132 sites in nine countries</w:t>
            </w:r>
          </w:p>
        </w:tc>
        <w:tc>
          <w:tcPr>
            <w:tcW w:w="748" w:type="pct"/>
          </w:tcPr>
          <w:p w14:paraId="2ABC70DC"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Purpose:</w:t>
            </w:r>
          </w:p>
          <w:p w14:paraId="1A426DAF" w14:textId="702E45C7" w:rsidR="00665ECD" w:rsidRPr="006B2281" w:rsidRDefault="00665ECD" w:rsidP="00665ECD">
            <w:pPr>
              <w:rPr>
                <w:rFonts w:ascii="Calibri" w:eastAsia="Calibri" w:hAnsi="Calibri" w:cs="Calibri"/>
                <w:sz w:val="18"/>
                <w:szCs w:val="18"/>
              </w:rPr>
            </w:pPr>
            <w:r w:rsidRPr="006B2281">
              <w:rPr>
                <w:rFonts w:ascii="Calibri" w:eastAsia="Calibri" w:hAnsi="Calibri" w:cs="Calibri"/>
                <w:sz w:val="18"/>
                <w:szCs w:val="18"/>
              </w:rPr>
              <w:t xml:space="preserve">To compared two </w:t>
            </w:r>
            <w:r w:rsidR="004C22A2">
              <w:rPr>
                <w:rFonts w:ascii="Calibri" w:eastAsia="Calibri" w:hAnsi="Calibri" w:cs="Calibri"/>
                <w:sz w:val="18"/>
                <w:szCs w:val="18"/>
              </w:rPr>
              <w:t>F</w:t>
            </w:r>
            <w:r w:rsidRPr="006B2281">
              <w:rPr>
                <w:rFonts w:ascii="Calibri" w:eastAsia="Calibri" w:hAnsi="Calibri" w:cs="Calibri"/>
                <w:sz w:val="18"/>
                <w:szCs w:val="18"/>
              </w:rPr>
              <w:t>remanezumab dose regimens with placebo for the prevention of chronic migraine.</w:t>
            </w:r>
          </w:p>
          <w:p w14:paraId="01768A2D" w14:textId="77777777" w:rsidR="00665ECD" w:rsidRPr="006B2281" w:rsidRDefault="00665ECD" w:rsidP="00665ECD">
            <w:pPr>
              <w:rPr>
                <w:rFonts w:ascii="Calibri" w:eastAsia="Calibri" w:hAnsi="Calibri" w:cs="Calibri"/>
                <w:noProof/>
                <w:sz w:val="18"/>
                <w:szCs w:val="18"/>
                <w:lang w:val="en-US"/>
              </w:rPr>
            </w:pPr>
          </w:p>
          <w:p w14:paraId="3B9F8B48"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t xml:space="preserve">Study design: </w:t>
            </w:r>
          </w:p>
          <w:p w14:paraId="72AF2611" w14:textId="77777777" w:rsidR="00665ECD" w:rsidRPr="006B2281" w:rsidRDefault="00665ECD" w:rsidP="00665ECD">
            <w:pPr>
              <w:rPr>
                <w:rFonts w:ascii="Calibri" w:eastAsia="Calibri" w:hAnsi="Calibri" w:cs="Calibri"/>
                <w:sz w:val="18"/>
                <w:szCs w:val="18"/>
              </w:rPr>
            </w:pPr>
            <w:r w:rsidRPr="006B2281">
              <w:rPr>
                <w:rFonts w:ascii="Calibri" w:eastAsia="Calibri" w:hAnsi="Calibri" w:cs="Calibri"/>
                <w:sz w:val="18"/>
                <w:szCs w:val="18"/>
              </w:rPr>
              <w:t>Randomized, double-blind, placebo-controlled, parallel-group trial</w:t>
            </w:r>
          </w:p>
          <w:p w14:paraId="44544878" w14:textId="77777777" w:rsidR="00665ECD" w:rsidRPr="006B2281" w:rsidRDefault="00665ECD" w:rsidP="00665ECD">
            <w:pPr>
              <w:rPr>
                <w:rFonts w:ascii="Calibri" w:eastAsia="Calibri" w:hAnsi="Calibri" w:cs="Calibri"/>
                <w:noProof/>
                <w:sz w:val="18"/>
                <w:szCs w:val="18"/>
                <w:lang w:val="en-US"/>
              </w:rPr>
            </w:pPr>
          </w:p>
          <w:p w14:paraId="706D0BD1"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 xml:space="preserve">Date: </w:t>
            </w:r>
          </w:p>
          <w:p w14:paraId="132C0B53" w14:textId="226B442B"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sz w:val="18"/>
                <w:szCs w:val="18"/>
              </w:rPr>
              <w:t>March 2016 through January 2017</w:t>
            </w:r>
          </w:p>
        </w:tc>
        <w:tc>
          <w:tcPr>
            <w:tcW w:w="856" w:type="pct"/>
          </w:tcPr>
          <w:p w14:paraId="0822E730" w14:textId="77777777" w:rsidR="00665ECD" w:rsidRDefault="00665ECD" w:rsidP="00665ECD">
            <w:pPr>
              <w:ind w:left="218" w:hanging="178"/>
              <w:contextualSpacing/>
              <w:rPr>
                <w:rFonts w:ascii="Calibri" w:eastAsia="Calibri" w:hAnsi="Calibri" w:cs="Calibri"/>
                <w:sz w:val="18"/>
                <w:szCs w:val="18"/>
              </w:rPr>
            </w:pPr>
            <w:r w:rsidRPr="002A2987">
              <w:rPr>
                <w:rFonts w:ascii="Calibri" w:eastAsia="Calibri" w:hAnsi="Calibri" w:cs="Calibri"/>
                <w:sz w:val="18"/>
                <w:szCs w:val="18"/>
              </w:rPr>
              <w:t>•</w:t>
            </w:r>
            <w:r>
              <w:rPr>
                <w:rFonts w:ascii="Calibri" w:eastAsia="Calibri" w:hAnsi="Calibri" w:cs="Calibri"/>
                <w:sz w:val="18"/>
                <w:szCs w:val="18"/>
              </w:rPr>
              <w:t xml:space="preserve"> Sample size planned: </w:t>
            </w:r>
            <w:r w:rsidRPr="002A2987">
              <w:rPr>
                <w:rFonts w:ascii="Calibri" w:eastAsia="Calibri" w:hAnsi="Calibri" w:cs="Calibri"/>
                <w:sz w:val="18"/>
                <w:szCs w:val="18"/>
              </w:rPr>
              <w:t xml:space="preserve">1020 participants. </w:t>
            </w:r>
          </w:p>
          <w:p w14:paraId="3E0BCD71" w14:textId="77777777" w:rsidR="00665ECD" w:rsidRDefault="00665ECD" w:rsidP="00665ECD">
            <w:pPr>
              <w:ind w:left="218"/>
              <w:contextualSpacing/>
              <w:rPr>
                <w:rFonts w:ascii="Calibri" w:eastAsia="Calibri" w:hAnsi="Calibri" w:cs="Calibri"/>
                <w:sz w:val="18"/>
                <w:szCs w:val="18"/>
              </w:rPr>
            </w:pPr>
          </w:p>
          <w:p w14:paraId="65D539F2" w14:textId="0A36D24F" w:rsidR="00665ECD" w:rsidRDefault="00665ECD" w:rsidP="00665ECD">
            <w:pPr>
              <w:pStyle w:val="ListParagraph"/>
              <w:numPr>
                <w:ilvl w:val="0"/>
                <w:numId w:val="35"/>
              </w:numPr>
              <w:tabs>
                <w:tab w:val="left" w:pos="182"/>
              </w:tabs>
              <w:ind w:left="40" w:firstLine="0"/>
              <w:rPr>
                <w:rFonts w:cs="Calibri"/>
                <w:sz w:val="18"/>
                <w:szCs w:val="18"/>
              </w:rPr>
            </w:pPr>
            <w:r w:rsidRPr="002A2987">
              <w:rPr>
                <w:rFonts w:cs="Calibri"/>
                <w:sz w:val="18"/>
                <w:szCs w:val="18"/>
              </w:rPr>
              <w:t xml:space="preserve">90% power to detect a mean (±SD) difference of 1.7±6.3 in the average number of headache days per month between the </w:t>
            </w:r>
            <w:r w:rsidR="004C22A2">
              <w:rPr>
                <w:rFonts w:cs="Calibri"/>
                <w:sz w:val="18"/>
                <w:szCs w:val="18"/>
              </w:rPr>
              <w:t>F</w:t>
            </w:r>
            <w:r w:rsidRPr="002A2987">
              <w:rPr>
                <w:rFonts w:cs="Calibri"/>
                <w:sz w:val="18"/>
                <w:szCs w:val="18"/>
              </w:rPr>
              <w:t xml:space="preserve">remanezumab-monthly group and the placebo group. </w:t>
            </w:r>
          </w:p>
          <w:p w14:paraId="401CE735" w14:textId="77777777" w:rsidR="00665ECD" w:rsidRPr="002A2987" w:rsidRDefault="00665ECD" w:rsidP="00665ECD">
            <w:pPr>
              <w:pStyle w:val="ListParagraph"/>
              <w:tabs>
                <w:tab w:val="left" w:pos="182"/>
              </w:tabs>
              <w:ind w:left="40"/>
              <w:rPr>
                <w:rFonts w:cs="Calibri"/>
                <w:sz w:val="18"/>
                <w:szCs w:val="18"/>
              </w:rPr>
            </w:pPr>
          </w:p>
          <w:p w14:paraId="3C15BB82" w14:textId="77777777" w:rsidR="00005886" w:rsidRDefault="00665ECD" w:rsidP="00005886">
            <w:pPr>
              <w:ind w:left="40"/>
              <w:contextualSpacing/>
              <w:rPr>
                <w:rFonts w:ascii="Calibri" w:eastAsia="Calibri" w:hAnsi="Calibri" w:cs="Calibri"/>
                <w:sz w:val="18"/>
                <w:szCs w:val="18"/>
              </w:rPr>
            </w:pPr>
            <w:r w:rsidRPr="002A2987">
              <w:rPr>
                <w:rFonts w:ascii="Calibri" w:eastAsia="Calibri" w:hAnsi="Calibri" w:cs="Calibri"/>
                <w:sz w:val="18"/>
                <w:szCs w:val="18"/>
              </w:rPr>
              <w:t xml:space="preserve">• </w:t>
            </w:r>
            <w:r>
              <w:rPr>
                <w:rFonts w:ascii="Calibri" w:eastAsia="Calibri" w:hAnsi="Calibri" w:cs="Calibri"/>
                <w:sz w:val="18"/>
                <w:szCs w:val="18"/>
              </w:rPr>
              <w:t xml:space="preserve">Using </w:t>
            </w:r>
            <w:r w:rsidRPr="002A2987">
              <w:rPr>
                <w:rFonts w:ascii="Calibri" w:eastAsia="Calibri" w:hAnsi="Calibri" w:cs="Calibri"/>
                <w:sz w:val="18"/>
                <w:szCs w:val="18"/>
              </w:rPr>
              <w:t>a two-sided alpha level of 0.05.</w:t>
            </w:r>
          </w:p>
          <w:p w14:paraId="7CE4B05D" w14:textId="77777777" w:rsidR="00005886" w:rsidRDefault="00005886" w:rsidP="00005886">
            <w:pPr>
              <w:ind w:left="40"/>
              <w:contextualSpacing/>
              <w:rPr>
                <w:rFonts w:ascii="Calibri" w:eastAsia="Calibri" w:hAnsi="Calibri" w:cs="Calibri"/>
                <w:sz w:val="18"/>
                <w:szCs w:val="18"/>
              </w:rPr>
            </w:pPr>
          </w:p>
          <w:p w14:paraId="1BBB3909" w14:textId="28C73262" w:rsidR="00665ECD" w:rsidRPr="00005886" w:rsidRDefault="00665ECD" w:rsidP="00005886">
            <w:pPr>
              <w:pStyle w:val="ListParagraph"/>
              <w:numPr>
                <w:ilvl w:val="0"/>
                <w:numId w:val="35"/>
              </w:numPr>
              <w:ind w:left="153" w:hanging="113"/>
              <w:rPr>
                <w:rFonts w:cs="Calibri"/>
                <w:sz w:val="18"/>
                <w:szCs w:val="18"/>
              </w:rPr>
            </w:pPr>
            <w:r w:rsidRPr="00005886">
              <w:rPr>
                <w:rFonts w:cs="Calibri"/>
                <w:sz w:val="18"/>
                <w:szCs w:val="18"/>
              </w:rPr>
              <w:t>Assuming discontinuation rate of 15%</w:t>
            </w:r>
          </w:p>
        </w:tc>
        <w:tc>
          <w:tcPr>
            <w:tcW w:w="856" w:type="pct"/>
          </w:tcPr>
          <w:p w14:paraId="72CDB0FF" w14:textId="77777777" w:rsidR="00665ECD" w:rsidRPr="006B2281" w:rsidRDefault="00665ECD" w:rsidP="00665ECD">
            <w:pPr>
              <w:numPr>
                <w:ilvl w:val="0"/>
                <w:numId w:val="17"/>
              </w:numPr>
              <w:ind w:left="218" w:hanging="284"/>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Adult (18 to 70 years), a history of migraine according to ICHD-3 beta for at least 12 months.</w:t>
            </w:r>
          </w:p>
          <w:p w14:paraId="580C2723" w14:textId="77777777" w:rsidR="00665ECD" w:rsidRPr="006B2281" w:rsidRDefault="00665ECD" w:rsidP="00665ECD">
            <w:pPr>
              <w:numPr>
                <w:ilvl w:val="0"/>
                <w:numId w:val="17"/>
              </w:numPr>
              <w:ind w:left="218" w:hanging="284"/>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 ≥15 headache days with ≥8 migraine days.</w:t>
            </w:r>
          </w:p>
          <w:p w14:paraId="7887C57D" w14:textId="4D710955" w:rsidR="00665ECD" w:rsidRPr="007E0C63" w:rsidRDefault="00665ECD" w:rsidP="007E0C63">
            <w:pPr>
              <w:numPr>
                <w:ilvl w:val="0"/>
                <w:numId w:val="17"/>
              </w:numPr>
              <w:ind w:left="218" w:hanging="284"/>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The protocol allowed inclusion of up to 30% of patients using a stable dose of one migraine-preventive medication (hereafter referred to as preventive medication) for at least 2 months before the beginning of the preintervention period to continue these medications</w:t>
            </w:r>
            <w:r w:rsidRPr="007E0C63">
              <w:rPr>
                <w:rFonts w:ascii="Calibri" w:eastAsia="Calibri" w:hAnsi="Calibri" w:cs="Calibri"/>
                <w:noProof/>
                <w:sz w:val="18"/>
                <w:szCs w:val="18"/>
                <w:lang w:val="en-US"/>
              </w:rPr>
              <w:t xml:space="preserve"> </w:t>
            </w:r>
          </w:p>
        </w:tc>
        <w:tc>
          <w:tcPr>
            <w:tcW w:w="1349" w:type="pct"/>
          </w:tcPr>
          <w:p w14:paraId="1F6EA081" w14:textId="52C8CBAD" w:rsidR="00665ECD" w:rsidRPr="006B2281" w:rsidRDefault="00665ECD" w:rsidP="00665ECD">
            <w:pPr>
              <w:numPr>
                <w:ilvl w:val="0"/>
                <w:numId w:val="17"/>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The use of </w:t>
            </w:r>
            <w:r w:rsidR="00AE38D5">
              <w:rPr>
                <w:rFonts w:ascii="Calibri" w:eastAsia="Calibri" w:hAnsi="Calibri" w:cs="Calibri"/>
                <w:noProof/>
                <w:sz w:val="18"/>
                <w:szCs w:val="18"/>
                <w:lang w:val="en-US"/>
              </w:rPr>
              <w:t>BTA</w:t>
            </w:r>
            <w:r w:rsidRPr="006B2281">
              <w:rPr>
                <w:rFonts w:ascii="Calibri" w:eastAsia="Calibri" w:hAnsi="Calibri" w:cs="Calibri"/>
                <w:noProof/>
                <w:sz w:val="18"/>
                <w:szCs w:val="18"/>
                <w:lang w:val="en-US"/>
              </w:rPr>
              <w:t xml:space="preserve"> during the 4 months before screening</w:t>
            </w:r>
          </w:p>
          <w:p w14:paraId="721032E7" w14:textId="77777777" w:rsidR="00665ECD" w:rsidRPr="006B2281" w:rsidRDefault="00665ECD" w:rsidP="00665ECD">
            <w:pPr>
              <w:numPr>
                <w:ilvl w:val="0"/>
                <w:numId w:val="17"/>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The use of interventions or devices for migraine, such as nerve blocks and transcranial magnetic stimulation, during the 2 months before screening</w:t>
            </w:r>
          </w:p>
          <w:p w14:paraId="727DB10A" w14:textId="77777777" w:rsidR="00665ECD" w:rsidRPr="006B2281" w:rsidRDefault="00665ECD" w:rsidP="00665ECD">
            <w:pPr>
              <w:numPr>
                <w:ilvl w:val="0"/>
                <w:numId w:val="17"/>
              </w:numPr>
              <w:ind w:left="317"/>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The use of opioid or barbiturate medications on more than 4 days during the pre-intervention period</w:t>
            </w:r>
          </w:p>
          <w:p w14:paraId="0BB04799" w14:textId="5AFDC6D7" w:rsidR="00665ECD" w:rsidRPr="006B2281" w:rsidRDefault="00665ECD" w:rsidP="00665ECD">
            <w:pPr>
              <w:numPr>
                <w:ilvl w:val="0"/>
                <w:numId w:val="13"/>
              </w:numPr>
              <w:ind w:left="315"/>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and a lack of efficacy, after an adequate therapeutic trial, of at least two of four clusters of preventive medications</w:t>
            </w:r>
          </w:p>
        </w:tc>
        <w:tc>
          <w:tcPr>
            <w:tcW w:w="774" w:type="pct"/>
          </w:tcPr>
          <w:p w14:paraId="04B75D60" w14:textId="54C209D6" w:rsidR="00665ECD" w:rsidRPr="006B2281" w:rsidRDefault="00665ECD" w:rsidP="00665ECD">
            <w:pPr>
              <w:rPr>
                <w:rFonts w:ascii="Calibri" w:eastAsia="Calibri" w:hAnsi="Calibri" w:cs="Calibri"/>
                <w:sz w:val="18"/>
                <w:szCs w:val="18"/>
                <w:lang w:val="en-US"/>
              </w:rPr>
            </w:pPr>
            <w:r w:rsidRPr="006B2281">
              <w:rPr>
                <w:rFonts w:ascii="Calibri" w:eastAsia="Calibri" w:hAnsi="Calibri" w:cs="Calibri"/>
                <w:sz w:val="18"/>
                <w:szCs w:val="18"/>
              </w:rPr>
              <w:t>Fremanezumab as a preventive treatment for chronic migraine resulted in a lower frequency of headache than placebo in this 12-week trial. Injection-site reactions to the drug were common</w:t>
            </w:r>
          </w:p>
        </w:tc>
      </w:tr>
      <w:tr w:rsidR="00665ECD" w:rsidRPr="006B2281" w14:paraId="7F569FCF" w14:textId="77777777" w:rsidTr="00665ECD">
        <w:trPr>
          <w:cantSplit/>
          <w:trHeight w:val="1134"/>
        </w:trPr>
        <w:tc>
          <w:tcPr>
            <w:tcW w:w="417" w:type="pct"/>
          </w:tcPr>
          <w:p w14:paraId="59CB04A5" w14:textId="6BAA3CF9" w:rsidR="00665ECD" w:rsidRPr="006B2281" w:rsidRDefault="00665ECD" w:rsidP="00665ECD">
            <w:pPr>
              <w:rPr>
                <w:rFonts w:ascii="Calibri" w:eastAsia="Calibri" w:hAnsi="Calibri" w:cs="Calibri"/>
                <w:sz w:val="18"/>
                <w:szCs w:val="18"/>
              </w:rPr>
            </w:pPr>
            <w:r w:rsidRPr="006B2281">
              <w:rPr>
                <w:rFonts w:ascii="Calibri" w:eastAsia="Calibri" w:hAnsi="Calibri" w:cs="Calibri"/>
                <w:b/>
                <w:bCs/>
                <w:sz w:val="18"/>
                <w:szCs w:val="18"/>
                <w:lang w:val="en-US"/>
              </w:rPr>
              <w:lastRenderedPageBreak/>
              <w:t>Author, year:</w:t>
            </w:r>
            <w:r w:rsidRPr="006B2281">
              <w:rPr>
                <w:rFonts w:ascii="Calibri" w:eastAsia="Calibri" w:hAnsi="Calibri" w:cs="Calibri"/>
                <w:noProof/>
                <w:sz w:val="18"/>
                <w:szCs w:val="18"/>
                <w:lang w:val="en-US"/>
              </w:rPr>
              <w:t xml:space="preserve"> </w:t>
            </w:r>
            <w:r w:rsidRPr="006B2281">
              <w:rPr>
                <w:rFonts w:ascii="Calibri" w:eastAsia="Calibri" w:hAnsi="Calibri" w:cs="Calibri"/>
                <w:sz w:val="18"/>
                <w:szCs w:val="18"/>
              </w:rPr>
              <w:t>Tepper, 2017</w:t>
            </w:r>
            <w:r w:rsidRPr="006B2281">
              <w:rPr>
                <w:rFonts w:ascii="Calibri" w:eastAsia="Calibri" w:hAnsi="Calibri" w:cs="Calibri"/>
                <w:sz w:val="18"/>
                <w:szCs w:val="18"/>
              </w:rPr>
              <w:fldChar w:fldCharType="begin"/>
            </w:r>
            <w:r w:rsidR="008D698C">
              <w:rPr>
                <w:rFonts w:ascii="Calibri" w:eastAsia="Calibri" w:hAnsi="Calibri" w:cs="Calibri"/>
                <w:sz w:val="18"/>
                <w:szCs w:val="18"/>
              </w:rPr>
              <w:instrText xml:space="preserve"> ADDIN EN.CITE &lt;EndNote&gt;&lt;Cite&gt;&lt;Author&gt;Tepper&lt;/Author&gt;&lt;Year&gt;2017&lt;/Year&gt;&lt;RecNum&gt;35&lt;/RecNum&gt;&lt;DisplayText&gt;&lt;style face="superscript"&gt;49&lt;/style&gt;&lt;/DisplayText&gt;&lt;record&gt;&lt;rec-number&gt;35&lt;/rec-number&gt;&lt;foreign-keys&gt;&lt;key app="EN" db-id="fsz20seeavzsfie29wsx20a60watx2ffv2wz" timestamp="1662393873"&gt;35&lt;/key&gt;&lt;/foreign-keys&gt;&lt;ref-type name="Journal Article"&gt;17&lt;/ref-type&gt;&lt;contributors&gt;&lt;authors&gt;&lt;author&gt;Tepper, Stewart&lt;/author&gt;&lt;author&gt;Ashina, Messoud&lt;/author&gt;&lt;author&gt;Reuter, Uwe&lt;/author&gt;&lt;author&gt;Brandes, Jan L&lt;/author&gt;&lt;author&gt;Doležil, David&lt;/author&gt;&lt;author&gt;Silberstein, Stephen&lt;/author&gt;&lt;author&gt;Winner, Paul&lt;/author&gt;&lt;author&gt;Leonardi, Dean&lt;/author&gt;&lt;author&gt;Mikol, Daniel&lt;/author&gt;&lt;author&gt;Lenz, Robert&lt;/author&gt;&lt;/authors&gt;&lt;/contributors&gt;&lt;titles&gt;&lt;title&gt;Safety and efficacy of erenumab for preventive treatment of chronic migraine: a randomised, double-blind, placebo-controlled phase 2 trial&lt;/title&gt;&lt;secondary-title&gt;The Lancet Neurology&lt;/secondary-title&gt;&lt;/titles&gt;&lt;periodical&gt;&lt;full-title&gt;The Lancet Neurology&lt;/full-title&gt;&lt;/periodical&gt;&lt;pages&gt;425-434&lt;/pages&gt;&lt;volume&gt;16&lt;/volume&gt;&lt;number&gt;6&lt;/number&gt;&lt;dates&gt;&lt;year&gt;2017&lt;/year&gt;&lt;/dates&gt;&lt;isbn&gt;1474-4422&lt;/isbn&gt;&lt;label&gt;35&lt;/label&gt;&lt;urls&gt;&lt;/urls&gt;&lt;/record&gt;&lt;/Cite&gt;&lt;/EndNote&gt;</w:instrText>
            </w:r>
            <w:r w:rsidRPr="006B2281">
              <w:rPr>
                <w:rFonts w:ascii="Calibri" w:eastAsia="Calibri" w:hAnsi="Calibri" w:cs="Calibri"/>
                <w:sz w:val="18"/>
                <w:szCs w:val="18"/>
              </w:rPr>
              <w:fldChar w:fldCharType="separate"/>
            </w:r>
            <w:r w:rsidR="008D698C" w:rsidRPr="008D698C">
              <w:rPr>
                <w:rFonts w:ascii="Calibri" w:eastAsia="Calibri" w:hAnsi="Calibri" w:cs="Calibri"/>
                <w:noProof/>
                <w:sz w:val="18"/>
                <w:szCs w:val="18"/>
                <w:vertAlign w:val="superscript"/>
              </w:rPr>
              <w:t>49</w:t>
            </w:r>
            <w:r w:rsidRPr="006B2281">
              <w:rPr>
                <w:rFonts w:ascii="Calibri" w:eastAsia="Calibri" w:hAnsi="Calibri" w:cs="Calibri"/>
                <w:sz w:val="18"/>
                <w:szCs w:val="18"/>
              </w:rPr>
              <w:fldChar w:fldCharType="end"/>
            </w:r>
          </w:p>
          <w:p w14:paraId="5C7E1FD5" w14:textId="77777777" w:rsidR="00665ECD" w:rsidRPr="006B2281" w:rsidRDefault="00665ECD" w:rsidP="00665ECD">
            <w:pPr>
              <w:rPr>
                <w:rFonts w:ascii="Calibri" w:eastAsia="Calibri" w:hAnsi="Calibri" w:cs="Calibri"/>
                <w:sz w:val="18"/>
                <w:szCs w:val="18"/>
              </w:rPr>
            </w:pPr>
          </w:p>
          <w:p w14:paraId="6D980BD0"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Country:</w:t>
            </w:r>
          </w:p>
          <w:p w14:paraId="7D0A17CE"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North America (Canada and the USA) and Europe</w:t>
            </w:r>
          </w:p>
          <w:p w14:paraId="074033C0"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(Czech Republic, Denmark, Finland, Germany, Norway,</w:t>
            </w:r>
          </w:p>
          <w:p w14:paraId="450DEE3E"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Poland, Sweden, and the UK</w:t>
            </w:r>
          </w:p>
        </w:tc>
        <w:tc>
          <w:tcPr>
            <w:tcW w:w="748" w:type="pct"/>
          </w:tcPr>
          <w:p w14:paraId="4279A1C8"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Purpose:</w:t>
            </w:r>
          </w:p>
          <w:p w14:paraId="4F4046A7"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To assess the safety and</w:t>
            </w:r>
          </w:p>
          <w:p w14:paraId="6FE35C11"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efficacy of erenumab 70 mg and 140 mg in patients with</w:t>
            </w:r>
          </w:p>
          <w:p w14:paraId="004FEB7F"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chronic migraine.</w:t>
            </w:r>
          </w:p>
          <w:p w14:paraId="150A093B" w14:textId="77777777" w:rsidR="00665ECD" w:rsidRPr="006B2281" w:rsidRDefault="00665ECD" w:rsidP="00665ECD">
            <w:pPr>
              <w:rPr>
                <w:rFonts w:ascii="Calibri" w:eastAsia="Calibri" w:hAnsi="Calibri" w:cs="Calibri"/>
                <w:b/>
                <w:bCs/>
                <w:sz w:val="18"/>
                <w:szCs w:val="18"/>
                <w:lang w:val="en-US"/>
              </w:rPr>
            </w:pPr>
          </w:p>
          <w:p w14:paraId="3D10E8B6"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b/>
                <w:bCs/>
                <w:sz w:val="18"/>
                <w:szCs w:val="18"/>
                <w:lang w:val="en-US"/>
              </w:rPr>
              <w:t xml:space="preserve">Study design: </w:t>
            </w:r>
          </w:p>
          <w:p w14:paraId="4CBC72E0" w14:textId="77777777" w:rsidR="00665ECD" w:rsidRPr="006B2281" w:rsidRDefault="00665ECD" w:rsidP="00665ECD">
            <w:pPr>
              <w:rPr>
                <w:rFonts w:ascii="Calibri" w:eastAsia="Calibri" w:hAnsi="Calibri" w:cs="Calibri"/>
                <w:noProof/>
                <w:sz w:val="18"/>
                <w:szCs w:val="18"/>
                <w:lang w:val="en-US"/>
              </w:rPr>
            </w:pPr>
            <w:r w:rsidRPr="006B2281">
              <w:rPr>
                <w:rFonts w:ascii="Calibri" w:eastAsia="Calibri" w:hAnsi="Calibri" w:cs="Calibri"/>
                <w:noProof/>
                <w:sz w:val="18"/>
                <w:szCs w:val="18"/>
                <w:lang w:val="en-US"/>
              </w:rPr>
              <w:t>phase 2, randomised, double-blind, placebo-controlled, multicentre</w:t>
            </w:r>
          </w:p>
          <w:p w14:paraId="748FE8D8" w14:textId="77777777" w:rsidR="00665ECD" w:rsidRPr="006B2281" w:rsidRDefault="00665ECD" w:rsidP="00665ECD">
            <w:pPr>
              <w:rPr>
                <w:rFonts w:ascii="Calibri" w:eastAsia="Calibri" w:hAnsi="Calibri" w:cs="Calibri"/>
                <w:b/>
                <w:bCs/>
                <w:sz w:val="18"/>
                <w:szCs w:val="18"/>
                <w:lang w:val="en-US"/>
              </w:rPr>
            </w:pPr>
          </w:p>
          <w:p w14:paraId="4FE48EC5"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b/>
                <w:bCs/>
                <w:sz w:val="18"/>
                <w:szCs w:val="18"/>
                <w:lang w:val="en-US"/>
              </w:rPr>
              <w:t>Date:</w:t>
            </w:r>
          </w:p>
          <w:p w14:paraId="0E45EF6A" w14:textId="77777777" w:rsidR="00665ECD" w:rsidRPr="006B2281" w:rsidRDefault="00665ECD" w:rsidP="00665ECD">
            <w:pPr>
              <w:rPr>
                <w:rFonts w:ascii="Calibri" w:eastAsia="Calibri" w:hAnsi="Calibri" w:cs="Calibri"/>
                <w:b/>
                <w:bCs/>
                <w:sz w:val="18"/>
                <w:szCs w:val="18"/>
                <w:lang w:val="en-US"/>
              </w:rPr>
            </w:pPr>
            <w:r w:rsidRPr="006B2281">
              <w:rPr>
                <w:rFonts w:ascii="Calibri" w:eastAsia="Calibri" w:hAnsi="Calibri" w:cs="Calibri"/>
                <w:noProof/>
                <w:sz w:val="18"/>
                <w:szCs w:val="18"/>
                <w:lang w:val="en-US"/>
              </w:rPr>
              <w:t>April 3, 2014, to Dec 4, 201</w:t>
            </w:r>
          </w:p>
        </w:tc>
        <w:tc>
          <w:tcPr>
            <w:tcW w:w="856" w:type="pct"/>
          </w:tcPr>
          <w:p w14:paraId="3AD322CD" w14:textId="77777777" w:rsidR="00665ECD" w:rsidRDefault="00665ECD" w:rsidP="00665ECD">
            <w:pPr>
              <w:ind w:left="40"/>
              <w:contextualSpacing/>
              <w:rPr>
                <w:rFonts w:ascii="Calibri" w:eastAsia="Calibri" w:hAnsi="Calibri" w:cs="Calibri"/>
                <w:noProof/>
                <w:sz w:val="18"/>
                <w:szCs w:val="18"/>
                <w:lang w:val="en-US"/>
              </w:rPr>
            </w:pPr>
            <w:r w:rsidRPr="00871081">
              <w:rPr>
                <w:rFonts w:ascii="Calibri" w:eastAsia="Calibri" w:hAnsi="Calibri" w:cs="Calibri"/>
                <w:noProof/>
                <w:sz w:val="18"/>
                <w:szCs w:val="18"/>
                <w:lang w:val="en-US"/>
              </w:rPr>
              <w:t>• Planned sample size: 279 for placebo and 186 for erenumab 70 mg with a treatment effect of -1.9 days and SD of 6.1</w:t>
            </w:r>
          </w:p>
          <w:p w14:paraId="02A73E09" w14:textId="77777777" w:rsidR="00665ECD" w:rsidRPr="00871081" w:rsidRDefault="00665ECD" w:rsidP="00665ECD">
            <w:pPr>
              <w:ind w:left="40"/>
              <w:contextualSpacing/>
              <w:rPr>
                <w:rFonts w:ascii="Calibri" w:eastAsia="Calibri" w:hAnsi="Calibri" w:cs="Calibri"/>
                <w:noProof/>
                <w:sz w:val="18"/>
                <w:szCs w:val="18"/>
                <w:lang w:val="en-US"/>
              </w:rPr>
            </w:pPr>
          </w:p>
          <w:p w14:paraId="50EADE86" w14:textId="6B34574C" w:rsidR="00665ECD" w:rsidRDefault="00665ECD" w:rsidP="00665ECD">
            <w:pPr>
              <w:ind w:left="40"/>
              <w:contextualSpacing/>
              <w:rPr>
                <w:rFonts w:ascii="Calibri" w:eastAsia="Calibri" w:hAnsi="Calibri" w:cs="Calibri"/>
                <w:noProof/>
                <w:sz w:val="18"/>
                <w:szCs w:val="18"/>
                <w:lang w:val="en-US"/>
              </w:rPr>
            </w:pPr>
            <w:r w:rsidRPr="00871081">
              <w:rPr>
                <w:rFonts w:ascii="Calibri" w:eastAsia="Calibri" w:hAnsi="Calibri" w:cs="Calibri"/>
                <w:noProof/>
                <w:sz w:val="18"/>
                <w:szCs w:val="18"/>
                <w:lang w:val="en-US"/>
              </w:rPr>
              <w:t>•</w:t>
            </w:r>
            <w:r>
              <w:rPr>
                <w:rFonts w:ascii="Calibri" w:eastAsia="Calibri" w:hAnsi="Calibri" w:cs="Calibri"/>
                <w:noProof/>
                <w:sz w:val="18"/>
                <w:szCs w:val="18"/>
                <w:lang w:val="en-US"/>
              </w:rPr>
              <w:t>Provided</w:t>
            </w:r>
            <w:r w:rsidRPr="00871081">
              <w:rPr>
                <w:rFonts w:ascii="Calibri" w:eastAsia="Calibri" w:hAnsi="Calibri" w:cs="Calibri"/>
                <w:noProof/>
                <w:sz w:val="18"/>
                <w:szCs w:val="18"/>
                <w:lang w:val="en-US"/>
              </w:rPr>
              <w:t xml:space="preserve">  85% power using a two-sample t-test with a two-sided significance level of 0.04</w:t>
            </w:r>
          </w:p>
          <w:p w14:paraId="18337DD2" w14:textId="77777777" w:rsidR="00665ECD" w:rsidRDefault="00665ECD" w:rsidP="00665ECD">
            <w:pPr>
              <w:ind w:left="40"/>
              <w:contextualSpacing/>
              <w:rPr>
                <w:rFonts w:ascii="Calibri" w:eastAsia="Calibri" w:hAnsi="Calibri" w:cs="Calibri"/>
                <w:noProof/>
                <w:sz w:val="18"/>
                <w:szCs w:val="18"/>
                <w:lang w:val="en-US"/>
              </w:rPr>
            </w:pPr>
          </w:p>
          <w:p w14:paraId="52C62CEA" w14:textId="77777777" w:rsidR="00665ECD" w:rsidRPr="00871081" w:rsidRDefault="00665ECD" w:rsidP="00665ECD">
            <w:pPr>
              <w:ind w:left="40"/>
              <w:contextualSpacing/>
              <w:rPr>
                <w:rFonts w:ascii="Calibri" w:eastAsia="Calibri" w:hAnsi="Calibri" w:cs="Calibri"/>
                <w:noProof/>
                <w:sz w:val="18"/>
                <w:szCs w:val="18"/>
                <w:lang w:val="en-US"/>
              </w:rPr>
            </w:pPr>
          </w:p>
          <w:p w14:paraId="5D67A287" w14:textId="77777777" w:rsidR="00665ECD" w:rsidRDefault="00665ECD" w:rsidP="00665ECD">
            <w:pPr>
              <w:ind w:left="40"/>
              <w:contextualSpacing/>
              <w:rPr>
                <w:rFonts w:ascii="Calibri" w:eastAsia="Calibri" w:hAnsi="Calibri" w:cs="Calibri"/>
                <w:noProof/>
                <w:sz w:val="18"/>
                <w:szCs w:val="18"/>
                <w:lang w:val="en-US"/>
              </w:rPr>
            </w:pPr>
            <w:r w:rsidRPr="00871081">
              <w:rPr>
                <w:rFonts w:ascii="Calibri" w:eastAsia="Calibri" w:hAnsi="Calibri" w:cs="Calibri"/>
                <w:noProof/>
                <w:sz w:val="18"/>
                <w:szCs w:val="18"/>
                <w:lang w:val="en-US"/>
              </w:rPr>
              <w:t>• Planned sample size: 279 for placebo and 186 for erenumab 140 mg with a treatment effect of -2.21 days and common SD of 6.1</w:t>
            </w:r>
          </w:p>
          <w:p w14:paraId="112082ED" w14:textId="77777777" w:rsidR="00665ECD" w:rsidRPr="00871081" w:rsidRDefault="00665ECD" w:rsidP="00665ECD">
            <w:pPr>
              <w:ind w:left="40"/>
              <w:contextualSpacing/>
              <w:rPr>
                <w:rFonts w:ascii="Calibri" w:eastAsia="Calibri" w:hAnsi="Calibri" w:cs="Calibri"/>
                <w:noProof/>
                <w:sz w:val="18"/>
                <w:szCs w:val="18"/>
                <w:lang w:val="en-US"/>
              </w:rPr>
            </w:pPr>
          </w:p>
          <w:p w14:paraId="4C8DBBDD" w14:textId="3C49FD10" w:rsidR="00665ECD" w:rsidRPr="006B2281" w:rsidRDefault="00665ECD" w:rsidP="00665ECD">
            <w:pPr>
              <w:tabs>
                <w:tab w:val="left" w:pos="182"/>
              </w:tabs>
              <w:contextualSpacing/>
              <w:rPr>
                <w:rFonts w:ascii="Calibri" w:eastAsia="Calibri" w:hAnsi="Calibri" w:cs="Calibri"/>
                <w:noProof/>
                <w:sz w:val="18"/>
                <w:szCs w:val="18"/>
                <w:lang w:val="en-US"/>
              </w:rPr>
            </w:pPr>
            <w:r w:rsidRPr="00871081">
              <w:rPr>
                <w:rFonts w:ascii="Calibri" w:eastAsia="Calibri" w:hAnsi="Calibri" w:cs="Calibri"/>
                <w:noProof/>
                <w:sz w:val="18"/>
                <w:szCs w:val="18"/>
                <w:lang w:val="en-US"/>
              </w:rPr>
              <w:t xml:space="preserve">• </w:t>
            </w:r>
            <w:r>
              <w:rPr>
                <w:rFonts w:ascii="Calibri" w:eastAsia="Calibri" w:hAnsi="Calibri" w:cs="Calibri"/>
                <w:noProof/>
                <w:sz w:val="18"/>
                <w:szCs w:val="18"/>
                <w:lang w:val="en-US"/>
              </w:rPr>
              <w:t xml:space="preserve"> Provided </w:t>
            </w:r>
            <w:r w:rsidRPr="00871081">
              <w:rPr>
                <w:rFonts w:ascii="Calibri" w:eastAsia="Calibri" w:hAnsi="Calibri" w:cs="Calibri"/>
                <w:noProof/>
                <w:sz w:val="18"/>
                <w:szCs w:val="18"/>
                <w:lang w:val="en-US"/>
              </w:rPr>
              <w:t>85% power using a two-sample t-test with a two-sided significance level of 0.01.</w:t>
            </w:r>
          </w:p>
        </w:tc>
        <w:tc>
          <w:tcPr>
            <w:tcW w:w="856" w:type="pct"/>
          </w:tcPr>
          <w:p w14:paraId="2BFE72CD" w14:textId="05DEB9E2" w:rsidR="00665ECD" w:rsidRPr="006B2281" w:rsidRDefault="00665ECD" w:rsidP="00665ECD">
            <w:pPr>
              <w:numPr>
                <w:ilvl w:val="0"/>
                <w:numId w:val="14"/>
              </w:numPr>
              <w:ind w:left="458"/>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History of at least 5 attacks of migraine without aura and/or migraine with visual sensory, speech and/or language, retinal or brainstem aura.</w:t>
            </w:r>
          </w:p>
          <w:p w14:paraId="5B86EC47" w14:textId="77777777" w:rsidR="00665ECD" w:rsidRPr="006B2281" w:rsidRDefault="00665ECD" w:rsidP="00665ECD">
            <w:pPr>
              <w:numPr>
                <w:ilvl w:val="0"/>
                <w:numId w:val="14"/>
              </w:numPr>
              <w:ind w:left="458"/>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History of ≥ 15 headache days per month of which ≥ 8 headache days were assessed by the subject as migraine day.</w:t>
            </w:r>
          </w:p>
          <w:p w14:paraId="62233669" w14:textId="77777777" w:rsidR="00665ECD" w:rsidRPr="006B2281" w:rsidRDefault="00665ECD" w:rsidP="00665ECD">
            <w:pPr>
              <w:numPr>
                <w:ilvl w:val="0"/>
                <w:numId w:val="14"/>
              </w:numPr>
              <w:ind w:left="458"/>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4 distinct headache episodes, each lasting ≥ 4 hours OR if shorter, associated with use of a triptan or ergot-derivative on the same calendar day based on the eDiary calculations.</w:t>
            </w:r>
          </w:p>
          <w:p w14:paraId="7BEB3315" w14:textId="77777777" w:rsidR="00665ECD" w:rsidRPr="006B2281" w:rsidRDefault="00665ECD" w:rsidP="00665ECD">
            <w:pPr>
              <w:numPr>
                <w:ilvl w:val="0"/>
                <w:numId w:val="14"/>
              </w:numPr>
              <w:ind w:left="150" w:hanging="142"/>
              <w:contextualSpacing/>
              <w:rPr>
                <w:rFonts w:ascii="Calibri" w:eastAsia="Calibri" w:hAnsi="Calibri" w:cs="Calibri"/>
                <w:noProof/>
                <w:sz w:val="18"/>
                <w:szCs w:val="18"/>
                <w:lang w:val="en-US"/>
              </w:rPr>
            </w:pPr>
            <w:r w:rsidRPr="006B2281">
              <w:rPr>
                <w:rFonts w:ascii="Calibri" w:eastAsia="Calibri" w:hAnsi="Calibri" w:cs="Calibri"/>
                <w:noProof/>
                <w:sz w:val="18"/>
                <w:szCs w:val="18"/>
                <w:lang w:val="en-US"/>
              </w:rPr>
              <w:t xml:space="preserve">     Demonstrated at least 80% compliance with the eDiary.</w:t>
            </w:r>
          </w:p>
        </w:tc>
        <w:tc>
          <w:tcPr>
            <w:tcW w:w="1349" w:type="pct"/>
          </w:tcPr>
          <w:p w14:paraId="09139DC6" w14:textId="77777777" w:rsidR="00665ECD" w:rsidRPr="006B2281" w:rsidRDefault="00665ECD" w:rsidP="00665ECD">
            <w:pPr>
              <w:numPr>
                <w:ilvl w:val="0"/>
                <w:numId w:val="14"/>
              </w:numPr>
              <w:ind w:left="316" w:hanging="316"/>
              <w:contextualSpacing/>
              <w:rPr>
                <w:rFonts w:ascii="Calibri" w:eastAsia="Calibri" w:hAnsi="Calibri" w:cs="Calibri"/>
                <w:sz w:val="18"/>
                <w:szCs w:val="18"/>
                <w:lang w:val="en-US"/>
              </w:rPr>
            </w:pPr>
            <w:r w:rsidRPr="006B2281">
              <w:rPr>
                <w:rFonts w:ascii="Calibri" w:eastAsia="Calibri" w:hAnsi="Calibri" w:cs="Calibri"/>
                <w:sz w:val="18"/>
                <w:szCs w:val="18"/>
                <w:lang w:val="en-US"/>
              </w:rPr>
              <w:t>History of cluster headache or hemiplegic migraine headache</w:t>
            </w:r>
          </w:p>
          <w:p w14:paraId="50987332" w14:textId="77777777" w:rsidR="00665ECD" w:rsidRPr="006B2281" w:rsidRDefault="00665ECD" w:rsidP="00665ECD">
            <w:pPr>
              <w:numPr>
                <w:ilvl w:val="0"/>
                <w:numId w:val="14"/>
              </w:numPr>
              <w:ind w:left="316"/>
              <w:contextualSpacing/>
              <w:rPr>
                <w:rFonts w:ascii="Calibri" w:eastAsia="Calibri" w:hAnsi="Calibri" w:cs="Calibri"/>
                <w:sz w:val="18"/>
                <w:szCs w:val="18"/>
                <w:lang w:val="en-US"/>
              </w:rPr>
            </w:pPr>
            <w:r w:rsidRPr="006B2281">
              <w:rPr>
                <w:rFonts w:ascii="Calibri" w:eastAsia="Calibri" w:hAnsi="Calibri" w:cs="Calibri"/>
                <w:sz w:val="18"/>
                <w:szCs w:val="18"/>
                <w:lang w:val="en-US"/>
              </w:rPr>
              <w:t>Unable to differentiate migraine from other headaches</w:t>
            </w:r>
          </w:p>
          <w:p w14:paraId="03881CD6" w14:textId="77777777" w:rsidR="00665ECD" w:rsidRPr="006B2281" w:rsidRDefault="00665ECD" w:rsidP="00665ECD">
            <w:pPr>
              <w:numPr>
                <w:ilvl w:val="0"/>
                <w:numId w:val="14"/>
              </w:numPr>
              <w:ind w:left="316"/>
              <w:contextualSpacing/>
              <w:rPr>
                <w:rFonts w:ascii="Calibri" w:eastAsia="Calibri" w:hAnsi="Calibri" w:cs="Calibri"/>
                <w:sz w:val="18"/>
                <w:szCs w:val="18"/>
                <w:lang w:val="en-US"/>
              </w:rPr>
            </w:pPr>
            <w:r w:rsidRPr="006B2281">
              <w:rPr>
                <w:rFonts w:ascii="Calibri" w:eastAsia="Calibri" w:hAnsi="Calibri" w:cs="Calibri"/>
                <w:sz w:val="18"/>
                <w:szCs w:val="18"/>
                <w:lang w:val="en-US"/>
              </w:rPr>
              <w:t>Failed &gt; 3 medication categories due to lack of efficacy for prophylactic treatment of migraine.</w:t>
            </w:r>
          </w:p>
          <w:p w14:paraId="17C6DECA" w14:textId="77777777" w:rsidR="00665ECD" w:rsidRPr="006B2281" w:rsidRDefault="00665ECD" w:rsidP="00665ECD">
            <w:pPr>
              <w:numPr>
                <w:ilvl w:val="0"/>
                <w:numId w:val="14"/>
              </w:numPr>
              <w:ind w:left="316"/>
              <w:contextualSpacing/>
              <w:rPr>
                <w:rFonts w:ascii="Calibri" w:eastAsia="Calibri" w:hAnsi="Calibri" w:cs="Calibri"/>
                <w:sz w:val="18"/>
                <w:szCs w:val="18"/>
                <w:lang w:val="en-US"/>
              </w:rPr>
            </w:pPr>
            <w:r w:rsidRPr="006B2281">
              <w:rPr>
                <w:rFonts w:ascii="Calibri" w:eastAsia="Calibri" w:hAnsi="Calibri" w:cs="Calibri"/>
                <w:sz w:val="18"/>
                <w:szCs w:val="18"/>
                <w:lang w:val="en-US"/>
              </w:rPr>
              <w:t>Received botulinum toxin in head or neck region within 4 months prior to screening.</w:t>
            </w:r>
          </w:p>
          <w:p w14:paraId="435DA2D4" w14:textId="77777777" w:rsidR="00665ECD" w:rsidRPr="006B2281" w:rsidRDefault="00665ECD" w:rsidP="00665ECD">
            <w:pPr>
              <w:numPr>
                <w:ilvl w:val="0"/>
                <w:numId w:val="14"/>
              </w:numPr>
              <w:ind w:left="458"/>
              <w:contextualSpacing/>
              <w:rPr>
                <w:rFonts w:ascii="Calibri" w:eastAsia="Calibri" w:hAnsi="Calibri" w:cs="Calibri"/>
                <w:noProof/>
                <w:sz w:val="18"/>
                <w:szCs w:val="18"/>
                <w:lang w:val="en-US"/>
              </w:rPr>
            </w:pPr>
            <w:r w:rsidRPr="006B2281">
              <w:rPr>
                <w:rFonts w:ascii="Calibri" w:eastAsia="Calibri" w:hAnsi="Calibri" w:cs="Calibri"/>
                <w:sz w:val="18"/>
                <w:szCs w:val="18"/>
                <w:lang w:val="en-US"/>
              </w:rPr>
              <w:t xml:space="preserve">Used a prohibited migraine prophylactic medication, device or procedure within 2 months prior to the start of the baseline phase </w:t>
            </w:r>
          </w:p>
        </w:tc>
        <w:tc>
          <w:tcPr>
            <w:tcW w:w="774" w:type="pct"/>
          </w:tcPr>
          <w:p w14:paraId="7A3C88BC" w14:textId="667D9F5A" w:rsidR="00665ECD" w:rsidRPr="006B2281" w:rsidRDefault="00665ECD" w:rsidP="00665ECD">
            <w:pPr>
              <w:rPr>
                <w:rFonts w:ascii="Calibri" w:eastAsia="Calibri" w:hAnsi="Calibri" w:cs="Calibri"/>
                <w:sz w:val="18"/>
                <w:szCs w:val="18"/>
                <w:lang w:val="en-US"/>
              </w:rPr>
            </w:pPr>
            <w:r w:rsidRPr="006B2281">
              <w:rPr>
                <w:rFonts w:ascii="Calibri" w:eastAsia="Calibri" w:hAnsi="Calibri" w:cs="Calibri"/>
                <w:sz w:val="18"/>
                <w:szCs w:val="18"/>
                <w:lang w:val="en-US"/>
              </w:rPr>
              <w:t xml:space="preserve">In patients with chronic migraine, </w:t>
            </w:r>
            <w:r w:rsidR="004C22A2">
              <w:rPr>
                <w:rFonts w:ascii="Calibri" w:eastAsia="Calibri" w:hAnsi="Calibri" w:cs="Calibri"/>
                <w:sz w:val="18"/>
                <w:szCs w:val="18"/>
                <w:lang w:val="en-US"/>
              </w:rPr>
              <w:t>E</w:t>
            </w:r>
            <w:r w:rsidRPr="006B2281">
              <w:rPr>
                <w:rFonts w:ascii="Calibri" w:eastAsia="Calibri" w:hAnsi="Calibri" w:cs="Calibri"/>
                <w:sz w:val="18"/>
                <w:szCs w:val="18"/>
                <w:lang w:val="en-US"/>
              </w:rPr>
              <w:t xml:space="preserve">renumab 70 mg and 140 mg reduced the number of monthly migraine days with a safety profile similar to placebo, providing evidence that </w:t>
            </w:r>
            <w:r w:rsidR="004C22A2">
              <w:rPr>
                <w:rFonts w:ascii="Calibri" w:eastAsia="Calibri" w:hAnsi="Calibri" w:cs="Calibri"/>
                <w:sz w:val="18"/>
                <w:szCs w:val="18"/>
                <w:lang w:val="en-US"/>
              </w:rPr>
              <w:t>E</w:t>
            </w:r>
            <w:r w:rsidRPr="006B2281">
              <w:rPr>
                <w:rFonts w:ascii="Calibri" w:eastAsia="Calibri" w:hAnsi="Calibri" w:cs="Calibri"/>
                <w:sz w:val="18"/>
                <w:szCs w:val="18"/>
                <w:lang w:val="en-US"/>
              </w:rPr>
              <w:t xml:space="preserve">renumab could be a potential therapy for migraine prevention. Further research is needed to understand long-term efficacy and safety of </w:t>
            </w:r>
            <w:r w:rsidR="004C22A2">
              <w:rPr>
                <w:rFonts w:ascii="Calibri" w:eastAsia="Calibri" w:hAnsi="Calibri" w:cs="Calibri"/>
                <w:sz w:val="18"/>
                <w:szCs w:val="18"/>
                <w:lang w:val="en-US"/>
              </w:rPr>
              <w:t>E</w:t>
            </w:r>
            <w:r w:rsidRPr="006B2281">
              <w:rPr>
                <w:rFonts w:ascii="Calibri" w:eastAsia="Calibri" w:hAnsi="Calibri" w:cs="Calibri"/>
                <w:sz w:val="18"/>
                <w:szCs w:val="18"/>
                <w:lang w:val="en-US"/>
              </w:rPr>
              <w:t>renumab, and the applicability of this study to real-world settings.</w:t>
            </w:r>
          </w:p>
        </w:tc>
      </w:tr>
      <w:tr w:rsidR="006C426B" w:rsidRPr="006B2281" w14:paraId="775FD21A" w14:textId="77777777" w:rsidTr="00665ECD">
        <w:trPr>
          <w:cantSplit/>
          <w:trHeight w:val="1134"/>
        </w:trPr>
        <w:tc>
          <w:tcPr>
            <w:tcW w:w="417" w:type="pct"/>
          </w:tcPr>
          <w:p w14:paraId="3CB1F2B3" w14:textId="083413CC" w:rsidR="006C426B" w:rsidRPr="006C426B" w:rsidRDefault="006C426B" w:rsidP="006C426B">
            <w:pPr>
              <w:rPr>
                <w:rFonts w:ascii="Calibri" w:eastAsia="Calibri" w:hAnsi="Calibri" w:cs="Calibri"/>
                <w:b/>
                <w:bCs/>
                <w:sz w:val="18"/>
                <w:szCs w:val="18"/>
                <w:lang w:val="en-US"/>
              </w:rPr>
            </w:pPr>
            <w:r w:rsidRPr="006C426B">
              <w:rPr>
                <w:rFonts w:ascii="Calibri" w:eastAsia="Calibri" w:hAnsi="Calibri" w:cs="Calibri"/>
                <w:b/>
                <w:bCs/>
                <w:sz w:val="18"/>
                <w:szCs w:val="18"/>
                <w:lang w:val="en-US"/>
              </w:rPr>
              <w:lastRenderedPageBreak/>
              <w:t xml:space="preserve">Author, year: </w:t>
            </w:r>
          </w:p>
          <w:p w14:paraId="58717872" w14:textId="6E2C008C" w:rsidR="006C426B" w:rsidRPr="006C426B" w:rsidRDefault="006C426B" w:rsidP="006C426B">
            <w:pPr>
              <w:jc w:val="center"/>
              <w:rPr>
                <w:rFonts w:ascii="Calibri" w:eastAsia="Calibri" w:hAnsi="Calibri" w:cs="Calibri"/>
                <w:noProof/>
                <w:sz w:val="18"/>
                <w:szCs w:val="18"/>
                <w:lang w:val="en-US"/>
              </w:rPr>
            </w:pPr>
            <w:r w:rsidRPr="006C426B">
              <w:rPr>
                <w:rFonts w:ascii="Calibri" w:eastAsia="Calibri" w:hAnsi="Calibri" w:cs="Calibri"/>
                <w:noProof/>
                <w:sz w:val="18"/>
                <w:szCs w:val="18"/>
                <w:lang w:val="en-US"/>
              </w:rPr>
              <w:t xml:space="preserve">Yu 2022 </w:t>
            </w:r>
            <w:r w:rsidRPr="006C426B">
              <w:rPr>
                <w:rFonts w:ascii="Calibri" w:eastAsia="Calibri" w:hAnsi="Calibri" w:cs="Calibri"/>
                <w:noProof/>
                <w:sz w:val="18"/>
                <w:szCs w:val="18"/>
                <w:lang w:val="en-US"/>
              </w:rPr>
              <w:fldChar w:fldCharType="begin"/>
            </w:r>
            <w:r w:rsidR="008D698C">
              <w:rPr>
                <w:rFonts w:ascii="Calibri" w:eastAsia="Calibri" w:hAnsi="Calibri" w:cs="Calibri"/>
                <w:noProof/>
                <w:sz w:val="18"/>
                <w:szCs w:val="18"/>
                <w:lang w:val="en-US"/>
              </w:rPr>
              <w:instrText xml:space="preserve"> ADDIN EN.CITE &lt;EndNote&gt;&lt;Cite&gt;&lt;Author&gt;Yu&lt;/Author&gt;&lt;Year&gt;2022&lt;/Year&gt;&lt;RecNum&gt;556&lt;/RecNum&gt;&lt;DisplayText&gt;&lt;style face="superscript"&gt;54&lt;/style&gt;&lt;/DisplayText&gt;&lt;record&gt;&lt;rec-number&gt;556&lt;/rec-number&gt;&lt;foreign-keys&gt;&lt;key app="EN" db-id="fsz20seeavzsfie29wsx20a60watx2ffv2wz" timestamp="1691212880"&gt;556&lt;/key&gt;&lt;/foreign-keys&gt;&lt;ref-type name="Journal Article"&gt;17&lt;/ref-type&gt;&lt;contributors&gt;&lt;authors&gt;&lt;author&gt;Yu, Shengyuan&lt;/author&gt;&lt;author&gt;Kim, Byung-Kun&lt;/author&gt;&lt;author&gt;Wang, Hebo&lt;/author&gt;&lt;author&gt;Zhou, Jiying&lt;/author&gt;&lt;author&gt;Wan, Qi&lt;/author&gt;&lt;author&gt;Yu, Tingmin&lt;/author&gt;&lt;author&gt;Lian, Yajun&lt;/author&gt;&lt;author&gt;Arkuszewski, Michal&lt;/author&gt;&lt;author&gt;Ecochard, Laurent&lt;/author&gt;&lt;author&gt;Wen, Shihua&lt;/author&gt;&lt;/authors&gt;&lt;/contributors&gt;&lt;titles&gt;&lt;title&gt;A phase 3, randomised, placebo-controlled study of erenumab for the prevention of chronic migraine in patients from Asia: the DRAGON study&lt;/title&gt;&lt;secondary-title&gt;The Journal of Headache and Pain&lt;/secondary-title&gt;&lt;/titles&gt;&lt;periodical&gt;&lt;full-title&gt;The journal of headache and pain&lt;/full-title&gt;&lt;/periodical&gt;&lt;pages&gt;146&lt;/pages&gt;&lt;volume&gt;23&lt;/volume&gt;&lt;number&gt;1&lt;/number&gt;&lt;dates&gt;&lt;year&gt;2022&lt;/year&gt;&lt;/dates&gt;&lt;isbn&gt;1129-2369&lt;/isbn&gt;&lt;urls&gt;&lt;/urls&gt;&lt;/record&gt;&lt;/Cite&gt;&lt;/EndNote&gt;</w:instrText>
            </w:r>
            <w:r w:rsidRPr="006C426B">
              <w:rPr>
                <w:rFonts w:ascii="Calibri" w:eastAsia="Calibri" w:hAnsi="Calibri" w:cs="Calibri"/>
                <w:noProof/>
                <w:sz w:val="18"/>
                <w:szCs w:val="18"/>
                <w:lang w:val="en-US"/>
              </w:rPr>
              <w:fldChar w:fldCharType="separate"/>
            </w:r>
            <w:r w:rsidR="008D698C" w:rsidRPr="008D698C">
              <w:rPr>
                <w:rFonts w:ascii="Calibri" w:eastAsia="Calibri" w:hAnsi="Calibri" w:cs="Calibri"/>
                <w:noProof/>
                <w:sz w:val="18"/>
                <w:szCs w:val="18"/>
                <w:vertAlign w:val="superscript"/>
                <w:lang w:val="en-US"/>
              </w:rPr>
              <w:t>54</w:t>
            </w:r>
            <w:r w:rsidRPr="006C426B">
              <w:rPr>
                <w:rFonts w:ascii="Calibri" w:eastAsia="Calibri" w:hAnsi="Calibri" w:cs="Calibri"/>
                <w:noProof/>
                <w:sz w:val="18"/>
                <w:szCs w:val="18"/>
                <w:lang w:val="en-US"/>
              </w:rPr>
              <w:fldChar w:fldCharType="end"/>
            </w:r>
          </w:p>
          <w:p w14:paraId="11B8A46E" w14:textId="77777777" w:rsidR="006C426B" w:rsidRPr="006C426B" w:rsidRDefault="006C426B" w:rsidP="006C426B">
            <w:pPr>
              <w:rPr>
                <w:rFonts w:ascii="Calibri" w:eastAsia="Calibri" w:hAnsi="Calibri" w:cs="Calibri"/>
                <w:noProof/>
                <w:sz w:val="18"/>
                <w:szCs w:val="18"/>
                <w:lang w:val="en-US"/>
              </w:rPr>
            </w:pPr>
          </w:p>
          <w:p w14:paraId="7388DCE9" w14:textId="77777777" w:rsidR="006C426B" w:rsidRPr="006C426B" w:rsidRDefault="006C426B" w:rsidP="006C426B">
            <w:pPr>
              <w:rPr>
                <w:rFonts w:ascii="Calibri" w:eastAsia="Calibri" w:hAnsi="Calibri" w:cs="Calibri"/>
                <w:b/>
                <w:bCs/>
                <w:sz w:val="18"/>
                <w:szCs w:val="18"/>
                <w:lang w:val="en-US"/>
              </w:rPr>
            </w:pPr>
            <w:r w:rsidRPr="006C426B">
              <w:rPr>
                <w:rFonts w:ascii="Calibri" w:eastAsia="Calibri" w:hAnsi="Calibri" w:cs="Calibri"/>
                <w:b/>
                <w:bCs/>
                <w:sz w:val="18"/>
                <w:szCs w:val="18"/>
                <w:lang w:val="en-US"/>
              </w:rPr>
              <w:t>Country:</w:t>
            </w:r>
          </w:p>
          <w:p w14:paraId="6AE637B2" w14:textId="1AED1BBE" w:rsidR="006C426B" w:rsidRPr="006C426B" w:rsidRDefault="006C426B" w:rsidP="006C426B">
            <w:pPr>
              <w:rPr>
                <w:rFonts w:ascii="Calibri" w:eastAsia="Calibri" w:hAnsi="Calibri" w:cs="Calibri"/>
                <w:noProof/>
                <w:sz w:val="18"/>
                <w:szCs w:val="18"/>
                <w:lang w:val="en-US"/>
              </w:rPr>
            </w:pPr>
            <w:r w:rsidRPr="006C426B">
              <w:rPr>
                <w:rFonts w:ascii="Calibri" w:eastAsia="Calibri" w:hAnsi="Calibri" w:cs="Calibri"/>
                <w:noProof/>
                <w:sz w:val="18"/>
                <w:szCs w:val="18"/>
                <w:lang w:val="en-US"/>
              </w:rPr>
              <w:t>China, India, the Republic of Korea, Malaysia, the Philippines, Singapore, Taiwan, Thailand, and Vietnam</w:t>
            </w:r>
          </w:p>
          <w:p w14:paraId="00D17D8D" w14:textId="77777777" w:rsidR="006C426B" w:rsidRPr="006C426B" w:rsidRDefault="006C426B" w:rsidP="00665ECD">
            <w:pPr>
              <w:rPr>
                <w:rFonts w:ascii="Calibri" w:eastAsia="Calibri" w:hAnsi="Calibri" w:cs="Calibri"/>
                <w:noProof/>
                <w:sz w:val="18"/>
                <w:szCs w:val="18"/>
                <w:lang w:val="en-US"/>
              </w:rPr>
            </w:pPr>
          </w:p>
        </w:tc>
        <w:tc>
          <w:tcPr>
            <w:tcW w:w="748" w:type="pct"/>
          </w:tcPr>
          <w:p w14:paraId="18FEC070" w14:textId="77777777" w:rsidR="006C426B" w:rsidRPr="006B2281" w:rsidRDefault="006C426B" w:rsidP="006C426B">
            <w:pPr>
              <w:rPr>
                <w:rFonts w:ascii="Calibri" w:eastAsia="Calibri" w:hAnsi="Calibri" w:cs="Calibri"/>
                <w:b/>
                <w:bCs/>
                <w:sz w:val="18"/>
                <w:szCs w:val="18"/>
                <w:lang w:val="en-US"/>
              </w:rPr>
            </w:pPr>
            <w:r w:rsidRPr="006B2281">
              <w:rPr>
                <w:rFonts w:ascii="Calibri" w:eastAsia="Calibri" w:hAnsi="Calibri" w:cs="Calibri"/>
                <w:b/>
                <w:bCs/>
                <w:sz w:val="18"/>
                <w:szCs w:val="18"/>
                <w:lang w:val="en-US"/>
              </w:rPr>
              <w:t>Purpose:</w:t>
            </w:r>
          </w:p>
          <w:p w14:paraId="6045F9EC" w14:textId="500913B6" w:rsidR="006C426B" w:rsidRDefault="006C426B" w:rsidP="006C426B">
            <w:pPr>
              <w:rPr>
                <w:rFonts w:ascii="Calibri" w:eastAsia="Calibri" w:hAnsi="Calibri" w:cs="Calibri"/>
                <w:noProof/>
                <w:sz w:val="18"/>
                <w:szCs w:val="18"/>
                <w:lang w:val="en-US"/>
              </w:rPr>
            </w:pPr>
            <w:r w:rsidRPr="006C426B">
              <w:rPr>
                <w:rFonts w:ascii="Calibri" w:eastAsia="Calibri" w:hAnsi="Calibri" w:cs="Calibri"/>
                <w:noProof/>
                <w:sz w:val="18"/>
                <w:szCs w:val="18"/>
                <w:lang w:val="en-US"/>
              </w:rPr>
              <w:t>evaluated the efcacy and safety of erenumab in patients with chronic migraine (CM) from Asia</w:t>
            </w:r>
          </w:p>
          <w:p w14:paraId="35ED13AE" w14:textId="77777777" w:rsidR="006C426B" w:rsidRPr="006C426B" w:rsidRDefault="006C426B" w:rsidP="006C426B">
            <w:pPr>
              <w:rPr>
                <w:rFonts w:ascii="Calibri" w:eastAsia="Calibri" w:hAnsi="Calibri" w:cs="Calibri"/>
                <w:noProof/>
                <w:sz w:val="18"/>
                <w:szCs w:val="18"/>
                <w:lang w:val="en-US"/>
              </w:rPr>
            </w:pPr>
          </w:p>
          <w:p w14:paraId="7791B14A" w14:textId="77777777" w:rsidR="006C426B" w:rsidRPr="006B2281" w:rsidRDefault="006C426B" w:rsidP="006C426B">
            <w:pPr>
              <w:rPr>
                <w:rFonts w:ascii="Calibri" w:eastAsia="Calibri" w:hAnsi="Calibri" w:cs="Calibri"/>
                <w:noProof/>
                <w:sz w:val="18"/>
                <w:szCs w:val="18"/>
                <w:lang w:val="en-US"/>
              </w:rPr>
            </w:pPr>
            <w:r w:rsidRPr="006B2281">
              <w:rPr>
                <w:rFonts w:ascii="Calibri" w:eastAsia="Calibri" w:hAnsi="Calibri" w:cs="Calibri"/>
                <w:b/>
                <w:bCs/>
                <w:sz w:val="18"/>
                <w:szCs w:val="18"/>
                <w:lang w:val="en-US"/>
              </w:rPr>
              <w:t xml:space="preserve">Study design: </w:t>
            </w:r>
          </w:p>
          <w:p w14:paraId="079EA27B" w14:textId="5E48AD5A" w:rsidR="006C426B" w:rsidRDefault="006C426B" w:rsidP="006C426B">
            <w:pPr>
              <w:rPr>
                <w:rFonts w:ascii="Calibri" w:eastAsia="Calibri" w:hAnsi="Calibri" w:cs="Calibri"/>
                <w:noProof/>
                <w:sz w:val="18"/>
                <w:szCs w:val="18"/>
                <w:lang w:val="en-US"/>
              </w:rPr>
            </w:pPr>
            <w:r w:rsidRPr="006C426B">
              <w:rPr>
                <w:rFonts w:ascii="Calibri" w:eastAsia="Calibri" w:hAnsi="Calibri" w:cs="Calibri"/>
                <w:noProof/>
                <w:sz w:val="18"/>
                <w:szCs w:val="18"/>
                <w:lang w:val="en-US"/>
              </w:rPr>
              <w:t>phase 3, 12-week, randomised, double-blind, placebo-controlled</w:t>
            </w:r>
          </w:p>
          <w:p w14:paraId="46251BD4" w14:textId="77777777" w:rsidR="006C426B" w:rsidRPr="006C426B" w:rsidRDefault="006C426B" w:rsidP="006C426B">
            <w:pPr>
              <w:rPr>
                <w:rFonts w:ascii="Calibri" w:eastAsia="Calibri" w:hAnsi="Calibri" w:cs="Calibri"/>
                <w:noProof/>
                <w:sz w:val="18"/>
                <w:szCs w:val="18"/>
                <w:lang w:val="en-US"/>
              </w:rPr>
            </w:pPr>
          </w:p>
          <w:p w14:paraId="6BCC0F1D" w14:textId="77777777" w:rsidR="006C426B" w:rsidRPr="006B2281" w:rsidRDefault="006C426B" w:rsidP="006C426B">
            <w:pPr>
              <w:rPr>
                <w:rFonts w:ascii="Calibri" w:eastAsia="Calibri" w:hAnsi="Calibri" w:cs="Calibri"/>
                <w:b/>
                <w:bCs/>
                <w:sz w:val="18"/>
                <w:szCs w:val="18"/>
                <w:lang w:val="en-US"/>
              </w:rPr>
            </w:pPr>
            <w:r w:rsidRPr="006B2281">
              <w:rPr>
                <w:rFonts w:ascii="Calibri" w:eastAsia="Calibri" w:hAnsi="Calibri" w:cs="Calibri"/>
                <w:b/>
                <w:bCs/>
                <w:sz w:val="18"/>
                <w:szCs w:val="18"/>
                <w:lang w:val="en-US"/>
              </w:rPr>
              <w:t>Date:</w:t>
            </w:r>
          </w:p>
          <w:p w14:paraId="7FCA4B2F" w14:textId="469D973D" w:rsidR="006C426B" w:rsidRPr="006B2281" w:rsidRDefault="006C426B" w:rsidP="006C426B">
            <w:pPr>
              <w:rPr>
                <w:rFonts w:ascii="Calibri" w:eastAsia="Calibri" w:hAnsi="Calibri" w:cs="Calibri"/>
                <w:b/>
                <w:bCs/>
                <w:sz w:val="18"/>
                <w:szCs w:val="18"/>
                <w:lang w:val="en-US"/>
              </w:rPr>
            </w:pPr>
            <w:r w:rsidRPr="006C426B">
              <w:rPr>
                <w:rFonts w:ascii="Calibri" w:eastAsia="Calibri" w:hAnsi="Calibri" w:cs="Calibri"/>
                <w:noProof/>
                <w:sz w:val="18"/>
                <w:szCs w:val="18"/>
                <w:lang w:val="en-US"/>
              </w:rPr>
              <w:t>August 2019 and August 2021</w:t>
            </w:r>
          </w:p>
        </w:tc>
        <w:tc>
          <w:tcPr>
            <w:tcW w:w="856" w:type="pct"/>
          </w:tcPr>
          <w:p w14:paraId="5AEB8FF0" w14:textId="77777777" w:rsidR="00642471" w:rsidRDefault="00642471" w:rsidP="00642471">
            <w:pPr>
              <w:pStyle w:val="ListParagraph"/>
              <w:numPr>
                <w:ilvl w:val="0"/>
                <w:numId w:val="36"/>
              </w:numPr>
              <w:tabs>
                <w:tab w:val="left" w:pos="184"/>
              </w:tabs>
              <w:ind w:left="42" w:firstLine="0"/>
              <w:rPr>
                <w:rFonts w:cs="Calibri"/>
                <w:noProof/>
                <w:sz w:val="18"/>
                <w:szCs w:val="18"/>
                <w:lang w:val="en-US"/>
              </w:rPr>
            </w:pPr>
            <w:r w:rsidRPr="00642471">
              <w:rPr>
                <w:rFonts w:cs="Calibri"/>
                <w:noProof/>
                <w:sz w:val="18"/>
                <w:szCs w:val="18"/>
                <w:lang w:val="en-US"/>
              </w:rPr>
              <w:t xml:space="preserve">Planned sample size: 550 patients. </w:t>
            </w:r>
          </w:p>
          <w:p w14:paraId="7DB70F28" w14:textId="77777777" w:rsidR="00642471" w:rsidRDefault="00642471" w:rsidP="00642471">
            <w:pPr>
              <w:pStyle w:val="ListParagraph"/>
              <w:numPr>
                <w:ilvl w:val="0"/>
                <w:numId w:val="36"/>
              </w:numPr>
              <w:tabs>
                <w:tab w:val="left" w:pos="184"/>
              </w:tabs>
              <w:ind w:left="42" w:firstLine="0"/>
              <w:rPr>
                <w:rFonts w:cs="Calibri"/>
                <w:noProof/>
                <w:sz w:val="18"/>
                <w:szCs w:val="18"/>
                <w:lang w:val="en-US"/>
              </w:rPr>
            </w:pPr>
            <w:r>
              <w:rPr>
                <w:rFonts w:cs="Calibri"/>
                <w:noProof/>
                <w:sz w:val="18"/>
                <w:szCs w:val="18"/>
                <w:lang w:val="en-US"/>
              </w:rPr>
              <w:t>Key</w:t>
            </w:r>
            <w:r w:rsidRPr="00642471">
              <w:rPr>
                <w:rFonts w:cs="Calibri"/>
                <w:noProof/>
                <w:sz w:val="18"/>
                <w:szCs w:val="18"/>
                <w:lang w:val="en-US"/>
              </w:rPr>
              <w:t xml:space="preserve"> assumptions in calculating the sample size were based on prior results from the erenumab global pivotal CM study</w:t>
            </w:r>
            <w:r>
              <w:rPr>
                <w:rFonts w:cs="Calibri"/>
                <w:noProof/>
                <w:sz w:val="18"/>
                <w:szCs w:val="18"/>
                <w:lang w:val="en-US"/>
              </w:rPr>
              <w:t>.</w:t>
            </w:r>
          </w:p>
          <w:p w14:paraId="7425E0E3" w14:textId="77777777" w:rsidR="00642471" w:rsidRDefault="00642471" w:rsidP="00642471">
            <w:pPr>
              <w:pStyle w:val="ListParagraph"/>
              <w:numPr>
                <w:ilvl w:val="0"/>
                <w:numId w:val="36"/>
              </w:numPr>
              <w:tabs>
                <w:tab w:val="left" w:pos="184"/>
              </w:tabs>
              <w:ind w:left="42" w:firstLine="0"/>
              <w:rPr>
                <w:rFonts w:cs="Calibri"/>
                <w:noProof/>
                <w:sz w:val="18"/>
                <w:szCs w:val="18"/>
                <w:lang w:val="en-US"/>
              </w:rPr>
            </w:pPr>
            <w:r w:rsidRPr="00642471">
              <w:rPr>
                <w:rFonts w:cs="Calibri"/>
                <w:noProof/>
                <w:sz w:val="18"/>
                <w:szCs w:val="18"/>
                <w:lang w:val="en-US"/>
              </w:rPr>
              <w:t xml:space="preserve">A treatment diference in terms of change from baseline in MMD for erenumab 70  mg versus placebo was assumed at−2.0  days. </w:t>
            </w:r>
          </w:p>
          <w:p w14:paraId="528C515D" w14:textId="77777777" w:rsidR="00642471" w:rsidRDefault="00642471" w:rsidP="00642471">
            <w:pPr>
              <w:pStyle w:val="ListParagraph"/>
              <w:numPr>
                <w:ilvl w:val="0"/>
                <w:numId w:val="36"/>
              </w:numPr>
              <w:tabs>
                <w:tab w:val="left" w:pos="184"/>
              </w:tabs>
              <w:ind w:left="42" w:firstLine="0"/>
              <w:rPr>
                <w:rFonts w:cs="Calibri"/>
                <w:noProof/>
                <w:sz w:val="18"/>
                <w:szCs w:val="18"/>
                <w:lang w:val="en-US"/>
              </w:rPr>
            </w:pPr>
            <w:r w:rsidRPr="00642471">
              <w:rPr>
                <w:rFonts w:cs="Calibri"/>
                <w:noProof/>
                <w:sz w:val="18"/>
                <w:szCs w:val="18"/>
                <w:lang w:val="en-US"/>
              </w:rPr>
              <w:t>T</w:t>
            </w:r>
            <w:r>
              <w:rPr>
                <w:rFonts w:cs="Calibri"/>
                <w:noProof/>
                <w:sz w:val="18"/>
                <w:szCs w:val="18"/>
                <w:lang w:val="en-US"/>
              </w:rPr>
              <w:t>h</w:t>
            </w:r>
            <w:r w:rsidRPr="00642471">
              <w:rPr>
                <w:rFonts w:cs="Calibri"/>
                <w:noProof/>
                <w:sz w:val="18"/>
                <w:szCs w:val="18"/>
                <w:lang w:val="en-US"/>
              </w:rPr>
              <w:t xml:space="preserve">e common SD of the primary variable was estimated at 6.8. </w:t>
            </w:r>
          </w:p>
          <w:p w14:paraId="0EB3366D" w14:textId="44E50757" w:rsidR="006C426B" w:rsidRPr="00642471" w:rsidRDefault="00642471" w:rsidP="00642471">
            <w:pPr>
              <w:pStyle w:val="ListParagraph"/>
              <w:numPr>
                <w:ilvl w:val="0"/>
                <w:numId w:val="36"/>
              </w:numPr>
              <w:tabs>
                <w:tab w:val="left" w:pos="184"/>
              </w:tabs>
              <w:ind w:left="42" w:firstLine="0"/>
              <w:rPr>
                <w:rFonts w:cs="Calibri"/>
                <w:noProof/>
                <w:sz w:val="18"/>
                <w:szCs w:val="18"/>
                <w:lang w:val="en-US"/>
              </w:rPr>
            </w:pPr>
            <w:r w:rsidRPr="00642471">
              <w:rPr>
                <w:rFonts w:cs="Calibri"/>
                <w:noProof/>
                <w:sz w:val="18"/>
                <w:szCs w:val="18"/>
                <w:lang w:val="en-US"/>
              </w:rPr>
              <w:t>Given a 1:1 randomisation ratio between erenumab 70 mg and placebo, it was required to enroll a total of 550 patients (including a 10% drop out rate) to achieve approximately 90% power under a two-sided 0.05 alpha level</w:t>
            </w:r>
          </w:p>
        </w:tc>
        <w:tc>
          <w:tcPr>
            <w:tcW w:w="856" w:type="pct"/>
          </w:tcPr>
          <w:p w14:paraId="15D0F8FF" w14:textId="77777777" w:rsidR="00642471" w:rsidRDefault="00642471" w:rsidP="00642471">
            <w:pPr>
              <w:pStyle w:val="ListParagraph"/>
              <w:numPr>
                <w:ilvl w:val="0"/>
                <w:numId w:val="36"/>
              </w:numPr>
              <w:tabs>
                <w:tab w:val="left" w:pos="184"/>
              </w:tabs>
              <w:ind w:left="42" w:firstLine="0"/>
              <w:rPr>
                <w:rFonts w:cs="Calibri"/>
                <w:noProof/>
                <w:sz w:val="18"/>
                <w:szCs w:val="18"/>
                <w:lang w:val="en-US"/>
              </w:rPr>
            </w:pPr>
            <w:r>
              <w:rPr>
                <w:rFonts w:cs="Calibri"/>
                <w:noProof/>
                <w:sz w:val="18"/>
                <w:szCs w:val="18"/>
                <w:lang w:val="en-US"/>
              </w:rPr>
              <w:t>A</w:t>
            </w:r>
            <w:r w:rsidRPr="00642471">
              <w:rPr>
                <w:rFonts w:cs="Calibri"/>
                <w:noProof/>
                <w:sz w:val="18"/>
                <w:szCs w:val="18"/>
                <w:lang w:val="en-US"/>
              </w:rPr>
              <w:t>dults aged 18–65 years with a history of CM with or without aura for at least 12 months before screening as defned by the International Classifcation of Headache Disorders, 3rd edition (ICHD-3)</w:t>
            </w:r>
            <w:r>
              <w:rPr>
                <w:rFonts w:cs="Calibri"/>
                <w:noProof/>
                <w:sz w:val="18"/>
                <w:szCs w:val="18"/>
                <w:lang w:val="en-US"/>
              </w:rPr>
              <w:t>.</w:t>
            </w:r>
          </w:p>
          <w:p w14:paraId="79ECB628" w14:textId="3B9E81E4" w:rsidR="009D5E46" w:rsidRDefault="00642471" w:rsidP="00642471">
            <w:pPr>
              <w:pStyle w:val="ListParagraph"/>
              <w:numPr>
                <w:ilvl w:val="0"/>
                <w:numId w:val="36"/>
              </w:numPr>
              <w:tabs>
                <w:tab w:val="left" w:pos="184"/>
              </w:tabs>
              <w:ind w:left="42" w:firstLine="0"/>
              <w:rPr>
                <w:rFonts w:cs="Calibri"/>
                <w:noProof/>
                <w:sz w:val="18"/>
                <w:szCs w:val="18"/>
                <w:lang w:val="en-US"/>
              </w:rPr>
            </w:pPr>
            <w:r w:rsidRPr="00642471">
              <w:rPr>
                <w:rFonts w:cs="Calibri"/>
                <w:noProof/>
                <w:sz w:val="18"/>
                <w:szCs w:val="18"/>
                <w:lang w:val="en-US"/>
              </w:rPr>
              <w:t>Patients with a history of≥15 headache days/month, of which≥8 headache days met criteria as migraine days during the baseline period, and who had demonstrated at least 80% compliance with the eDiary during the baseline period</w:t>
            </w:r>
            <w:r w:rsidR="009D5E46">
              <w:rPr>
                <w:rFonts w:cs="Calibri"/>
                <w:noProof/>
                <w:sz w:val="18"/>
                <w:szCs w:val="18"/>
                <w:lang w:val="en-US"/>
              </w:rPr>
              <w:t>.</w:t>
            </w:r>
            <w:r w:rsidRPr="00642471">
              <w:rPr>
                <w:rFonts w:cs="Calibri"/>
                <w:noProof/>
                <w:sz w:val="18"/>
                <w:szCs w:val="18"/>
                <w:lang w:val="en-US"/>
              </w:rPr>
              <w:t xml:space="preserve"> </w:t>
            </w:r>
          </w:p>
          <w:p w14:paraId="0C3BA547" w14:textId="4AE9EC15" w:rsidR="006C426B" w:rsidRPr="006B2281" w:rsidRDefault="009D5E46" w:rsidP="00642471">
            <w:pPr>
              <w:pStyle w:val="ListParagraph"/>
              <w:numPr>
                <w:ilvl w:val="0"/>
                <w:numId w:val="36"/>
              </w:numPr>
              <w:tabs>
                <w:tab w:val="left" w:pos="184"/>
              </w:tabs>
              <w:ind w:left="42" w:firstLine="0"/>
              <w:rPr>
                <w:rFonts w:cs="Calibri"/>
                <w:noProof/>
                <w:sz w:val="18"/>
                <w:szCs w:val="18"/>
                <w:lang w:val="en-US"/>
              </w:rPr>
            </w:pPr>
            <w:r w:rsidRPr="009D5E46">
              <w:rPr>
                <w:rFonts w:cs="Calibri"/>
                <w:noProof/>
                <w:sz w:val="18"/>
                <w:szCs w:val="18"/>
                <w:lang w:val="en-US"/>
              </w:rPr>
              <w:t>Concomitant therapies with possible migraine prophylactic efects taken for indications other than migraine must have been administered at a stable dose within the 3 months prior to the start of the baseline period and throughout the study</w:t>
            </w:r>
            <w:r>
              <w:rPr>
                <w:rFonts w:cs="Calibri"/>
                <w:noProof/>
                <w:sz w:val="18"/>
                <w:szCs w:val="18"/>
                <w:lang w:val="en-US"/>
              </w:rPr>
              <w:t>.</w:t>
            </w:r>
          </w:p>
        </w:tc>
        <w:tc>
          <w:tcPr>
            <w:tcW w:w="1349" w:type="pct"/>
          </w:tcPr>
          <w:p w14:paraId="518020CA" w14:textId="77777777" w:rsidR="00642471" w:rsidRDefault="00642471" w:rsidP="00642471">
            <w:pPr>
              <w:pStyle w:val="ListParagraph"/>
              <w:numPr>
                <w:ilvl w:val="0"/>
                <w:numId w:val="36"/>
              </w:numPr>
              <w:tabs>
                <w:tab w:val="left" w:pos="184"/>
              </w:tabs>
              <w:ind w:left="42" w:firstLine="0"/>
              <w:rPr>
                <w:rFonts w:cs="Calibri"/>
                <w:noProof/>
                <w:sz w:val="18"/>
                <w:szCs w:val="18"/>
                <w:lang w:val="en-US"/>
              </w:rPr>
            </w:pPr>
            <w:r>
              <w:rPr>
                <w:rFonts w:cs="Calibri"/>
                <w:noProof/>
                <w:sz w:val="18"/>
                <w:szCs w:val="18"/>
                <w:lang w:val="en-US"/>
              </w:rPr>
              <w:t>Participants</w:t>
            </w:r>
            <w:r w:rsidRPr="00642471">
              <w:rPr>
                <w:rFonts w:cs="Calibri"/>
                <w:noProof/>
                <w:sz w:val="18"/>
                <w:szCs w:val="18"/>
                <w:lang w:val="en-US"/>
              </w:rPr>
              <w:t xml:space="preserve"> older than 50  years at migraine onset.</w:t>
            </w:r>
          </w:p>
          <w:p w14:paraId="0A8B55B9" w14:textId="77777777" w:rsidR="00642471" w:rsidRDefault="00642471" w:rsidP="00642471">
            <w:pPr>
              <w:pStyle w:val="ListParagraph"/>
              <w:numPr>
                <w:ilvl w:val="0"/>
                <w:numId w:val="36"/>
              </w:numPr>
              <w:tabs>
                <w:tab w:val="left" w:pos="184"/>
              </w:tabs>
              <w:ind w:left="42" w:firstLine="0"/>
              <w:rPr>
                <w:rFonts w:cs="Calibri"/>
                <w:noProof/>
                <w:sz w:val="18"/>
                <w:szCs w:val="18"/>
                <w:lang w:val="en-US"/>
              </w:rPr>
            </w:pPr>
            <w:r>
              <w:rPr>
                <w:rFonts w:cs="Calibri"/>
                <w:noProof/>
                <w:sz w:val="18"/>
                <w:szCs w:val="18"/>
                <w:lang w:val="en-US"/>
              </w:rPr>
              <w:t>H</w:t>
            </w:r>
            <w:r w:rsidRPr="00642471">
              <w:rPr>
                <w:rFonts w:cs="Calibri"/>
                <w:noProof/>
                <w:sz w:val="18"/>
                <w:szCs w:val="18"/>
                <w:lang w:val="en-US"/>
              </w:rPr>
              <w:t xml:space="preserve">istory of cluster or hemiplegic migraine headache; CM with continuous pain; unable to diferentiate migraine from other headaches; opioid and/or opioid-containing analgesic (for&gt;4 days per month) or butalbital-containing analgesic (for&gt;2 days per month) for any indication within one month before the start of or during the baseline period; </w:t>
            </w:r>
          </w:p>
          <w:p w14:paraId="0C383F64" w14:textId="77777777" w:rsidR="00642471" w:rsidRDefault="00642471" w:rsidP="00642471">
            <w:pPr>
              <w:pStyle w:val="ListParagraph"/>
              <w:numPr>
                <w:ilvl w:val="0"/>
                <w:numId w:val="36"/>
              </w:numPr>
              <w:tabs>
                <w:tab w:val="left" w:pos="184"/>
              </w:tabs>
              <w:ind w:left="42" w:firstLine="0"/>
              <w:rPr>
                <w:rFonts w:cs="Calibri"/>
                <w:noProof/>
                <w:sz w:val="18"/>
                <w:szCs w:val="18"/>
                <w:lang w:val="en-US"/>
              </w:rPr>
            </w:pPr>
            <w:r w:rsidRPr="00642471">
              <w:rPr>
                <w:rFonts w:cs="Calibri"/>
                <w:noProof/>
                <w:sz w:val="18"/>
                <w:szCs w:val="18"/>
                <w:lang w:val="en-US"/>
              </w:rPr>
              <w:t xml:space="preserve">prior migraine preventive treatment failure in&gt;3 medication categories (categories provided in Supplementary Table 2); </w:t>
            </w:r>
          </w:p>
          <w:p w14:paraId="7EF3DBAD" w14:textId="77777777" w:rsidR="00642471" w:rsidRDefault="00642471" w:rsidP="00642471">
            <w:pPr>
              <w:pStyle w:val="ListParagraph"/>
              <w:numPr>
                <w:ilvl w:val="0"/>
                <w:numId w:val="36"/>
              </w:numPr>
              <w:tabs>
                <w:tab w:val="left" w:pos="184"/>
              </w:tabs>
              <w:ind w:left="42" w:firstLine="0"/>
              <w:rPr>
                <w:rFonts w:cs="Calibri"/>
                <w:noProof/>
                <w:sz w:val="18"/>
                <w:szCs w:val="18"/>
                <w:lang w:val="en-US"/>
              </w:rPr>
            </w:pPr>
            <w:r w:rsidRPr="00642471">
              <w:rPr>
                <w:rFonts w:cs="Calibri"/>
                <w:noProof/>
                <w:sz w:val="18"/>
                <w:szCs w:val="18"/>
                <w:lang w:val="en-US"/>
              </w:rPr>
              <w:t>prior botulinum toxin A treatment in the head/ neck region within 4 months before the start of or during the baseline period, active chronic pain syndromes (such as fbromyalgia and chronic pelvic pain), or other medical conditions</w:t>
            </w:r>
            <w:r>
              <w:rPr>
                <w:rFonts w:cs="Calibri"/>
                <w:noProof/>
                <w:sz w:val="18"/>
                <w:szCs w:val="18"/>
                <w:lang w:val="en-US"/>
              </w:rPr>
              <w:t>.</w:t>
            </w:r>
          </w:p>
          <w:p w14:paraId="674058AD" w14:textId="6C3F8244" w:rsidR="006C426B" w:rsidRPr="006B2281" w:rsidRDefault="00642471" w:rsidP="00642471">
            <w:pPr>
              <w:pStyle w:val="ListParagraph"/>
              <w:numPr>
                <w:ilvl w:val="0"/>
                <w:numId w:val="36"/>
              </w:numPr>
              <w:tabs>
                <w:tab w:val="left" w:pos="184"/>
              </w:tabs>
              <w:ind w:left="42" w:firstLine="0"/>
              <w:rPr>
                <w:rFonts w:cs="Calibri"/>
                <w:noProof/>
                <w:sz w:val="18"/>
                <w:szCs w:val="18"/>
                <w:lang w:val="en-US"/>
              </w:rPr>
            </w:pPr>
            <w:r w:rsidRPr="00642471">
              <w:rPr>
                <w:rFonts w:cs="Calibri"/>
                <w:noProof/>
                <w:sz w:val="18"/>
                <w:szCs w:val="18"/>
                <w:lang w:val="en-US"/>
              </w:rPr>
              <w:t xml:space="preserve">Pregnant or nursing (lactating) women, and women of childbearing potential </w:t>
            </w:r>
          </w:p>
        </w:tc>
        <w:tc>
          <w:tcPr>
            <w:tcW w:w="774" w:type="pct"/>
          </w:tcPr>
          <w:p w14:paraId="2A96D46B" w14:textId="313C527C" w:rsidR="006C426B" w:rsidRPr="006B2281" w:rsidRDefault="009D5E46" w:rsidP="00665ECD">
            <w:pPr>
              <w:rPr>
                <w:rFonts w:ascii="Calibri" w:eastAsia="Calibri" w:hAnsi="Calibri" w:cs="Calibri"/>
                <w:noProof/>
                <w:sz w:val="18"/>
                <w:szCs w:val="18"/>
                <w:lang w:val="en-US"/>
              </w:rPr>
            </w:pPr>
            <w:r w:rsidRPr="009D5E46">
              <w:rPr>
                <w:rFonts w:ascii="Calibri" w:eastAsia="Calibri" w:hAnsi="Calibri" w:cs="Calibri"/>
                <w:noProof/>
                <w:sz w:val="18"/>
                <w:szCs w:val="18"/>
                <w:lang w:val="en-US"/>
              </w:rPr>
              <w:t>Treatment with erenumab 70  mg demonstrated greater reductions in MMD compared with placebo at all assessment time points, from the frst post-baseline assessment at Week 4 and sustained throughout the study</w:t>
            </w:r>
            <w:r>
              <w:rPr>
                <w:rFonts w:ascii="Calibri" w:eastAsia="Calibri" w:hAnsi="Calibri" w:cs="Calibri"/>
                <w:noProof/>
                <w:sz w:val="18"/>
                <w:szCs w:val="18"/>
                <w:lang w:val="en-US"/>
              </w:rPr>
              <w:t xml:space="preserve">. </w:t>
            </w:r>
            <w:r w:rsidRPr="009D5E46">
              <w:rPr>
                <w:rFonts w:ascii="Calibri" w:eastAsia="Calibri" w:hAnsi="Calibri" w:cs="Calibri"/>
                <w:noProof/>
                <w:sz w:val="18"/>
                <w:szCs w:val="18"/>
                <w:lang w:val="en-US"/>
              </w:rPr>
              <w:t>No new safety signals were observed during the DBTP compared with the previous trials.</w:t>
            </w:r>
          </w:p>
        </w:tc>
      </w:tr>
      <w:bookmarkEnd w:id="10"/>
    </w:tbl>
    <w:p w14:paraId="0A361DAB" w14:textId="77777777" w:rsidR="00763F11" w:rsidRDefault="00763F11"/>
    <w:p w14:paraId="7A93D6CC" w14:textId="77777777" w:rsidR="00D05FF5" w:rsidRDefault="00D05FF5"/>
    <w:p w14:paraId="52DB61AD" w14:textId="77777777" w:rsidR="003B01A2" w:rsidRDefault="003B01A2">
      <w:pPr>
        <w:sectPr w:rsidR="003B01A2" w:rsidSect="00B94C4E">
          <w:pgSz w:w="16840" w:h="11907" w:code="9"/>
          <w:pgMar w:top="1440" w:right="1440" w:bottom="1440" w:left="1440" w:header="709" w:footer="709" w:gutter="0"/>
          <w:cols w:space="708"/>
          <w:docGrid w:linePitch="360"/>
        </w:sectPr>
      </w:pPr>
    </w:p>
    <w:p w14:paraId="6E858E75" w14:textId="38EB3D4F" w:rsidR="00D05FF5" w:rsidRDefault="001C602C" w:rsidP="00D05FF5">
      <w:pPr>
        <w:pStyle w:val="Caption"/>
        <w:keepNext/>
        <w:jc w:val="both"/>
      </w:pPr>
      <w:bookmarkStart w:id="12" w:name="_Toc125986384"/>
      <w:bookmarkStart w:id="13" w:name="_Hlk126350817"/>
      <w:r w:rsidRPr="004C1709">
        <w:rPr>
          <w:bCs/>
        </w:rPr>
        <w:lastRenderedPageBreak/>
        <w:t xml:space="preserve">Additional file </w:t>
      </w:r>
      <w:r>
        <w:rPr>
          <w:b w:val="0"/>
          <w:bCs/>
        </w:rPr>
        <w:t>2</w:t>
      </w:r>
      <w:r w:rsidRPr="004C1709">
        <w:rPr>
          <w:bCs/>
        </w:rPr>
        <w:t>:</w:t>
      </w:r>
      <w:r>
        <w:rPr>
          <w:b w:val="0"/>
          <w:bCs/>
        </w:rPr>
        <w:t xml:space="preserve"> </w:t>
      </w:r>
      <w:r w:rsidR="00D05FF5">
        <w:t>Appendix 5</w:t>
      </w:r>
      <w:r>
        <w:t>.</w:t>
      </w:r>
      <w:r w:rsidR="00D05FF5">
        <w:t xml:space="preserve"> Network meta-analysis results</w:t>
      </w:r>
    </w:p>
    <w:p w14:paraId="21D7B32C" w14:textId="77777777" w:rsidR="003B01A2" w:rsidRDefault="003B01A2" w:rsidP="003B01A2">
      <w:pPr>
        <w:pStyle w:val="Caption"/>
        <w:keepNext/>
        <w:spacing w:after="0"/>
      </w:pPr>
      <w:r>
        <w:t xml:space="preserve">Table 1: </w:t>
      </w:r>
      <w:r w:rsidRPr="002C39C0">
        <w:t>Head</w:t>
      </w:r>
      <w:r>
        <w:t>-</w:t>
      </w:r>
      <w:r w:rsidRPr="002C39C0">
        <w:t>to</w:t>
      </w:r>
      <w:r>
        <w:t>-</w:t>
      </w:r>
      <w:r w:rsidRPr="002C39C0">
        <w:t>head comparisons of treatments for mean change in MHD from baseline (MDs, 95%</w:t>
      </w:r>
      <w:r>
        <w:t xml:space="preserve"> </w:t>
      </w:r>
      <w:r w:rsidRPr="002C39C0">
        <w:t>CrI)</w:t>
      </w:r>
    </w:p>
    <w:tbl>
      <w:tblPr>
        <w:tblW w:w="0" w:type="auto"/>
        <w:tblLook w:val="04A0" w:firstRow="1" w:lastRow="0" w:firstColumn="1" w:lastColumn="0" w:noHBand="0" w:noVBand="1"/>
      </w:tblPr>
      <w:tblGrid>
        <w:gridCol w:w="1086"/>
        <w:gridCol w:w="1022"/>
        <w:gridCol w:w="1111"/>
        <w:gridCol w:w="1105"/>
        <w:gridCol w:w="1156"/>
        <w:gridCol w:w="1011"/>
        <w:gridCol w:w="1156"/>
        <w:gridCol w:w="1046"/>
        <w:gridCol w:w="550"/>
      </w:tblGrid>
      <w:tr w:rsidR="003B01A2" w:rsidRPr="003B01A2" w14:paraId="2859964B" w14:textId="77777777" w:rsidTr="003B01A2">
        <w:trPr>
          <w:trHeight w:val="290"/>
        </w:trPr>
        <w:tc>
          <w:tcPr>
            <w:tcW w:w="0" w:type="auto"/>
            <w:tcBorders>
              <w:top w:val="single" w:sz="4" w:space="0" w:color="auto"/>
              <w:left w:val="single" w:sz="4" w:space="0" w:color="auto"/>
              <w:bottom w:val="nil"/>
              <w:right w:val="single" w:sz="4" w:space="0" w:color="auto"/>
            </w:tcBorders>
            <w:shd w:val="clear" w:color="000000" w:fill="F8CBAD"/>
            <w:noWrap/>
            <w:vAlign w:val="center"/>
            <w:hideMark/>
          </w:tcPr>
          <w:p w14:paraId="3F3A68E8"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Eptinezumab 300mg</w:t>
            </w:r>
          </w:p>
        </w:tc>
        <w:tc>
          <w:tcPr>
            <w:tcW w:w="0" w:type="auto"/>
            <w:tcBorders>
              <w:top w:val="nil"/>
              <w:left w:val="nil"/>
              <w:bottom w:val="nil"/>
              <w:right w:val="nil"/>
            </w:tcBorders>
            <w:shd w:val="clear" w:color="auto" w:fill="auto"/>
            <w:noWrap/>
            <w:vAlign w:val="bottom"/>
            <w:hideMark/>
          </w:tcPr>
          <w:p w14:paraId="3ED754F6"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p>
        </w:tc>
        <w:tc>
          <w:tcPr>
            <w:tcW w:w="0" w:type="auto"/>
            <w:tcBorders>
              <w:top w:val="nil"/>
              <w:left w:val="nil"/>
              <w:bottom w:val="nil"/>
              <w:right w:val="nil"/>
            </w:tcBorders>
            <w:shd w:val="clear" w:color="auto" w:fill="auto"/>
            <w:noWrap/>
            <w:vAlign w:val="bottom"/>
            <w:hideMark/>
          </w:tcPr>
          <w:p w14:paraId="65E3428C"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5A7CE540"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0473B3C7"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65C47F81"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3E5C6A21"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7A604DE6"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5B996F8F"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r>
      <w:tr w:rsidR="003B01A2" w:rsidRPr="003B01A2" w14:paraId="153B8945" w14:textId="77777777" w:rsidTr="003B01A2">
        <w:trPr>
          <w:trHeight w:val="29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790D1"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-0.36 (-1.47, 0.78)</w:t>
            </w:r>
          </w:p>
        </w:tc>
        <w:tc>
          <w:tcPr>
            <w:tcW w:w="0" w:type="auto"/>
            <w:tcBorders>
              <w:top w:val="single" w:sz="4" w:space="0" w:color="auto"/>
              <w:left w:val="nil"/>
              <w:bottom w:val="single" w:sz="4" w:space="0" w:color="auto"/>
              <w:right w:val="single" w:sz="4" w:space="0" w:color="auto"/>
            </w:tcBorders>
            <w:shd w:val="clear" w:color="000000" w:fill="F8CBAD"/>
            <w:noWrap/>
            <w:vAlign w:val="center"/>
            <w:hideMark/>
          </w:tcPr>
          <w:p w14:paraId="41AB6609"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 xml:space="preserve"> Fremanezumab-M</w:t>
            </w:r>
          </w:p>
        </w:tc>
        <w:tc>
          <w:tcPr>
            <w:tcW w:w="0" w:type="auto"/>
            <w:tcBorders>
              <w:top w:val="nil"/>
              <w:left w:val="nil"/>
              <w:bottom w:val="single" w:sz="4" w:space="0" w:color="auto"/>
              <w:right w:val="nil"/>
            </w:tcBorders>
            <w:shd w:val="clear" w:color="auto" w:fill="auto"/>
            <w:noWrap/>
            <w:vAlign w:val="bottom"/>
            <w:hideMark/>
          </w:tcPr>
          <w:p w14:paraId="67764561"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 </w:t>
            </w:r>
          </w:p>
        </w:tc>
        <w:tc>
          <w:tcPr>
            <w:tcW w:w="0" w:type="auto"/>
            <w:tcBorders>
              <w:top w:val="nil"/>
              <w:left w:val="nil"/>
              <w:bottom w:val="nil"/>
              <w:right w:val="nil"/>
            </w:tcBorders>
            <w:shd w:val="clear" w:color="auto" w:fill="auto"/>
            <w:noWrap/>
            <w:vAlign w:val="bottom"/>
            <w:hideMark/>
          </w:tcPr>
          <w:p w14:paraId="3F507979"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p>
        </w:tc>
        <w:tc>
          <w:tcPr>
            <w:tcW w:w="0" w:type="auto"/>
            <w:tcBorders>
              <w:top w:val="nil"/>
              <w:left w:val="nil"/>
              <w:bottom w:val="nil"/>
              <w:right w:val="nil"/>
            </w:tcBorders>
            <w:shd w:val="clear" w:color="auto" w:fill="auto"/>
            <w:noWrap/>
            <w:vAlign w:val="bottom"/>
            <w:hideMark/>
          </w:tcPr>
          <w:p w14:paraId="0D50EBA1"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746C3CB4"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7761AE96"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7973B197"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6670ECDB"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r>
      <w:tr w:rsidR="003B01A2" w:rsidRPr="003B01A2" w14:paraId="42C5EF5B" w14:textId="77777777" w:rsidTr="003B01A2">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0DCB46"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-0.62 (-1.38, 0.16)</w:t>
            </w:r>
          </w:p>
        </w:tc>
        <w:tc>
          <w:tcPr>
            <w:tcW w:w="0" w:type="auto"/>
            <w:tcBorders>
              <w:top w:val="nil"/>
              <w:left w:val="nil"/>
              <w:bottom w:val="single" w:sz="4" w:space="0" w:color="auto"/>
              <w:right w:val="single" w:sz="4" w:space="0" w:color="auto"/>
            </w:tcBorders>
            <w:shd w:val="clear" w:color="auto" w:fill="auto"/>
            <w:noWrap/>
            <w:vAlign w:val="bottom"/>
            <w:hideMark/>
          </w:tcPr>
          <w:p w14:paraId="343C008A"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0.27 (-0.89, 1.37)</w:t>
            </w:r>
          </w:p>
        </w:tc>
        <w:tc>
          <w:tcPr>
            <w:tcW w:w="0" w:type="auto"/>
            <w:tcBorders>
              <w:top w:val="nil"/>
              <w:left w:val="nil"/>
              <w:bottom w:val="single" w:sz="4" w:space="0" w:color="auto"/>
              <w:right w:val="single" w:sz="4" w:space="0" w:color="auto"/>
            </w:tcBorders>
            <w:shd w:val="clear" w:color="000000" w:fill="F8CBAD"/>
            <w:noWrap/>
            <w:vAlign w:val="center"/>
            <w:hideMark/>
          </w:tcPr>
          <w:p w14:paraId="7CED8C3D"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 xml:space="preserve"> Eptinezumab 100mg</w:t>
            </w:r>
          </w:p>
        </w:tc>
        <w:tc>
          <w:tcPr>
            <w:tcW w:w="0" w:type="auto"/>
            <w:tcBorders>
              <w:top w:val="nil"/>
              <w:left w:val="nil"/>
              <w:bottom w:val="single" w:sz="4" w:space="0" w:color="auto"/>
              <w:right w:val="nil"/>
            </w:tcBorders>
            <w:shd w:val="clear" w:color="auto" w:fill="auto"/>
            <w:noWrap/>
            <w:vAlign w:val="bottom"/>
            <w:hideMark/>
          </w:tcPr>
          <w:p w14:paraId="402A05C2"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 </w:t>
            </w:r>
          </w:p>
        </w:tc>
        <w:tc>
          <w:tcPr>
            <w:tcW w:w="0" w:type="auto"/>
            <w:tcBorders>
              <w:top w:val="nil"/>
              <w:left w:val="nil"/>
              <w:bottom w:val="nil"/>
              <w:right w:val="nil"/>
            </w:tcBorders>
            <w:shd w:val="clear" w:color="auto" w:fill="auto"/>
            <w:noWrap/>
            <w:vAlign w:val="bottom"/>
            <w:hideMark/>
          </w:tcPr>
          <w:p w14:paraId="272BB839"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p>
        </w:tc>
        <w:tc>
          <w:tcPr>
            <w:tcW w:w="0" w:type="auto"/>
            <w:tcBorders>
              <w:top w:val="nil"/>
              <w:left w:val="nil"/>
              <w:bottom w:val="nil"/>
              <w:right w:val="nil"/>
            </w:tcBorders>
            <w:shd w:val="clear" w:color="auto" w:fill="auto"/>
            <w:noWrap/>
            <w:vAlign w:val="bottom"/>
            <w:hideMark/>
          </w:tcPr>
          <w:p w14:paraId="534726E4"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6BABDDE7"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3B6CE865"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5C1C3FBC"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r>
      <w:tr w:rsidR="003B01A2" w:rsidRPr="003B01A2" w14:paraId="4389FEB4" w14:textId="77777777" w:rsidTr="003B01A2">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7C4AA7"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0.61 (-0.48, 1.65)</w:t>
            </w:r>
          </w:p>
        </w:tc>
        <w:tc>
          <w:tcPr>
            <w:tcW w:w="0" w:type="auto"/>
            <w:tcBorders>
              <w:top w:val="nil"/>
              <w:left w:val="nil"/>
              <w:bottom w:val="single" w:sz="4" w:space="0" w:color="auto"/>
              <w:right w:val="single" w:sz="4" w:space="0" w:color="auto"/>
            </w:tcBorders>
            <w:shd w:val="clear" w:color="auto" w:fill="auto"/>
            <w:noWrap/>
            <w:vAlign w:val="bottom"/>
            <w:hideMark/>
          </w:tcPr>
          <w:p w14:paraId="4148C548"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0.25 (-0.82, 1.35)</w:t>
            </w:r>
          </w:p>
        </w:tc>
        <w:tc>
          <w:tcPr>
            <w:tcW w:w="0" w:type="auto"/>
            <w:tcBorders>
              <w:top w:val="nil"/>
              <w:left w:val="nil"/>
              <w:bottom w:val="single" w:sz="4" w:space="0" w:color="auto"/>
              <w:right w:val="single" w:sz="4" w:space="0" w:color="auto"/>
            </w:tcBorders>
            <w:shd w:val="clear" w:color="auto" w:fill="auto"/>
            <w:noWrap/>
            <w:vAlign w:val="bottom"/>
            <w:hideMark/>
          </w:tcPr>
          <w:p w14:paraId="1FC5221E"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-0.01 (-1.06, 1.02)</w:t>
            </w:r>
          </w:p>
        </w:tc>
        <w:tc>
          <w:tcPr>
            <w:tcW w:w="0" w:type="auto"/>
            <w:tcBorders>
              <w:top w:val="nil"/>
              <w:left w:val="nil"/>
              <w:bottom w:val="single" w:sz="4" w:space="0" w:color="auto"/>
              <w:right w:val="single" w:sz="4" w:space="0" w:color="auto"/>
            </w:tcBorders>
            <w:shd w:val="clear" w:color="000000" w:fill="F8CBAD"/>
            <w:noWrap/>
            <w:vAlign w:val="center"/>
            <w:hideMark/>
          </w:tcPr>
          <w:p w14:paraId="68BA8CE6"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OnabotulinumtoxinA</w:t>
            </w:r>
          </w:p>
        </w:tc>
        <w:tc>
          <w:tcPr>
            <w:tcW w:w="0" w:type="auto"/>
            <w:tcBorders>
              <w:top w:val="nil"/>
              <w:left w:val="nil"/>
              <w:bottom w:val="single" w:sz="4" w:space="0" w:color="auto"/>
              <w:right w:val="nil"/>
            </w:tcBorders>
            <w:shd w:val="clear" w:color="auto" w:fill="auto"/>
            <w:noWrap/>
            <w:vAlign w:val="bottom"/>
            <w:hideMark/>
          </w:tcPr>
          <w:p w14:paraId="57BC2FA4"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 </w:t>
            </w:r>
          </w:p>
        </w:tc>
        <w:tc>
          <w:tcPr>
            <w:tcW w:w="0" w:type="auto"/>
            <w:tcBorders>
              <w:top w:val="nil"/>
              <w:left w:val="nil"/>
              <w:bottom w:val="nil"/>
              <w:right w:val="nil"/>
            </w:tcBorders>
            <w:shd w:val="clear" w:color="auto" w:fill="auto"/>
            <w:noWrap/>
            <w:vAlign w:val="bottom"/>
            <w:hideMark/>
          </w:tcPr>
          <w:p w14:paraId="697C897B"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p>
        </w:tc>
        <w:tc>
          <w:tcPr>
            <w:tcW w:w="0" w:type="auto"/>
            <w:tcBorders>
              <w:top w:val="nil"/>
              <w:left w:val="nil"/>
              <w:bottom w:val="nil"/>
              <w:right w:val="nil"/>
            </w:tcBorders>
            <w:shd w:val="clear" w:color="auto" w:fill="auto"/>
            <w:noWrap/>
            <w:vAlign w:val="bottom"/>
            <w:hideMark/>
          </w:tcPr>
          <w:p w14:paraId="69B32AE4"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19816CA9"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15323E3A"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r>
      <w:tr w:rsidR="003B01A2" w:rsidRPr="003B01A2" w14:paraId="088CC049" w14:textId="77777777" w:rsidTr="003B01A2">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FD0BBF"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-0.66 (-1.97, 0.67)</w:t>
            </w:r>
          </w:p>
        </w:tc>
        <w:tc>
          <w:tcPr>
            <w:tcW w:w="0" w:type="auto"/>
            <w:tcBorders>
              <w:top w:val="nil"/>
              <w:left w:val="nil"/>
              <w:bottom w:val="single" w:sz="4" w:space="0" w:color="auto"/>
              <w:right w:val="single" w:sz="4" w:space="0" w:color="auto"/>
            </w:tcBorders>
            <w:shd w:val="clear" w:color="auto" w:fill="auto"/>
            <w:noWrap/>
            <w:vAlign w:val="bottom"/>
            <w:hideMark/>
          </w:tcPr>
          <w:p w14:paraId="49B85562"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0.30 (-1.02, 1.72)</w:t>
            </w:r>
          </w:p>
        </w:tc>
        <w:tc>
          <w:tcPr>
            <w:tcW w:w="0" w:type="auto"/>
            <w:tcBorders>
              <w:top w:val="nil"/>
              <w:left w:val="nil"/>
              <w:bottom w:val="single" w:sz="4" w:space="0" w:color="auto"/>
              <w:right w:val="single" w:sz="4" w:space="0" w:color="auto"/>
            </w:tcBorders>
            <w:shd w:val="clear" w:color="auto" w:fill="auto"/>
            <w:noWrap/>
            <w:vAlign w:val="bottom"/>
            <w:hideMark/>
          </w:tcPr>
          <w:p w14:paraId="3FB076E1"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-0.04 (-1.31, 1.28)</w:t>
            </w:r>
          </w:p>
        </w:tc>
        <w:tc>
          <w:tcPr>
            <w:tcW w:w="0" w:type="auto"/>
            <w:tcBorders>
              <w:top w:val="nil"/>
              <w:left w:val="nil"/>
              <w:bottom w:val="single" w:sz="4" w:space="0" w:color="auto"/>
              <w:right w:val="single" w:sz="4" w:space="0" w:color="auto"/>
            </w:tcBorders>
            <w:shd w:val="clear" w:color="auto" w:fill="auto"/>
            <w:noWrap/>
            <w:vAlign w:val="bottom"/>
            <w:hideMark/>
          </w:tcPr>
          <w:p w14:paraId="6FCD6D40"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-0.05 (-1.41, 1.26)</w:t>
            </w:r>
          </w:p>
        </w:tc>
        <w:tc>
          <w:tcPr>
            <w:tcW w:w="0" w:type="auto"/>
            <w:tcBorders>
              <w:top w:val="nil"/>
              <w:left w:val="nil"/>
              <w:bottom w:val="single" w:sz="4" w:space="0" w:color="auto"/>
              <w:right w:val="single" w:sz="4" w:space="0" w:color="auto"/>
            </w:tcBorders>
            <w:shd w:val="clear" w:color="000000" w:fill="F8CBAD"/>
            <w:noWrap/>
            <w:vAlign w:val="center"/>
            <w:hideMark/>
          </w:tcPr>
          <w:p w14:paraId="36E53673"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Galcanezumab 120mg</w:t>
            </w:r>
          </w:p>
        </w:tc>
        <w:tc>
          <w:tcPr>
            <w:tcW w:w="0" w:type="auto"/>
            <w:tcBorders>
              <w:top w:val="nil"/>
              <w:left w:val="nil"/>
              <w:bottom w:val="single" w:sz="4" w:space="0" w:color="auto"/>
              <w:right w:val="nil"/>
            </w:tcBorders>
            <w:shd w:val="clear" w:color="auto" w:fill="auto"/>
            <w:noWrap/>
            <w:vAlign w:val="bottom"/>
            <w:hideMark/>
          </w:tcPr>
          <w:p w14:paraId="1266998B"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 </w:t>
            </w:r>
          </w:p>
        </w:tc>
        <w:tc>
          <w:tcPr>
            <w:tcW w:w="0" w:type="auto"/>
            <w:tcBorders>
              <w:top w:val="nil"/>
              <w:left w:val="nil"/>
              <w:bottom w:val="nil"/>
              <w:right w:val="nil"/>
            </w:tcBorders>
            <w:shd w:val="clear" w:color="auto" w:fill="auto"/>
            <w:noWrap/>
            <w:vAlign w:val="bottom"/>
            <w:hideMark/>
          </w:tcPr>
          <w:p w14:paraId="051D3314"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p>
        </w:tc>
        <w:tc>
          <w:tcPr>
            <w:tcW w:w="0" w:type="auto"/>
            <w:tcBorders>
              <w:top w:val="nil"/>
              <w:left w:val="nil"/>
              <w:bottom w:val="nil"/>
              <w:right w:val="nil"/>
            </w:tcBorders>
            <w:shd w:val="clear" w:color="auto" w:fill="auto"/>
            <w:noWrap/>
            <w:vAlign w:val="bottom"/>
            <w:hideMark/>
          </w:tcPr>
          <w:p w14:paraId="4C3D47FA"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c>
          <w:tcPr>
            <w:tcW w:w="0" w:type="auto"/>
            <w:tcBorders>
              <w:top w:val="nil"/>
              <w:left w:val="nil"/>
              <w:bottom w:val="nil"/>
              <w:right w:val="nil"/>
            </w:tcBorders>
            <w:shd w:val="clear" w:color="auto" w:fill="auto"/>
            <w:noWrap/>
            <w:vAlign w:val="bottom"/>
            <w:hideMark/>
          </w:tcPr>
          <w:p w14:paraId="65FF271F"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r>
      <w:tr w:rsidR="003B01A2" w:rsidRPr="003B01A2" w14:paraId="0B116392" w14:textId="77777777" w:rsidTr="003B01A2">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B952D7"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-0.65 (-1.77, 0.49)</w:t>
            </w:r>
          </w:p>
        </w:tc>
        <w:tc>
          <w:tcPr>
            <w:tcW w:w="0" w:type="auto"/>
            <w:tcBorders>
              <w:top w:val="nil"/>
              <w:left w:val="nil"/>
              <w:bottom w:val="single" w:sz="4" w:space="0" w:color="auto"/>
              <w:right w:val="single" w:sz="4" w:space="0" w:color="auto"/>
            </w:tcBorders>
            <w:shd w:val="clear" w:color="auto" w:fill="auto"/>
            <w:noWrap/>
            <w:vAlign w:val="bottom"/>
            <w:hideMark/>
          </w:tcPr>
          <w:p w14:paraId="52ABBCEC"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-0.30 (-1.11, 0.50)</w:t>
            </w:r>
          </w:p>
        </w:tc>
        <w:tc>
          <w:tcPr>
            <w:tcW w:w="0" w:type="auto"/>
            <w:tcBorders>
              <w:top w:val="nil"/>
              <w:left w:val="nil"/>
              <w:bottom w:val="single" w:sz="4" w:space="0" w:color="auto"/>
              <w:right w:val="single" w:sz="4" w:space="0" w:color="auto"/>
            </w:tcBorders>
            <w:shd w:val="clear" w:color="auto" w:fill="auto"/>
            <w:noWrap/>
            <w:vAlign w:val="bottom"/>
            <w:hideMark/>
          </w:tcPr>
          <w:p w14:paraId="217B9A21"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-0.03 (-1.15, 1.10)</w:t>
            </w:r>
          </w:p>
        </w:tc>
        <w:tc>
          <w:tcPr>
            <w:tcW w:w="0" w:type="auto"/>
            <w:tcBorders>
              <w:top w:val="nil"/>
              <w:left w:val="nil"/>
              <w:bottom w:val="single" w:sz="4" w:space="0" w:color="auto"/>
              <w:right w:val="single" w:sz="4" w:space="0" w:color="auto"/>
            </w:tcBorders>
            <w:shd w:val="clear" w:color="auto" w:fill="auto"/>
            <w:noWrap/>
            <w:vAlign w:val="bottom"/>
            <w:hideMark/>
          </w:tcPr>
          <w:p w14:paraId="1DD4A926"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-0.04 (-1.11, 1.06)</w:t>
            </w:r>
          </w:p>
        </w:tc>
        <w:tc>
          <w:tcPr>
            <w:tcW w:w="0" w:type="auto"/>
            <w:tcBorders>
              <w:top w:val="nil"/>
              <w:left w:val="nil"/>
              <w:bottom w:val="single" w:sz="4" w:space="0" w:color="auto"/>
              <w:right w:val="single" w:sz="4" w:space="0" w:color="auto"/>
            </w:tcBorders>
            <w:shd w:val="clear" w:color="auto" w:fill="auto"/>
            <w:noWrap/>
            <w:vAlign w:val="bottom"/>
            <w:hideMark/>
          </w:tcPr>
          <w:p w14:paraId="0269E363"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0.01 (-1.33, 1.42)</w:t>
            </w:r>
          </w:p>
        </w:tc>
        <w:tc>
          <w:tcPr>
            <w:tcW w:w="0" w:type="auto"/>
            <w:tcBorders>
              <w:top w:val="nil"/>
              <w:left w:val="nil"/>
              <w:bottom w:val="single" w:sz="4" w:space="0" w:color="auto"/>
              <w:right w:val="single" w:sz="4" w:space="0" w:color="auto"/>
            </w:tcBorders>
            <w:shd w:val="clear" w:color="000000" w:fill="F8CBAD"/>
            <w:noWrap/>
            <w:vAlign w:val="center"/>
            <w:hideMark/>
          </w:tcPr>
          <w:p w14:paraId="3344F281"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Fremanezumab-Q</w:t>
            </w:r>
          </w:p>
        </w:tc>
        <w:tc>
          <w:tcPr>
            <w:tcW w:w="0" w:type="auto"/>
            <w:tcBorders>
              <w:top w:val="nil"/>
              <w:left w:val="nil"/>
              <w:bottom w:val="single" w:sz="4" w:space="0" w:color="auto"/>
              <w:right w:val="nil"/>
            </w:tcBorders>
            <w:shd w:val="clear" w:color="auto" w:fill="auto"/>
            <w:noWrap/>
            <w:vAlign w:val="bottom"/>
            <w:hideMark/>
          </w:tcPr>
          <w:p w14:paraId="771818C7"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 </w:t>
            </w:r>
          </w:p>
        </w:tc>
        <w:tc>
          <w:tcPr>
            <w:tcW w:w="0" w:type="auto"/>
            <w:tcBorders>
              <w:top w:val="nil"/>
              <w:left w:val="nil"/>
              <w:bottom w:val="nil"/>
              <w:right w:val="nil"/>
            </w:tcBorders>
            <w:shd w:val="clear" w:color="auto" w:fill="auto"/>
            <w:noWrap/>
            <w:vAlign w:val="bottom"/>
            <w:hideMark/>
          </w:tcPr>
          <w:p w14:paraId="727B79EF"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p>
        </w:tc>
        <w:tc>
          <w:tcPr>
            <w:tcW w:w="0" w:type="auto"/>
            <w:tcBorders>
              <w:top w:val="nil"/>
              <w:left w:val="nil"/>
              <w:bottom w:val="nil"/>
              <w:right w:val="nil"/>
            </w:tcBorders>
            <w:shd w:val="clear" w:color="auto" w:fill="auto"/>
            <w:noWrap/>
            <w:vAlign w:val="bottom"/>
            <w:hideMark/>
          </w:tcPr>
          <w:p w14:paraId="0601B88B" w14:textId="77777777" w:rsidR="003B01A2" w:rsidRPr="003B01A2" w:rsidRDefault="003B01A2" w:rsidP="003B01A2">
            <w:pPr>
              <w:spacing w:after="0" w:line="240" w:lineRule="auto"/>
              <w:jc w:val="center"/>
              <w:rPr>
                <w:rFonts w:ascii="Times New Roman" w:eastAsia="Times New Roman" w:hAnsi="Times New Roman" w:cs="Times New Roman"/>
                <w:sz w:val="20"/>
                <w:szCs w:val="20"/>
                <w:lang w:eastAsia="en-GB"/>
              </w:rPr>
            </w:pPr>
          </w:p>
        </w:tc>
      </w:tr>
      <w:tr w:rsidR="003B01A2" w:rsidRPr="003B01A2" w14:paraId="3955B343" w14:textId="77777777" w:rsidTr="003B01A2">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259EEC"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-0.86 (-2.16, 0.46)</w:t>
            </w:r>
          </w:p>
        </w:tc>
        <w:tc>
          <w:tcPr>
            <w:tcW w:w="0" w:type="auto"/>
            <w:tcBorders>
              <w:top w:val="nil"/>
              <w:left w:val="nil"/>
              <w:bottom w:val="single" w:sz="4" w:space="0" w:color="auto"/>
              <w:right w:val="single" w:sz="4" w:space="0" w:color="auto"/>
            </w:tcBorders>
            <w:shd w:val="clear" w:color="auto" w:fill="auto"/>
            <w:noWrap/>
            <w:vAlign w:val="bottom"/>
            <w:hideMark/>
          </w:tcPr>
          <w:p w14:paraId="7F4E9720"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0.51 (-0.88, 1.85)</w:t>
            </w:r>
          </w:p>
        </w:tc>
        <w:tc>
          <w:tcPr>
            <w:tcW w:w="0" w:type="auto"/>
            <w:tcBorders>
              <w:top w:val="nil"/>
              <w:left w:val="nil"/>
              <w:bottom w:val="single" w:sz="4" w:space="0" w:color="auto"/>
              <w:right w:val="single" w:sz="4" w:space="0" w:color="auto"/>
            </w:tcBorders>
            <w:shd w:val="clear" w:color="auto" w:fill="auto"/>
            <w:noWrap/>
            <w:vAlign w:val="bottom"/>
            <w:hideMark/>
          </w:tcPr>
          <w:p w14:paraId="0508AD33"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-0.24 (-1.52, 1.06)</w:t>
            </w:r>
          </w:p>
        </w:tc>
        <w:tc>
          <w:tcPr>
            <w:tcW w:w="0" w:type="auto"/>
            <w:tcBorders>
              <w:top w:val="nil"/>
              <w:left w:val="nil"/>
              <w:bottom w:val="single" w:sz="4" w:space="0" w:color="auto"/>
              <w:right w:val="single" w:sz="4" w:space="0" w:color="auto"/>
            </w:tcBorders>
            <w:shd w:val="clear" w:color="auto" w:fill="auto"/>
            <w:noWrap/>
            <w:vAlign w:val="bottom"/>
            <w:hideMark/>
          </w:tcPr>
          <w:p w14:paraId="38E939B2"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-0.25 (-1.56, 1.06)</w:t>
            </w:r>
          </w:p>
        </w:tc>
        <w:tc>
          <w:tcPr>
            <w:tcW w:w="0" w:type="auto"/>
            <w:tcBorders>
              <w:top w:val="nil"/>
              <w:left w:val="nil"/>
              <w:bottom w:val="single" w:sz="4" w:space="0" w:color="auto"/>
              <w:right w:val="single" w:sz="4" w:space="0" w:color="auto"/>
            </w:tcBorders>
            <w:shd w:val="clear" w:color="auto" w:fill="auto"/>
            <w:noWrap/>
            <w:vAlign w:val="bottom"/>
            <w:hideMark/>
          </w:tcPr>
          <w:p w14:paraId="66573608"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0.21 (-0.87, 1.32)</w:t>
            </w:r>
          </w:p>
        </w:tc>
        <w:tc>
          <w:tcPr>
            <w:tcW w:w="0" w:type="auto"/>
            <w:tcBorders>
              <w:top w:val="nil"/>
              <w:left w:val="nil"/>
              <w:bottom w:val="single" w:sz="4" w:space="0" w:color="auto"/>
              <w:right w:val="single" w:sz="4" w:space="0" w:color="auto"/>
            </w:tcBorders>
            <w:shd w:val="clear" w:color="auto" w:fill="auto"/>
            <w:noWrap/>
            <w:vAlign w:val="bottom"/>
            <w:hideMark/>
          </w:tcPr>
          <w:p w14:paraId="3AC0BEFA"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0.21 (-1.18, 1.58)</w:t>
            </w:r>
          </w:p>
        </w:tc>
        <w:tc>
          <w:tcPr>
            <w:tcW w:w="0" w:type="auto"/>
            <w:tcBorders>
              <w:top w:val="nil"/>
              <w:left w:val="nil"/>
              <w:bottom w:val="single" w:sz="4" w:space="0" w:color="auto"/>
              <w:right w:val="single" w:sz="4" w:space="0" w:color="auto"/>
            </w:tcBorders>
            <w:shd w:val="clear" w:color="000000" w:fill="F8CBAD"/>
            <w:noWrap/>
            <w:vAlign w:val="center"/>
            <w:hideMark/>
          </w:tcPr>
          <w:p w14:paraId="0F6B5025"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Galcanezumab 240mg</w:t>
            </w:r>
          </w:p>
        </w:tc>
        <w:tc>
          <w:tcPr>
            <w:tcW w:w="0" w:type="auto"/>
            <w:tcBorders>
              <w:top w:val="nil"/>
              <w:left w:val="nil"/>
              <w:bottom w:val="single" w:sz="4" w:space="0" w:color="auto"/>
              <w:right w:val="nil"/>
            </w:tcBorders>
            <w:shd w:val="clear" w:color="auto" w:fill="auto"/>
            <w:noWrap/>
            <w:vAlign w:val="bottom"/>
            <w:hideMark/>
          </w:tcPr>
          <w:p w14:paraId="22EE4E52"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 </w:t>
            </w:r>
          </w:p>
        </w:tc>
        <w:tc>
          <w:tcPr>
            <w:tcW w:w="0" w:type="auto"/>
            <w:tcBorders>
              <w:top w:val="nil"/>
              <w:left w:val="nil"/>
              <w:bottom w:val="nil"/>
              <w:right w:val="nil"/>
            </w:tcBorders>
            <w:shd w:val="clear" w:color="auto" w:fill="auto"/>
            <w:noWrap/>
            <w:vAlign w:val="bottom"/>
            <w:hideMark/>
          </w:tcPr>
          <w:p w14:paraId="2B3F6014"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p>
        </w:tc>
      </w:tr>
      <w:tr w:rsidR="003B01A2" w:rsidRPr="003B01A2" w14:paraId="4154B5DE" w14:textId="77777777" w:rsidTr="003B01A2">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CADC92"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-1.36 (-2.84, 0.06)</w:t>
            </w:r>
          </w:p>
        </w:tc>
        <w:tc>
          <w:tcPr>
            <w:tcW w:w="0" w:type="auto"/>
            <w:tcBorders>
              <w:top w:val="nil"/>
              <w:left w:val="nil"/>
              <w:bottom w:val="single" w:sz="4" w:space="0" w:color="auto"/>
              <w:right w:val="single" w:sz="4" w:space="0" w:color="auto"/>
            </w:tcBorders>
            <w:shd w:val="clear" w:color="auto" w:fill="auto"/>
            <w:noWrap/>
            <w:vAlign w:val="bottom"/>
            <w:hideMark/>
          </w:tcPr>
          <w:p w14:paraId="2C7C8E9A"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1.01 (-0.53, 2.52)</w:t>
            </w:r>
          </w:p>
        </w:tc>
        <w:tc>
          <w:tcPr>
            <w:tcW w:w="0" w:type="auto"/>
            <w:tcBorders>
              <w:top w:val="nil"/>
              <w:left w:val="nil"/>
              <w:bottom w:val="single" w:sz="4" w:space="0" w:color="auto"/>
              <w:right w:val="single" w:sz="4" w:space="0" w:color="auto"/>
            </w:tcBorders>
            <w:shd w:val="clear" w:color="auto" w:fill="auto"/>
            <w:noWrap/>
            <w:vAlign w:val="bottom"/>
            <w:hideMark/>
          </w:tcPr>
          <w:p w14:paraId="41778150"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-0.74 (-2.20, 0.67)</w:t>
            </w:r>
          </w:p>
        </w:tc>
        <w:tc>
          <w:tcPr>
            <w:tcW w:w="0" w:type="auto"/>
            <w:tcBorders>
              <w:top w:val="nil"/>
              <w:left w:val="nil"/>
              <w:bottom w:val="single" w:sz="4" w:space="0" w:color="auto"/>
              <w:right w:val="single" w:sz="4" w:space="0" w:color="auto"/>
            </w:tcBorders>
            <w:shd w:val="clear" w:color="auto" w:fill="auto"/>
            <w:noWrap/>
            <w:vAlign w:val="bottom"/>
            <w:hideMark/>
          </w:tcPr>
          <w:p w14:paraId="20A8ABF6"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-0.75 (-2.18, 0.68)</w:t>
            </w:r>
          </w:p>
        </w:tc>
        <w:tc>
          <w:tcPr>
            <w:tcW w:w="0" w:type="auto"/>
            <w:tcBorders>
              <w:top w:val="nil"/>
              <w:left w:val="nil"/>
              <w:bottom w:val="single" w:sz="4" w:space="0" w:color="auto"/>
              <w:right w:val="single" w:sz="4" w:space="0" w:color="auto"/>
            </w:tcBorders>
            <w:shd w:val="clear" w:color="auto" w:fill="auto"/>
            <w:noWrap/>
            <w:vAlign w:val="bottom"/>
            <w:hideMark/>
          </w:tcPr>
          <w:p w14:paraId="01D9C44D"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0.71 (-0.93, 2.37)</w:t>
            </w:r>
          </w:p>
        </w:tc>
        <w:tc>
          <w:tcPr>
            <w:tcW w:w="0" w:type="auto"/>
            <w:tcBorders>
              <w:top w:val="nil"/>
              <w:left w:val="nil"/>
              <w:bottom w:val="single" w:sz="4" w:space="0" w:color="auto"/>
              <w:right w:val="single" w:sz="4" w:space="0" w:color="auto"/>
            </w:tcBorders>
            <w:shd w:val="clear" w:color="auto" w:fill="auto"/>
            <w:noWrap/>
            <w:vAlign w:val="bottom"/>
            <w:hideMark/>
          </w:tcPr>
          <w:p w14:paraId="1A4C7FD6"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0.71 (-0.76, 2.22)</w:t>
            </w:r>
          </w:p>
        </w:tc>
        <w:tc>
          <w:tcPr>
            <w:tcW w:w="0" w:type="auto"/>
            <w:tcBorders>
              <w:top w:val="nil"/>
              <w:left w:val="nil"/>
              <w:bottom w:val="single" w:sz="4" w:space="0" w:color="auto"/>
              <w:right w:val="single" w:sz="4" w:space="0" w:color="auto"/>
            </w:tcBorders>
            <w:shd w:val="clear" w:color="auto" w:fill="auto"/>
            <w:noWrap/>
            <w:vAlign w:val="bottom"/>
            <w:hideMark/>
          </w:tcPr>
          <w:p w14:paraId="03D101A0"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0.50 (-1.12, 2.18)</w:t>
            </w:r>
          </w:p>
        </w:tc>
        <w:tc>
          <w:tcPr>
            <w:tcW w:w="0" w:type="auto"/>
            <w:tcBorders>
              <w:top w:val="nil"/>
              <w:left w:val="nil"/>
              <w:bottom w:val="single" w:sz="4" w:space="0" w:color="auto"/>
              <w:right w:val="single" w:sz="4" w:space="0" w:color="auto"/>
            </w:tcBorders>
            <w:shd w:val="clear" w:color="000000" w:fill="F8CBAD"/>
            <w:noWrap/>
            <w:vAlign w:val="center"/>
            <w:hideMark/>
          </w:tcPr>
          <w:p w14:paraId="0438092E"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 xml:space="preserve"> Topiramate 100mg</w:t>
            </w:r>
          </w:p>
        </w:tc>
        <w:tc>
          <w:tcPr>
            <w:tcW w:w="0" w:type="auto"/>
            <w:tcBorders>
              <w:top w:val="nil"/>
              <w:left w:val="nil"/>
              <w:bottom w:val="nil"/>
              <w:right w:val="nil"/>
            </w:tcBorders>
            <w:shd w:val="clear" w:color="auto" w:fill="auto"/>
            <w:noWrap/>
            <w:vAlign w:val="bottom"/>
            <w:hideMark/>
          </w:tcPr>
          <w:p w14:paraId="74C4EA12"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p>
        </w:tc>
      </w:tr>
      <w:tr w:rsidR="003B01A2" w:rsidRPr="003B01A2" w14:paraId="3B5AB81C" w14:textId="77777777" w:rsidTr="003B01A2">
        <w:trPr>
          <w:trHeight w:val="2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D1CCE7" w14:textId="77777777" w:rsidR="003B01A2" w:rsidRPr="003B01A2" w:rsidRDefault="003B01A2" w:rsidP="003B01A2">
            <w:pPr>
              <w:spacing w:after="0" w:line="240" w:lineRule="auto"/>
              <w:jc w:val="center"/>
              <w:rPr>
                <w:rFonts w:ascii="Calibri" w:eastAsia="Times New Roman" w:hAnsi="Calibri" w:cs="Calibri"/>
                <w:b/>
                <w:bCs/>
                <w:color w:val="000000"/>
                <w:sz w:val="18"/>
                <w:szCs w:val="18"/>
                <w:lang w:eastAsia="en-GB"/>
              </w:rPr>
            </w:pPr>
            <w:r w:rsidRPr="003B01A2">
              <w:rPr>
                <w:rFonts w:ascii="Calibri" w:eastAsia="Times New Roman" w:hAnsi="Calibri" w:cs="Calibri"/>
                <w:b/>
                <w:bCs/>
                <w:color w:val="000000"/>
                <w:sz w:val="18"/>
                <w:szCs w:val="18"/>
                <w:lang w:eastAsia="en-GB"/>
              </w:rPr>
              <w:t>-2.46 (-3.23, -1.69)</w:t>
            </w:r>
          </w:p>
        </w:tc>
        <w:tc>
          <w:tcPr>
            <w:tcW w:w="0" w:type="auto"/>
            <w:tcBorders>
              <w:top w:val="nil"/>
              <w:left w:val="nil"/>
              <w:bottom w:val="single" w:sz="4" w:space="0" w:color="auto"/>
              <w:right w:val="single" w:sz="4" w:space="0" w:color="auto"/>
            </w:tcBorders>
            <w:shd w:val="clear" w:color="auto" w:fill="auto"/>
            <w:noWrap/>
            <w:vAlign w:val="center"/>
            <w:hideMark/>
          </w:tcPr>
          <w:p w14:paraId="30AEB028" w14:textId="77777777" w:rsidR="003B01A2" w:rsidRPr="003B01A2" w:rsidRDefault="003B01A2" w:rsidP="003B01A2">
            <w:pPr>
              <w:spacing w:after="0" w:line="240" w:lineRule="auto"/>
              <w:jc w:val="center"/>
              <w:rPr>
                <w:rFonts w:ascii="Calibri" w:eastAsia="Times New Roman" w:hAnsi="Calibri" w:cs="Calibri"/>
                <w:b/>
                <w:bCs/>
                <w:color w:val="000000"/>
                <w:sz w:val="18"/>
                <w:szCs w:val="18"/>
                <w:lang w:eastAsia="en-GB"/>
              </w:rPr>
            </w:pPr>
            <w:r w:rsidRPr="003B01A2">
              <w:rPr>
                <w:rFonts w:ascii="Calibri" w:eastAsia="Times New Roman" w:hAnsi="Calibri" w:cs="Calibri"/>
                <w:b/>
                <w:bCs/>
                <w:color w:val="000000"/>
                <w:sz w:val="18"/>
                <w:szCs w:val="18"/>
                <w:lang w:eastAsia="en-GB"/>
              </w:rPr>
              <w:t>-2.11 (-2.94, -1.29)</w:t>
            </w:r>
          </w:p>
        </w:tc>
        <w:tc>
          <w:tcPr>
            <w:tcW w:w="0" w:type="auto"/>
            <w:tcBorders>
              <w:top w:val="nil"/>
              <w:left w:val="nil"/>
              <w:bottom w:val="single" w:sz="4" w:space="0" w:color="auto"/>
              <w:right w:val="single" w:sz="4" w:space="0" w:color="auto"/>
            </w:tcBorders>
            <w:shd w:val="clear" w:color="auto" w:fill="auto"/>
            <w:noWrap/>
            <w:vAlign w:val="bottom"/>
            <w:hideMark/>
          </w:tcPr>
          <w:p w14:paraId="38A8BA22" w14:textId="77777777" w:rsidR="003B01A2" w:rsidRPr="003B01A2" w:rsidRDefault="003B01A2" w:rsidP="003B01A2">
            <w:pPr>
              <w:spacing w:after="0" w:line="240" w:lineRule="auto"/>
              <w:jc w:val="center"/>
              <w:rPr>
                <w:rFonts w:ascii="Calibri" w:eastAsia="Times New Roman" w:hAnsi="Calibri" w:cs="Calibri"/>
                <w:b/>
                <w:bCs/>
                <w:color w:val="000000"/>
                <w:sz w:val="18"/>
                <w:szCs w:val="18"/>
                <w:lang w:eastAsia="en-GB"/>
              </w:rPr>
            </w:pPr>
            <w:r w:rsidRPr="003B01A2">
              <w:rPr>
                <w:rFonts w:ascii="Calibri" w:eastAsia="Times New Roman" w:hAnsi="Calibri" w:cs="Calibri"/>
                <w:b/>
                <w:bCs/>
                <w:color w:val="000000"/>
                <w:sz w:val="18"/>
                <w:szCs w:val="18"/>
                <w:lang w:eastAsia="en-GB"/>
              </w:rPr>
              <w:t>-1.84 (-2.59, -1.08)</w:t>
            </w:r>
          </w:p>
        </w:tc>
        <w:tc>
          <w:tcPr>
            <w:tcW w:w="0" w:type="auto"/>
            <w:tcBorders>
              <w:top w:val="nil"/>
              <w:left w:val="nil"/>
              <w:bottom w:val="single" w:sz="4" w:space="0" w:color="auto"/>
              <w:right w:val="single" w:sz="4" w:space="0" w:color="auto"/>
            </w:tcBorders>
            <w:shd w:val="clear" w:color="auto" w:fill="auto"/>
            <w:noWrap/>
            <w:vAlign w:val="bottom"/>
            <w:hideMark/>
          </w:tcPr>
          <w:p w14:paraId="3BF98EC2" w14:textId="77777777" w:rsidR="003B01A2" w:rsidRPr="003B01A2" w:rsidRDefault="003B01A2" w:rsidP="003B01A2">
            <w:pPr>
              <w:spacing w:after="0" w:line="240" w:lineRule="auto"/>
              <w:jc w:val="center"/>
              <w:rPr>
                <w:rFonts w:ascii="Calibri" w:eastAsia="Times New Roman" w:hAnsi="Calibri" w:cs="Calibri"/>
                <w:b/>
                <w:bCs/>
                <w:color w:val="000000"/>
                <w:sz w:val="18"/>
                <w:szCs w:val="18"/>
                <w:lang w:eastAsia="en-GB"/>
              </w:rPr>
            </w:pPr>
            <w:r w:rsidRPr="003B01A2">
              <w:rPr>
                <w:rFonts w:ascii="Calibri" w:eastAsia="Times New Roman" w:hAnsi="Calibri" w:cs="Calibri"/>
                <w:b/>
                <w:bCs/>
                <w:color w:val="000000"/>
                <w:sz w:val="18"/>
                <w:szCs w:val="18"/>
                <w:lang w:eastAsia="en-GB"/>
              </w:rPr>
              <w:t>-1.85 (-2.59, -1.13)</w:t>
            </w:r>
          </w:p>
        </w:tc>
        <w:tc>
          <w:tcPr>
            <w:tcW w:w="0" w:type="auto"/>
            <w:tcBorders>
              <w:top w:val="nil"/>
              <w:left w:val="nil"/>
              <w:bottom w:val="single" w:sz="4" w:space="0" w:color="auto"/>
              <w:right w:val="single" w:sz="4" w:space="0" w:color="auto"/>
            </w:tcBorders>
            <w:shd w:val="clear" w:color="auto" w:fill="auto"/>
            <w:noWrap/>
            <w:vAlign w:val="bottom"/>
            <w:hideMark/>
          </w:tcPr>
          <w:p w14:paraId="6FE66B3C" w14:textId="77777777" w:rsidR="003B01A2" w:rsidRPr="003B01A2" w:rsidRDefault="003B01A2" w:rsidP="003B01A2">
            <w:pPr>
              <w:spacing w:after="0" w:line="240" w:lineRule="auto"/>
              <w:jc w:val="center"/>
              <w:rPr>
                <w:rFonts w:ascii="Calibri" w:eastAsia="Times New Roman" w:hAnsi="Calibri" w:cs="Calibri"/>
                <w:b/>
                <w:bCs/>
                <w:color w:val="000000"/>
                <w:sz w:val="18"/>
                <w:szCs w:val="18"/>
                <w:lang w:eastAsia="en-GB"/>
              </w:rPr>
            </w:pPr>
            <w:r w:rsidRPr="003B01A2">
              <w:rPr>
                <w:rFonts w:ascii="Calibri" w:eastAsia="Times New Roman" w:hAnsi="Calibri" w:cs="Calibri"/>
                <w:b/>
                <w:bCs/>
                <w:color w:val="000000"/>
                <w:sz w:val="18"/>
                <w:szCs w:val="18"/>
                <w:lang w:eastAsia="en-GB"/>
              </w:rPr>
              <w:t>-1.81 (-2.87, -0.66)</w:t>
            </w:r>
          </w:p>
        </w:tc>
        <w:tc>
          <w:tcPr>
            <w:tcW w:w="0" w:type="auto"/>
            <w:tcBorders>
              <w:top w:val="nil"/>
              <w:left w:val="nil"/>
              <w:bottom w:val="single" w:sz="4" w:space="0" w:color="auto"/>
              <w:right w:val="single" w:sz="4" w:space="0" w:color="auto"/>
            </w:tcBorders>
            <w:shd w:val="clear" w:color="auto" w:fill="auto"/>
            <w:noWrap/>
            <w:vAlign w:val="center"/>
            <w:hideMark/>
          </w:tcPr>
          <w:p w14:paraId="75ACD6ED" w14:textId="77777777" w:rsidR="003B01A2" w:rsidRPr="003B01A2" w:rsidRDefault="003B01A2" w:rsidP="003B01A2">
            <w:pPr>
              <w:spacing w:after="0" w:line="240" w:lineRule="auto"/>
              <w:jc w:val="center"/>
              <w:rPr>
                <w:rFonts w:ascii="Calibri" w:eastAsia="Times New Roman" w:hAnsi="Calibri" w:cs="Calibri"/>
                <w:b/>
                <w:bCs/>
                <w:color w:val="000000"/>
                <w:sz w:val="18"/>
                <w:szCs w:val="18"/>
                <w:lang w:eastAsia="en-GB"/>
              </w:rPr>
            </w:pPr>
            <w:r w:rsidRPr="003B01A2">
              <w:rPr>
                <w:rFonts w:ascii="Calibri" w:eastAsia="Times New Roman" w:hAnsi="Calibri" w:cs="Calibri"/>
                <w:b/>
                <w:bCs/>
                <w:color w:val="000000"/>
                <w:sz w:val="18"/>
                <w:szCs w:val="18"/>
                <w:lang w:eastAsia="en-GB"/>
              </w:rPr>
              <w:t>-1.81 (-2.63, -0.98)</w:t>
            </w:r>
          </w:p>
        </w:tc>
        <w:tc>
          <w:tcPr>
            <w:tcW w:w="0" w:type="auto"/>
            <w:tcBorders>
              <w:top w:val="nil"/>
              <w:left w:val="nil"/>
              <w:bottom w:val="single" w:sz="4" w:space="0" w:color="auto"/>
              <w:right w:val="single" w:sz="4" w:space="0" w:color="auto"/>
            </w:tcBorders>
            <w:shd w:val="clear" w:color="auto" w:fill="auto"/>
            <w:noWrap/>
            <w:vAlign w:val="bottom"/>
            <w:hideMark/>
          </w:tcPr>
          <w:p w14:paraId="02BE454D" w14:textId="77777777" w:rsidR="003B01A2" w:rsidRPr="003B01A2" w:rsidRDefault="003B01A2" w:rsidP="003B01A2">
            <w:pPr>
              <w:spacing w:after="0" w:line="240" w:lineRule="auto"/>
              <w:jc w:val="center"/>
              <w:rPr>
                <w:rFonts w:ascii="Calibri" w:eastAsia="Times New Roman" w:hAnsi="Calibri" w:cs="Calibri"/>
                <w:b/>
                <w:bCs/>
                <w:color w:val="000000"/>
                <w:sz w:val="18"/>
                <w:szCs w:val="18"/>
                <w:lang w:eastAsia="en-GB"/>
              </w:rPr>
            </w:pPr>
            <w:r w:rsidRPr="003B01A2">
              <w:rPr>
                <w:rFonts w:ascii="Calibri" w:eastAsia="Times New Roman" w:hAnsi="Calibri" w:cs="Calibri"/>
                <w:b/>
                <w:bCs/>
                <w:color w:val="000000"/>
                <w:sz w:val="18"/>
                <w:szCs w:val="18"/>
                <w:lang w:eastAsia="en-GB"/>
              </w:rPr>
              <w:t>-1.60 (-2.69, -0.50)</w:t>
            </w:r>
          </w:p>
        </w:tc>
        <w:tc>
          <w:tcPr>
            <w:tcW w:w="0" w:type="auto"/>
            <w:tcBorders>
              <w:top w:val="nil"/>
              <w:left w:val="nil"/>
              <w:bottom w:val="single" w:sz="4" w:space="0" w:color="auto"/>
              <w:right w:val="single" w:sz="4" w:space="0" w:color="auto"/>
            </w:tcBorders>
            <w:shd w:val="clear" w:color="auto" w:fill="auto"/>
            <w:noWrap/>
            <w:vAlign w:val="bottom"/>
            <w:hideMark/>
          </w:tcPr>
          <w:p w14:paraId="5875508C"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-1.10 (-2.33, 0.17)</w:t>
            </w:r>
          </w:p>
        </w:tc>
        <w:tc>
          <w:tcPr>
            <w:tcW w:w="0" w:type="auto"/>
            <w:tcBorders>
              <w:top w:val="single" w:sz="4" w:space="0" w:color="auto"/>
              <w:left w:val="nil"/>
              <w:bottom w:val="single" w:sz="4" w:space="0" w:color="auto"/>
              <w:right w:val="single" w:sz="4" w:space="0" w:color="auto"/>
            </w:tcBorders>
            <w:shd w:val="clear" w:color="000000" w:fill="F8CBAD"/>
            <w:noWrap/>
            <w:vAlign w:val="center"/>
            <w:hideMark/>
          </w:tcPr>
          <w:p w14:paraId="279FDFD5" w14:textId="77777777" w:rsidR="003B01A2" w:rsidRPr="003B01A2" w:rsidRDefault="003B01A2" w:rsidP="003B01A2">
            <w:pPr>
              <w:spacing w:after="0" w:line="240" w:lineRule="auto"/>
              <w:jc w:val="center"/>
              <w:rPr>
                <w:rFonts w:ascii="Calibri" w:eastAsia="Times New Roman" w:hAnsi="Calibri" w:cs="Calibri"/>
                <w:color w:val="000000"/>
                <w:sz w:val="18"/>
                <w:szCs w:val="18"/>
                <w:lang w:eastAsia="en-GB"/>
              </w:rPr>
            </w:pPr>
            <w:r w:rsidRPr="003B01A2">
              <w:rPr>
                <w:rFonts w:ascii="Calibri" w:eastAsia="Times New Roman" w:hAnsi="Calibri" w:cs="Calibri"/>
                <w:color w:val="000000"/>
                <w:sz w:val="18"/>
                <w:szCs w:val="18"/>
                <w:lang w:eastAsia="en-GB"/>
              </w:rPr>
              <w:t>Placebo</w:t>
            </w:r>
          </w:p>
        </w:tc>
      </w:tr>
    </w:tbl>
    <w:p w14:paraId="2380C0E5" w14:textId="77777777" w:rsidR="003B01A2" w:rsidRDefault="003B01A2" w:rsidP="003B01A2"/>
    <w:p w14:paraId="4F130C70" w14:textId="610AF715" w:rsidR="003B01A2" w:rsidRDefault="008B1EF1" w:rsidP="003B01A2">
      <w:r>
        <w:rPr>
          <w:noProof/>
          <w:lang w:val="en-US"/>
        </w:rPr>
        <w:drawing>
          <wp:inline distT="0" distB="0" distL="0" distR="0" wp14:anchorId="7CB5C567" wp14:editId="5ECABE5B">
            <wp:extent cx="5558828" cy="2905760"/>
            <wp:effectExtent l="0" t="0" r="3810" b="8890"/>
            <wp:docPr id="873595264" name="Picture 1"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95264" name="Picture 1" descr="A picture containing text, screenshot, font, number&#10;&#10;Description automatically generated"/>
                    <pic:cNvPicPr/>
                  </pic:nvPicPr>
                  <pic:blipFill>
                    <a:blip r:embed="rId12"/>
                    <a:stretch>
                      <a:fillRect/>
                    </a:stretch>
                  </pic:blipFill>
                  <pic:spPr>
                    <a:xfrm>
                      <a:off x="0" y="0"/>
                      <a:ext cx="5582899" cy="2918343"/>
                    </a:xfrm>
                    <a:prstGeom prst="rect">
                      <a:avLst/>
                    </a:prstGeom>
                  </pic:spPr>
                </pic:pic>
              </a:graphicData>
            </a:graphic>
          </wp:inline>
        </w:drawing>
      </w:r>
    </w:p>
    <w:p w14:paraId="272D78D6" w14:textId="0A055BA3" w:rsidR="008B1EF1" w:rsidRDefault="008B1EF1" w:rsidP="008B1EF1">
      <w:pPr>
        <w:pStyle w:val="Caption"/>
        <w:keepNext/>
        <w:spacing w:after="0"/>
      </w:pPr>
      <w:r w:rsidRPr="008B1EF1">
        <w:t xml:space="preserve">Figure 1: surface under the cumulative ranking curve (SUCRA) for </w:t>
      </w:r>
      <w:r w:rsidRPr="002C39C0">
        <w:t>mean change in MHD from baseline</w:t>
      </w:r>
    </w:p>
    <w:p w14:paraId="21064C97" w14:textId="16816C22" w:rsidR="003B01A2" w:rsidRPr="008B1EF1" w:rsidRDefault="003B01A2" w:rsidP="003B01A2">
      <w:pPr>
        <w:rPr>
          <w:rFonts w:ascii="Calibri" w:hAnsi="Calibri"/>
          <w:b/>
          <w:iCs/>
          <w:szCs w:val="18"/>
        </w:rPr>
      </w:pPr>
    </w:p>
    <w:p w14:paraId="76707F50" w14:textId="77777777" w:rsidR="003B01A2" w:rsidRDefault="003B01A2" w:rsidP="003B01A2"/>
    <w:p w14:paraId="0C535C3C" w14:textId="53709DA6" w:rsidR="008B1EF1" w:rsidRDefault="008B1EF1" w:rsidP="003B01A2">
      <w:r>
        <w:rPr>
          <w:noProof/>
          <w:lang w:val="en-US"/>
        </w:rPr>
        <w:lastRenderedPageBreak/>
        <w:drawing>
          <wp:inline distT="0" distB="0" distL="0" distR="0" wp14:anchorId="225CC1CC" wp14:editId="63D72D15">
            <wp:extent cx="5732145" cy="2127564"/>
            <wp:effectExtent l="0" t="0" r="1905" b="6350"/>
            <wp:docPr id="457962707" name="Picture 1" descr="A picture containing text, screenshot, fon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62707" name="Picture 1" descr="A picture containing text, screenshot, font, number&#10;&#10;Description automatically generated"/>
                    <pic:cNvPicPr/>
                  </pic:nvPicPr>
                  <pic:blipFill>
                    <a:blip r:embed="rId13"/>
                    <a:stretch>
                      <a:fillRect/>
                    </a:stretch>
                  </pic:blipFill>
                  <pic:spPr>
                    <a:xfrm>
                      <a:off x="0" y="0"/>
                      <a:ext cx="5735217" cy="2128704"/>
                    </a:xfrm>
                    <a:prstGeom prst="rect">
                      <a:avLst/>
                    </a:prstGeom>
                  </pic:spPr>
                </pic:pic>
              </a:graphicData>
            </a:graphic>
          </wp:inline>
        </w:drawing>
      </w:r>
    </w:p>
    <w:p w14:paraId="64DDF240" w14:textId="666B2AAD" w:rsidR="008B1EF1" w:rsidRDefault="008B1EF1" w:rsidP="008B1EF1">
      <w:pPr>
        <w:pStyle w:val="Caption"/>
        <w:keepNext/>
        <w:spacing w:after="0"/>
      </w:pPr>
      <w:r w:rsidRPr="008B1EF1">
        <w:t xml:space="preserve">Figure </w:t>
      </w:r>
      <w:r>
        <w:t>2</w:t>
      </w:r>
      <w:r w:rsidRPr="008B1EF1">
        <w:t>:</w:t>
      </w:r>
      <w:r>
        <w:t xml:space="preserve"> Forest plot</w:t>
      </w:r>
      <w:r w:rsidRPr="008B1EF1">
        <w:t xml:space="preserve"> for </w:t>
      </w:r>
      <w:r w:rsidRPr="002C39C0">
        <w:t>mean change in MHD from baseline</w:t>
      </w:r>
      <w:r>
        <w:t xml:space="preserve"> </w:t>
      </w:r>
      <w:r w:rsidRPr="002C39C0">
        <w:t>(MDs, 95%</w:t>
      </w:r>
      <w:r>
        <w:t xml:space="preserve"> </w:t>
      </w:r>
      <w:r w:rsidRPr="002C39C0">
        <w:t>CrI)</w:t>
      </w:r>
    </w:p>
    <w:p w14:paraId="6E5AEB23" w14:textId="77777777" w:rsidR="007D0ED0" w:rsidRPr="007D0ED0" w:rsidRDefault="007D0ED0" w:rsidP="007D0ED0"/>
    <w:p w14:paraId="63D73D37" w14:textId="3DACEBBA" w:rsidR="007D0ED0" w:rsidRPr="003B01A2" w:rsidRDefault="007D0ED0" w:rsidP="007D0ED0">
      <w:pPr>
        <w:pStyle w:val="Caption"/>
        <w:keepNext/>
      </w:pPr>
      <w:r>
        <w:t xml:space="preserve">Table 2: </w:t>
      </w:r>
      <w:r w:rsidRPr="00875C0E">
        <w:t>Comparing fit of NMA and UME models for MHD</w:t>
      </w:r>
    </w:p>
    <w:tbl>
      <w:tblPr>
        <w:tblW w:w="3606" w:type="pct"/>
        <w:tblLook w:val="04A0" w:firstRow="1" w:lastRow="0" w:firstColumn="1" w:lastColumn="0" w:noHBand="0" w:noVBand="1"/>
      </w:tblPr>
      <w:tblGrid>
        <w:gridCol w:w="2315"/>
        <w:gridCol w:w="3002"/>
        <w:gridCol w:w="571"/>
        <w:gridCol w:w="817"/>
      </w:tblGrid>
      <w:tr w:rsidR="007D0ED0" w:rsidRPr="00E05677" w14:paraId="10FBD093" w14:textId="77777777" w:rsidTr="007B6978">
        <w:trPr>
          <w:trHeight w:val="290"/>
        </w:trPr>
        <w:tc>
          <w:tcPr>
            <w:tcW w:w="2113" w:type="pct"/>
            <w:tcBorders>
              <w:top w:val="nil"/>
              <w:left w:val="nil"/>
              <w:bottom w:val="nil"/>
              <w:right w:val="nil"/>
            </w:tcBorders>
            <w:shd w:val="clear" w:color="auto" w:fill="FFFFFF" w:themeFill="background1"/>
            <w:noWrap/>
            <w:vAlign w:val="bottom"/>
            <w:hideMark/>
          </w:tcPr>
          <w:p w14:paraId="535441B8" w14:textId="77777777" w:rsidR="007D0ED0" w:rsidRPr="00253340" w:rsidRDefault="007D0ED0" w:rsidP="007B6978">
            <w:pPr>
              <w:spacing w:line="240" w:lineRule="auto"/>
              <w:jc w:val="center"/>
              <w:rPr>
                <w:rFonts w:eastAsia="Times New Roman" w:cs="Calibri"/>
                <w:color w:val="000000"/>
                <w:sz w:val="20"/>
                <w:szCs w:val="20"/>
                <w:lang w:eastAsia="en-GB"/>
              </w:rPr>
            </w:pPr>
          </w:p>
        </w:tc>
        <w:tc>
          <w:tcPr>
            <w:tcW w:w="1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6A0868" w14:textId="780F85B1" w:rsidR="007D0ED0" w:rsidRPr="00253340" w:rsidRDefault="007D0ED0" w:rsidP="007B6978">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Residual deviance (</w:t>
            </w:r>
            <w:r>
              <w:rPr>
                <w:rFonts w:eastAsia="Times New Roman" w:cs="Calibri"/>
                <w:color w:val="000000"/>
                <w:sz w:val="20"/>
                <w:szCs w:val="20"/>
                <w:lang w:eastAsia="en-GB"/>
              </w:rPr>
              <w:t>18</w:t>
            </w:r>
            <w:r w:rsidRPr="00253340">
              <w:rPr>
                <w:rFonts w:eastAsia="Times New Roman" w:cs="Calibri"/>
                <w:color w:val="000000"/>
                <w:sz w:val="20"/>
                <w:szCs w:val="20"/>
                <w:lang w:eastAsia="en-GB"/>
              </w:rPr>
              <w:t xml:space="preserve"> data points)</w:t>
            </w:r>
          </w:p>
        </w:tc>
        <w:tc>
          <w:tcPr>
            <w:tcW w:w="845"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18D17273" w14:textId="77777777" w:rsidR="007D0ED0" w:rsidRPr="00253340" w:rsidRDefault="007D0ED0" w:rsidP="007B6978">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pD*</w:t>
            </w:r>
          </w:p>
        </w:tc>
        <w:tc>
          <w:tcPr>
            <w:tcW w:w="704" w:type="pct"/>
            <w:tcBorders>
              <w:top w:val="single" w:sz="4" w:space="0" w:color="auto"/>
              <w:left w:val="nil"/>
              <w:bottom w:val="single" w:sz="4" w:space="0" w:color="auto"/>
              <w:right w:val="single" w:sz="4" w:space="0" w:color="auto"/>
            </w:tcBorders>
            <w:shd w:val="clear" w:color="auto" w:fill="FFFFFF" w:themeFill="background1"/>
            <w:vAlign w:val="bottom"/>
            <w:hideMark/>
          </w:tcPr>
          <w:p w14:paraId="36205223" w14:textId="77777777" w:rsidR="007D0ED0" w:rsidRPr="00253340" w:rsidRDefault="007D0ED0" w:rsidP="007B6978">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(DIC)**</w:t>
            </w:r>
          </w:p>
        </w:tc>
      </w:tr>
      <w:tr w:rsidR="007D0ED0" w:rsidRPr="00E05677" w14:paraId="3B9240EC" w14:textId="77777777" w:rsidTr="007B6978">
        <w:trPr>
          <w:trHeight w:val="223"/>
        </w:trPr>
        <w:tc>
          <w:tcPr>
            <w:tcW w:w="21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7D524C" w14:textId="77777777" w:rsidR="007D0ED0" w:rsidRPr="00253340" w:rsidRDefault="007D0ED0" w:rsidP="007B6978">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NMA (consistency) Model</w:t>
            </w:r>
          </w:p>
        </w:tc>
        <w:tc>
          <w:tcPr>
            <w:tcW w:w="1338" w:type="pct"/>
            <w:tcBorders>
              <w:top w:val="nil"/>
              <w:left w:val="nil"/>
              <w:bottom w:val="single" w:sz="4" w:space="0" w:color="auto"/>
              <w:right w:val="single" w:sz="4" w:space="0" w:color="auto"/>
            </w:tcBorders>
            <w:shd w:val="clear" w:color="auto" w:fill="FFFFFF" w:themeFill="background1"/>
            <w:noWrap/>
            <w:vAlign w:val="bottom"/>
            <w:hideMark/>
          </w:tcPr>
          <w:p w14:paraId="0DCAFE9C" w14:textId="7801B707" w:rsidR="007D0ED0" w:rsidRPr="00253340" w:rsidRDefault="007D0ED0" w:rsidP="007B6978">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16.8</w:t>
            </w:r>
          </w:p>
        </w:tc>
        <w:tc>
          <w:tcPr>
            <w:tcW w:w="845" w:type="pct"/>
            <w:tcBorders>
              <w:top w:val="nil"/>
              <w:left w:val="nil"/>
              <w:bottom w:val="single" w:sz="4" w:space="0" w:color="auto"/>
              <w:right w:val="single" w:sz="4" w:space="0" w:color="auto"/>
            </w:tcBorders>
            <w:shd w:val="clear" w:color="auto" w:fill="FFFFFF" w:themeFill="background1"/>
            <w:noWrap/>
            <w:vAlign w:val="bottom"/>
            <w:hideMark/>
          </w:tcPr>
          <w:p w14:paraId="3F9667B6" w14:textId="7C793DD5" w:rsidR="007D0ED0" w:rsidRPr="00253340" w:rsidRDefault="007D0ED0" w:rsidP="007B6978">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15.1</w:t>
            </w:r>
          </w:p>
        </w:tc>
        <w:tc>
          <w:tcPr>
            <w:tcW w:w="704" w:type="pct"/>
            <w:tcBorders>
              <w:top w:val="nil"/>
              <w:left w:val="nil"/>
              <w:bottom w:val="single" w:sz="4" w:space="0" w:color="auto"/>
              <w:right w:val="single" w:sz="4" w:space="0" w:color="auto"/>
            </w:tcBorders>
            <w:shd w:val="clear" w:color="auto" w:fill="FFFFFF" w:themeFill="background1"/>
            <w:noWrap/>
            <w:vAlign w:val="bottom"/>
            <w:hideMark/>
          </w:tcPr>
          <w:p w14:paraId="08157E13" w14:textId="38BC8840" w:rsidR="007D0ED0" w:rsidRPr="00253340" w:rsidRDefault="007D0ED0" w:rsidP="007B6978">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31.8</w:t>
            </w:r>
          </w:p>
        </w:tc>
      </w:tr>
      <w:tr w:rsidR="007D0ED0" w:rsidRPr="00E05677" w14:paraId="322C8F9B" w14:textId="77777777" w:rsidTr="007B6978">
        <w:trPr>
          <w:trHeight w:val="315"/>
        </w:trPr>
        <w:tc>
          <w:tcPr>
            <w:tcW w:w="2113" w:type="pct"/>
            <w:tcBorders>
              <w:top w:val="nil"/>
              <w:left w:val="single" w:sz="4" w:space="0" w:color="auto"/>
              <w:bottom w:val="single" w:sz="4" w:space="0" w:color="auto"/>
              <w:right w:val="single" w:sz="4" w:space="0" w:color="auto"/>
            </w:tcBorders>
            <w:shd w:val="clear" w:color="auto" w:fill="FFFFFF" w:themeFill="background1"/>
            <w:vAlign w:val="center"/>
            <w:hideMark/>
          </w:tcPr>
          <w:p w14:paraId="74D1630A" w14:textId="77777777" w:rsidR="007D0ED0" w:rsidRPr="00253340" w:rsidRDefault="007D0ED0" w:rsidP="007B6978">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Unrelated Mean Effects (Inconsistency) Model</w:t>
            </w:r>
          </w:p>
        </w:tc>
        <w:tc>
          <w:tcPr>
            <w:tcW w:w="1338" w:type="pct"/>
            <w:tcBorders>
              <w:top w:val="nil"/>
              <w:left w:val="nil"/>
              <w:bottom w:val="single" w:sz="4" w:space="0" w:color="auto"/>
              <w:right w:val="single" w:sz="4" w:space="0" w:color="auto"/>
            </w:tcBorders>
            <w:shd w:val="clear" w:color="auto" w:fill="FFFFFF" w:themeFill="background1"/>
            <w:noWrap/>
            <w:vAlign w:val="bottom"/>
            <w:hideMark/>
          </w:tcPr>
          <w:p w14:paraId="1FD17783" w14:textId="3DC80C12" w:rsidR="007D0ED0" w:rsidRPr="00253340" w:rsidRDefault="007D0ED0" w:rsidP="007B6978">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16.7</w:t>
            </w:r>
          </w:p>
        </w:tc>
        <w:tc>
          <w:tcPr>
            <w:tcW w:w="845" w:type="pct"/>
            <w:tcBorders>
              <w:top w:val="nil"/>
              <w:left w:val="nil"/>
              <w:bottom w:val="single" w:sz="4" w:space="0" w:color="auto"/>
              <w:right w:val="single" w:sz="4" w:space="0" w:color="auto"/>
            </w:tcBorders>
            <w:shd w:val="clear" w:color="auto" w:fill="FFFFFF" w:themeFill="background1"/>
            <w:noWrap/>
            <w:vAlign w:val="bottom"/>
            <w:hideMark/>
          </w:tcPr>
          <w:p w14:paraId="41E2A040" w14:textId="69CFCC13" w:rsidR="007D0ED0" w:rsidRPr="00253340" w:rsidRDefault="007D0ED0" w:rsidP="007B6978">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16.3</w:t>
            </w:r>
          </w:p>
        </w:tc>
        <w:tc>
          <w:tcPr>
            <w:tcW w:w="704" w:type="pct"/>
            <w:tcBorders>
              <w:top w:val="nil"/>
              <w:left w:val="nil"/>
              <w:bottom w:val="single" w:sz="4" w:space="0" w:color="auto"/>
              <w:right w:val="single" w:sz="4" w:space="0" w:color="auto"/>
            </w:tcBorders>
            <w:shd w:val="clear" w:color="auto" w:fill="FFFFFF" w:themeFill="background1"/>
            <w:noWrap/>
            <w:vAlign w:val="bottom"/>
            <w:hideMark/>
          </w:tcPr>
          <w:p w14:paraId="2E2A91EA" w14:textId="28274C5E" w:rsidR="007D0ED0" w:rsidRPr="00253340" w:rsidRDefault="007D0ED0" w:rsidP="007B6978">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33</w:t>
            </w:r>
          </w:p>
        </w:tc>
      </w:tr>
    </w:tbl>
    <w:p w14:paraId="728DFFBA" w14:textId="77777777" w:rsidR="007D0ED0" w:rsidRPr="00CA3B38" w:rsidRDefault="007D0ED0" w:rsidP="007D0ED0">
      <w:pPr>
        <w:pStyle w:val="EndNoteBibliography"/>
        <w:rPr>
          <w:rFonts w:asciiTheme="minorHAnsi" w:hAnsiTheme="minorHAnsi" w:cstheme="minorHAnsi"/>
          <w:noProof w:val="0"/>
          <w:sz w:val="18"/>
          <w:szCs w:val="18"/>
          <w:lang w:val="en-GB" w:eastAsia="en-GB"/>
        </w:rPr>
      </w:pPr>
      <w:r w:rsidRPr="00CA3B38">
        <w:rPr>
          <w:rFonts w:asciiTheme="majorBidi" w:hAnsiTheme="majorBidi" w:cstheme="majorBidi"/>
          <w:sz w:val="20"/>
          <w:szCs w:val="20"/>
        </w:rPr>
        <w:t>*</w:t>
      </w:r>
      <w:r w:rsidRPr="00CA3B38">
        <w:rPr>
          <w:rFonts w:asciiTheme="minorHAnsi" w:hAnsiTheme="minorHAnsi" w:cstheme="minorHAnsi"/>
          <w:noProof w:val="0"/>
          <w:sz w:val="18"/>
          <w:szCs w:val="18"/>
          <w:lang w:val="en-GB" w:eastAsia="en-GB"/>
        </w:rPr>
        <w:t>pD: sum of leverage, also known as the effective number of parameters</w:t>
      </w:r>
      <w:r>
        <w:rPr>
          <w:rFonts w:asciiTheme="minorHAnsi" w:hAnsiTheme="minorHAnsi" w:cstheme="minorHAnsi"/>
          <w:noProof w:val="0"/>
          <w:sz w:val="18"/>
          <w:szCs w:val="18"/>
          <w:lang w:val="en-GB" w:eastAsia="en-GB"/>
        </w:rPr>
        <w:t xml:space="preserve"> and shows the model complexity.</w:t>
      </w:r>
    </w:p>
    <w:p w14:paraId="4C987B48" w14:textId="77777777" w:rsidR="007D0ED0" w:rsidRPr="00CA3B38" w:rsidRDefault="007D0ED0" w:rsidP="007D0ED0">
      <w:pPr>
        <w:spacing w:line="240" w:lineRule="auto"/>
        <w:rPr>
          <w:rFonts w:cstheme="minorHAnsi"/>
          <w:sz w:val="18"/>
          <w:szCs w:val="18"/>
          <w:lang w:eastAsia="en-GB"/>
        </w:rPr>
      </w:pPr>
      <w:r w:rsidRPr="00CA3B38">
        <w:rPr>
          <w:rFonts w:cstheme="minorHAnsi"/>
          <w:sz w:val="18"/>
          <w:szCs w:val="18"/>
          <w:lang w:eastAsia="en-GB"/>
        </w:rPr>
        <w:t>**DIC: Deviance Information Criteria</w:t>
      </w:r>
      <w:r>
        <w:rPr>
          <w:rFonts w:cstheme="minorHAnsi"/>
          <w:sz w:val="18"/>
          <w:szCs w:val="18"/>
          <w:lang w:eastAsia="en-GB"/>
        </w:rPr>
        <w:t xml:space="preserve"> (</w:t>
      </w:r>
      <w:r w:rsidRPr="00CA3B38">
        <w:rPr>
          <w:rFonts w:cstheme="minorHAnsi"/>
          <w:sz w:val="18"/>
          <w:szCs w:val="18"/>
          <w:lang w:eastAsia="en-GB"/>
        </w:rPr>
        <w:t>DIC provides a measure of goodness of model fit that penalises model complexity</w:t>
      </w:r>
      <w:r>
        <w:rPr>
          <w:rFonts w:cstheme="minorHAnsi"/>
          <w:sz w:val="18"/>
          <w:szCs w:val="18"/>
          <w:lang w:eastAsia="en-GB"/>
        </w:rPr>
        <w:t>, the lower is more fitted. More than three difference is meaningful.</w:t>
      </w:r>
    </w:p>
    <w:p w14:paraId="1A7EBA51" w14:textId="77777777" w:rsidR="008B1EF1" w:rsidRDefault="008B1EF1" w:rsidP="008B1EF1"/>
    <w:p w14:paraId="45BFB81B" w14:textId="57F6E775" w:rsidR="008B1EF1" w:rsidRPr="008B1EF1" w:rsidRDefault="007D0ED0" w:rsidP="008B1EF1">
      <w:r>
        <w:rPr>
          <w:noProof/>
          <w:lang w:val="en-US"/>
        </w:rPr>
        <w:drawing>
          <wp:inline distT="0" distB="0" distL="0" distR="0" wp14:anchorId="361A69E4" wp14:editId="6E7B9927">
            <wp:extent cx="3990975" cy="3150606"/>
            <wp:effectExtent l="0" t="0" r="0" b="0"/>
            <wp:docPr id="1401849061" name="Picture 1"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849061" name="Picture 1" descr="A picture containing text, line, diagram, plot&#10;&#10;Description automatically generated"/>
                    <pic:cNvPicPr/>
                  </pic:nvPicPr>
                  <pic:blipFill>
                    <a:blip r:embed="rId14"/>
                    <a:stretch>
                      <a:fillRect/>
                    </a:stretch>
                  </pic:blipFill>
                  <pic:spPr>
                    <a:xfrm>
                      <a:off x="0" y="0"/>
                      <a:ext cx="3992997" cy="3152202"/>
                    </a:xfrm>
                    <a:prstGeom prst="rect">
                      <a:avLst/>
                    </a:prstGeom>
                  </pic:spPr>
                </pic:pic>
              </a:graphicData>
            </a:graphic>
          </wp:inline>
        </w:drawing>
      </w:r>
    </w:p>
    <w:p w14:paraId="6C3D0747" w14:textId="5FD050E0" w:rsidR="007D0ED0" w:rsidRDefault="007D0ED0" w:rsidP="007D0ED0">
      <w:pPr>
        <w:pStyle w:val="EndNoteBibliography"/>
        <w:keepNext/>
        <w:rPr>
          <w:sz w:val="20"/>
          <w:szCs w:val="20"/>
        </w:rPr>
      </w:pPr>
      <w:r>
        <w:rPr>
          <w:sz w:val="20"/>
          <w:szCs w:val="20"/>
        </w:rPr>
        <w:t xml:space="preserve"> </w:t>
      </w:r>
      <w:r w:rsidRPr="00253340">
        <w:rPr>
          <w:sz w:val="20"/>
          <w:szCs w:val="20"/>
        </w:rPr>
        <w:t xml:space="preserve">Dev-Dev plot </w:t>
      </w:r>
      <w:r>
        <w:rPr>
          <w:sz w:val="20"/>
          <w:szCs w:val="20"/>
        </w:rPr>
        <w:t>to identify</w:t>
      </w:r>
      <w:r w:rsidRPr="006B53BE">
        <w:rPr>
          <w:sz w:val="20"/>
          <w:szCs w:val="20"/>
        </w:rPr>
        <w:t xml:space="preserve"> inconsistent data-points</w:t>
      </w:r>
      <w:r>
        <w:rPr>
          <w:sz w:val="20"/>
          <w:szCs w:val="20"/>
        </w:rPr>
        <w:t xml:space="preserve">, </w:t>
      </w:r>
      <w:r w:rsidRPr="00253340">
        <w:rPr>
          <w:sz w:val="20"/>
          <w:szCs w:val="20"/>
        </w:rPr>
        <w:t>the data points are scattered in a further distance from the bivector form the origin, they</w:t>
      </w:r>
      <w:r>
        <w:rPr>
          <w:sz w:val="20"/>
          <w:szCs w:val="20"/>
        </w:rPr>
        <w:t xml:space="preserve"> shows being</w:t>
      </w:r>
      <w:r w:rsidRPr="00253340">
        <w:rPr>
          <w:sz w:val="20"/>
          <w:szCs w:val="20"/>
        </w:rPr>
        <w:t xml:space="preserve"> source of inconsistency.</w:t>
      </w:r>
    </w:p>
    <w:p w14:paraId="61BFFD5E" w14:textId="13312216" w:rsidR="006958AC" w:rsidRDefault="007D0ED0" w:rsidP="007D0ED0">
      <w:pPr>
        <w:pStyle w:val="Caption"/>
        <w:sectPr w:rsidR="006958AC" w:rsidSect="003B01A2">
          <w:pgSz w:w="11907" w:h="16840" w:orient="landscape" w:code="9"/>
          <w:pgMar w:top="1440" w:right="1440" w:bottom="1440" w:left="1440" w:header="709" w:footer="709" w:gutter="0"/>
          <w:cols w:space="708"/>
          <w:docGrid w:linePitch="360"/>
        </w:sectPr>
      </w:pPr>
      <w:r>
        <w:t xml:space="preserve">Figure 3: </w:t>
      </w:r>
      <w:r w:rsidRPr="00993F69">
        <w:t>Global Consistency Test for mean change i</w:t>
      </w:r>
      <w:r>
        <w:t>n</w:t>
      </w:r>
      <w:r w:rsidRPr="00993F69">
        <w:t xml:space="preserve"> MHD from baseline (Unrelated Mean Effects (Inconsistency) Model and Fixed NMA model)</w:t>
      </w:r>
    </w:p>
    <w:p w14:paraId="41336E25" w14:textId="77777777" w:rsidR="003B01A2" w:rsidRDefault="003B01A2" w:rsidP="003B01A2"/>
    <w:p w14:paraId="64D7C7CC" w14:textId="5F51FAC3" w:rsidR="00FF252A" w:rsidRDefault="00FF252A" w:rsidP="00FF252A">
      <w:pPr>
        <w:pStyle w:val="Caption"/>
        <w:keepNext/>
        <w:spacing w:after="0"/>
      </w:pPr>
      <w:r>
        <w:t xml:space="preserve">Table 3: </w:t>
      </w:r>
      <w:r w:rsidRPr="002C39C0">
        <w:t>Head</w:t>
      </w:r>
      <w:r>
        <w:t>-</w:t>
      </w:r>
      <w:r w:rsidRPr="002C39C0">
        <w:t>to</w:t>
      </w:r>
      <w:r>
        <w:t>-</w:t>
      </w:r>
      <w:r w:rsidRPr="002C39C0">
        <w:t>head comparisons of treatments for mean change in M</w:t>
      </w:r>
      <w:r>
        <w:t>M</w:t>
      </w:r>
      <w:r w:rsidRPr="002C39C0">
        <w:t>D from baseline (MDs, 95%</w:t>
      </w:r>
      <w:r>
        <w:t xml:space="preserve"> </w:t>
      </w:r>
      <w:r w:rsidRPr="002C39C0">
        <w:t>CrI)</w:t>
      </w:r>
    </w:p>
    <w:p w14:paraId="33627485" w14:textId="77777777" w:rsidR="00047551" w:rsidRPr="00047551" w:rsidRDefault="00047551" w:rsidP="00047551"/>
    <w:tbl>
      <w:tblPr>
        <w:tblW w:w="5000" w:type="pct"/>
        <w:tblLook w:val="04A0" w:firstRow="1" w:lastRow="0" w:firstColumn="1" w:lastColumn="0" w:noHBand="0" w:noVBand="1"/>
      </w:tblPr>
      <w:tblGrid>
        <w:gridCol w:w="843"/>
        <w:gridCol w:w="914"/>
        <w:gridCol w:w="827"/>
        <w:gridCol w:w="821"/>
        <w:gridCol w:w="969"/>
        <w:gridCol w:w="821"/>
        <w:gridCol w:w="913"/>
        <w:gridCol w:w="821"/>
        <w:gridCol w:w="969"/>
        <w:gridCol w:w="862"/>
        <w:gridCol w:w="483"/>
      </w:tblGrid>
      <w:tr w:rsidR="00504B39" w:rsidRPr="00504B39" w14:paraId="20FECDE5" w14:textId="77777777" w:rsidTr="00504B39">
        <w:trPr>
          <w:trHeight w:val="300"/>
        </w:trPr>
        <w:tc>
          <w:tcPr>
            <w:tcW w:w="429" w:type="pct"/>
            <w:tcBorders>
              <w:top w:val="single" w:sz="8" w:space="0" w:color="auto"/>
              <w:left w:val="single" w:sz="8" w:space="0" w:color="auto"/>
              <w:bottom w:val="single" w:sz="8" w:space="0" w:color="auto"/>
              <w:right w:val="single" w:sz="8" w:space="0" w:color="auto"/>
            </w:tcBorders>
            <w:shd w:val="clear" w:color="000000" w:fill="F8CBAD"/>
            <w:noWrap/>
            <w:vAlign w:val="center"/>
            <w:hideMark/>
          </w:tcPr>
          <w:p w14:paraId="3847C166"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Fremanezumab-M</w:t>
            </w:r>
          </w:p>
        </w:tc>
        <w:tc>
          <w:tcPr>
            <w:tcW w:w="465" w:type="pct"/>
            <w:tcBorders>
              <w:top w:val="nil"/>
              <w:left w:val="nil"/>
              <w:bottom w:val="nil"/>
              <w:right w:val="nil"/>
            </w:tcBorders>
            <w:shd w:val="clear" w:color="auto" w:fill="auto"/>
            <w:noWrap/>
            <w:vAlign w:val="bottom"/>
            <w:hideMark/>
          </w:tcPr>
          <w:p w14:paraId="33D344B1"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p>
        </w:tc>
        <w:tc>
          <w:tcPr>
            <w:tcW w:w="429" w:type="pct"/>
            <w:tcBorders>
              <w:top w:val="nil"/>
              <w:left w:val="nil"/>
              <w:bottom w:val="nil"/>
              <w:right w:val="nil"/>
            </w:tcBorders>
            <w:shd w:val="clear" w:color="auto" w:fill="auto"/>
            <w:noWrap/>
            <w:vAlign w:val="bottom"/>
            <w:hideMark/>
          </w:tcPr>
          <w:p w14:paraId="4AFEFD96"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25" w:type="pct"/>
            <w:tcBorders>
              <w:top w:val="nil"/>
              <w:left w:val="nil"/>
              <w:bottom w:val="nil"/>
              <w:right w:val="nil"/>
            </w:tcBorders>
            <w:shd w:val="clear" w:color="auto" w:fill="auto"/>
            <w:noWrap/>
            <w:vAlign w:val="bottom"/>
            <w:hideMark/>
          </w:tcPr>
          <w:p w14:paraId="335341AE"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546" w:type="pct"/>
            <w:tcBorders>
              <w:top w:val="nil"/>
              <w:left w:val="nil"/>
              <w:bottom w:val="nil"/>
              <w:right w:val="nil"/>
            </w:tcBorders>
            <w:shd w:val="clear" w:color="auto" w:fill="auto"/>
            <w:noWrap/>
            <w:vAlign w:val="bottom"/>
            <w:hideMark/>
          </w:tcPr>
          <w:p w14:paraId="1C0B700D"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25" w:type="pct"/>
            <w:tcBorders>
              <w:top w:val="nil"/>
              <w:left w:val="nil"/>
              <w:bottom w:val="nil"/>
              <w:right w:val="nil"/>
            </w:tcBorders>
            <w:shd w:val="clear" w:color="auto" w:fill="auto"/>
            <w:noWrap/>
            <w:vAlign w:val="bottom"/>
            <w:hideMark/>
          </w:tcPr>
          <w:p w14:paraId="7DD67344"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65" w:type="pct"/>
            <w:tcBorders>
              <w:top w:val="nil"/>
              <w:left w:val="nil"/>
              <w:bottom w:val="nil"/>
              <w:right w:val="nil"/>
            </w:tcBorders>
            <w:shd w:val="clear" w:color="auto" w:fill="auto"/>
            <w:noWrap/>
            <w:vAlign w:val="bottom"/>
            <w:hideMark/>
          </w:tcPr>
          <w:p w14:paraId="27110206"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25" w:type="pct"/>
            <w:tcBorders>
              <w:top w:val="nil"/>
              <w:left w:val="nil"/>
              <w:bottom w:val="nil"/>
              <w:right w:val="nil"/>
            </w:tcBorders>
            <w:shd w:val="clear" w:color="auto" w:fill="auto"/>
            <w:noWrap/>
            <w:vAlign w:val="bottom"/>
            <w:hideMark/>
          </w:tcPr>
          <w:p w14:paraId="52875FA5"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534" w:type="pct"/>
            <w:tcBorders>
              <w:top w:val="nil"/>
              <w:left w:val="nil"/>
              <w:bottom w:val="nil"/>
              <w:right w:val="nil"/>
            </w:tcBorders>
            <w:shd w:val="clear" w:color="auto" w:fill="auto"/>
            <w:noWrap/>
            <w:vAlign w:val="bottom"/>
            <w:hideMark/>
          </w:tcPr>
          <w:p w14:paraId="2E6D1103"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32" w:type="pct"/>
            <w:tcBorders>
              <w:top w:val="nil"/>
              <w:left w:val="nil"/>
              <w:bottom w:val="nil"/>
              <w:right w:val="nil"/>
            </w:tcBorders>
            <w:shd w:val="clear" w:color="auto" w:fill="auto"/>
            <w:noWrap/>
            <w:vAlign w:val="bottom"/>
            <w:hideMark/>
          </w:tcPr>
          <w:p w14:paraId="2932724A"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25" w:type="pct"/>
            <w:tcBorders>
              <w:top w:val="nil"/>
              <w:left w:val="nil"/>
              <w:bottom w:val="nil"/>
              <w:right w:val="nil"/>
            </w:tcBorders>
            <w:shd w:val="clear" w:color="auto" w:fill="auto"/>
            <w:noWrap/>
            <w:vAlign w:val="bottom"/>
            <w:hideMark/>
          </w:tcPr>
          <w:p w14:paraId="0F573E54"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r>
      <w:tr w:rsidR="00504B39" w:rsidRPr="00504B39" w14:paraId="6D2AE163" w14:textId="77777777" w:rsidTr="00504B39">
        <w:trPr>
          <w:trHeight w:val="300"/>
        </w:trPr>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6A2D9890"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0.17 (-0.99, 1.36)</w:t>
            </w:r>
          </w:p>
        </w:tc>
        <w:tc>
          <w:tcPr>
            <w:tcW w:w="465" w:type="pct"/>
            <w:tcBorders>
              <w:top w:val="single" w:sz="8" w:space="0" w:color="auto"/>
              <w:left w:val="nil"/>
              <w:bottom w:val="single" w:sz="8" w:space="0" w:color="auto"/>
              <w:right w:val="single" w:sz="8" w:space="0" w:color="auto"/>
            </w:tcBorders>
            <w:shd w:val="clear" w:color="000000" w:fill="F8CBAD"/>
            <w:noWrap/>
            <w:vAlign w:val="center"/>
            <w:hideMark/>
          </w:tcPr>
          <w:p w14:paraId="7242CC5D"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Eptinezumab 300mg</w:t>
            </w:r>
          </w:p>
        </w:tc>
        <w:tc>
          <w:tcPr>
            <w:tcW w:w="429" w:type="pct"/>
            <w:tcBorders>
              <w:top w:val="nil"/>
              <w:left w:val="nil"/>
              <w:bottom w:val="nil"/>
              <w:right w:val="nil"/>
            </w:tcBorders>
            <w:shd w:val="clear" w:color="auto" w:fill="auto"/>
            <w:noWrap/>
            <w:vAlign w:val="bottom"/>
            <w:hideMark/>
          </w:tcPr>
          <w:p w14:paraId="07A6F5E3"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p>
        </w:tc>
        <w:tc>
          <w:tcPr>
            <w:tcW w:w="425" w:type="pct"/>
            <w:tcBorders>
              <w:top w:val="nil"/>
              <w:left w:val="nil"/>
              <w:bottom w:val="nil"/>
              <w:right w:val="nil"/>
            </w:tcBorders>
            <w:shd w:val="clear" w:color="auto" w:fill="auto"/>
            <w:noWrap/>
            <w:vAlign w:val="bottom"/>
            <w:hideMark/>
          </w:tcPr>
          <w:p w14:paraId="2B33C0BC"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546" w:type="pct"/>
            <w:tcBorders>
              <w:top w:val="nil"/>
              <w:left w:val="nil"/>
              <w:bottom w:val="nil"/>
              <w:right w:val="nil"/>
            </w:tcBorders>
            <w:shd w:val="clear" w:color="auto" w:fill="auto"/>
            <w:noWrap/>
            <w:vAlign w:val="bottom"/>
            <w:hideMark/>
          </w:tcPr>
          <w:p w14:paraId="7B75B9C5"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25" w:type="pct"/>
            <w:tcBorders>
              <w:top w:val="nil"/>
              <w:left w:val="nil"/>
              <w:bottom w:val="nil"/>
              <w:right w:val="nil"/>
            </w:tcBorders>
            <w:shd w:val="clear" w:color="auto" w:fill="auto"/>
            <w:noWrap/>
            <w:vAlign w:val="bottom"/>
            <w:hideMark/>
          </w:tcPr>
          <w:p w14:paraId="6E64B3B9"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65" w:type="pct"/>
            <w:tcBorders>
              <w:top w:val="nil"/>
              <w:left w:val="nil"/>
              <w:bottom w:val="nil"/>
              <w:right w:val="nil"/>
            </w:tcBorders>
            <w:shd w:val="clear" w:color="auto" w:fill="auto"/>
            <w:noWrap/>
            <w:vAlign w:val="bottom"/>
            <w:hideMark/>
          </w:tcPr>
          <w:p w14:paraId="284FB579"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25" w:type="pct"/>
            <w:tcBorders>
              <w:top w:val="nil"/>
              <w:left w:val="nil"/>
              <w:bottom w:val="nil"/>
              <w:right w:val="nil"/>
            </w:tcBorders>
            <w:shd w:val="clear" w:color="auto" w:fill="auto"/>
            <w:noWrap/>
            <w:vAlign w:val="bottom"/>
            <w:hideMark/>
          </w:tcPr>
          <w:p w14:paraId="14F1A0C7"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534" w:type="pct"/>
            <w:tcBorders>
              <w:top w:val="nil"/>
              <w:left w:val="nil"/>
              <w:bottom w:val="nil"/>
              <w:right w:val="nil"/>
            </w:tcBorders>
            <w:shd w:val="clear" w:color="auto" w:fill="auto"/>
            <w:noWrap/>
            <w:vAlign w:val="bottom"/>
            <w:hideMark/>
          </w:tcPr>
          <w:p w14:paraId="14B1A027"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32" w:type="pct"/>
            <w:tcBorders>
              <w:top w:val="nil"/>
              <w:left w:val="nil"/>
              <w:bottom w:val="nil"/>
              <w:right w:val="nil"/>
            </w:tcBorders>
            <w:shd w:val="clear" w:color="auto" w:fill="auto"/>
            <w:noWrap/>
            <w:vAlign w:val="bottom"/>
            <w:hideMark/>
          </w:tcPr>
          <w:p w14:paraId="7D59B1EF"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25" w:type="pct"/>
            <w:tcBorders>
              <w:top w:val="nil"/>
              <w:left w:val="nil"/>
              <w:bottom w:val="nil"/>
              <w:right w:val="nil"/>
            </w:tcBorders>
            <w:shd w:val="clear" w:color="auto" w:fill="auto"/>
            <w:noWrap/>
            <w:vAlign w:val="bottom"/>
            <w:hideMark/>
          </w:tcPr>
          <w:p w14:paraId="750C1FBF"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r>
      <w:tr w:rsidR="00504B39" w:rsidRPr="00504B39" w14:paraId="617DE389" w14:textId="77777777" w:rsidTr="00504B39">
        <w:trPr>
          <w:trHeight w:val="300"/>
        </w:trPr>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21158EAC"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-0.46 (-1.08, 0.18)</w:t>
            </w:r>
          </w:p>
        </w:tc>
        <w:tc>
          <w:tcPr>
            <w:tcW w:w="465" w:type="pct"/>
            <w:tcBorders>
              <w:top w:val="nil"/>
              <w:left w:val="nil"/>
              <w:bottom w:val="single" w:sz="8" w:space="0" w:color="auto"/>
              <w:right w:val="single" w:sz="8" w:space="0" w:color="auto"/>
            </w:tcBorders>
            <w:shd w:val="clear" w:color="auto" w:fill="auto"/>
            <w:noWrap/>
            <w:vAlign w:val="center"/>
            <w:hideMark/>
          </w:tcPr>
          <w:p w14:paraId="530F3220"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-0.29 (-1.47, 0.93)</w:t>
            </w:r>
          </w:p>
        </w:tc>
        <w:tc>
          <w:tcPr>
            <w:tcW w:w="429" w:type="pct"/>
            <w:tcBorders>
              <w:top w:val="single" w:sz="8" w:space="0" w:color="auto"/>
              <w:left w:val="nil"/>
              <w:bottom w:val="single" w:sz="8" w:space="0" w:color="auto"/>
              <w:right w:val="single" w:sz="8" w:space="0" w:color="auto"/>
            </w:tcBorders>
            <w:shd w:val="clear" w:color="000000" w:fill="F8CBAD"/>
            <w:noWrap/>
            <w:vAlign w:val="center"/>
            <w:hideMark/>
          </w:tcPr>
          <w:p w14:paraId="0902E712"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Fremanezumab-Q</w:t>
            </w:r>
          </w:p>
        </w:tc>
        <w:tc>
          <w:tcPr>
            <w:tcW w:w="425" w:type="pct"/>
            <w:tcBorders>
              <w:top w:val="nil"/>
              <w:left w:val="nil"/>
              <w:bottom w:val="nil"/>
              <w:right w:val="nil"/>
            </w:tcBorders>
            <w:shd w:val="clear" w:color="auto" w:fill="auto"/>
            <w:noWrap/>
            <w:vAlign w:val="bottom"/>
            <w:hideMark/>
          </w:tcPr>
          <w:p w14:paraId="4F67512A"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p>
        </w:tc>
        <w:tc>
          <w:tcPr>
            <w:tcW w:w="546" w:type="pct"/>
            <w:tcBorders>
              <w:top w:val="nil"/>
              <w:left w:val="nil"/>
              <w:bottom w:val="nil"/>
              <w:right w:val="nil"/>
            </w:tcBorders>
            <w:shd w:val="clear" w:color="auto" w:fill="auto"/>
            <w:noWrap/>
            <w:vAlign w:val="bottom"/>
            <w:hideMark/>
          </w:tcPr>
          <w:p w14:paraId="49A197DE"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25" w:type="pct"/>
            <w:tcBorders>
              <w:top w:val="nil"/>
              <w:left w:val="nil"/>
              <w:bottom w:val="nil"/>
              <w:right w:val="nil"/>
            </w:tcBorders>
            <w:shd w:val="clear" w:color="auto" w:fill="auto"/>
            <w:noWrap/>
            <w:vAlign w:val="bottom"/>
            <w:hideMark/>
          </w:tcPr>
          <w:p w14:paraId="574BF0CB"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65" w:type="pct"/>
            <w:tcBorders>
              <w:top w:val="nil"/>
              <w:left w:val="nil"/>
              <w:bottom w:val="nil"/>
              <w:right w:val="nil"/>
            </w:tcBorders>
            <w:shd w:val="clear" w:color="auto" w:fill="auto"/>
            <w:noWrap/>
            <w:vAlign w:val="bottom"/>
            <w:hideMark/>
          </w:tcPr>
          <w:p w14:paraId="17619116"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25" w:type="pct"/>
            <w:tcBorders>
              <w:top w:val="nil"/>
              <w:left w:val="nil"/>
              <w:bottom w:val="nil"/>
              <w:right w:val="nil"/>
            </w:tcBorders>
            <w:shd w:val="clear" w:color="auto" w:fill="auto"/>
            <w:noWrap/>
            <w:vAlign w:val="bottom"/>
            <w:hideMark/>
          </w:tcPr>
          <w:p w14:paraId="1507BDB4"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534" w:type="pct"/>
            <w:tcBorders>
              <w:top w:val="nil"/>
              <w:left w:val="nil"/>
              <w:bottom w:val="nil"/>
              <w:right w:val="nil"/>
            </w:tcBorders>
            <w:shd w:val="clear" w:color="auto" w:fill="auto"/>
            <w:noWrap/>
            <w:vAlign w:val="bottom"/>
            <w:hideMark/>
          </w:tcPr>
          <w:p w14:paraId="65056B85"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32" w:type="pct"/>
            <w:tcBorders>
              <w:top w:val="nil"/>
              <w:left w:val="nil"/>
              <w:bottom w:val="nil"/>
              <w:right w:val="nil"/>
            </w:tcBorders>
            <w:shd w:val="clear" w:color="auto" w:fill="auto"/>
            <w:noWrap/>
            <w:vAlign w:val="bottom"/>
            <w:hideMark/>
          </w:tcPr>
          <w:p w14:paraId="1BFAB1F3"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25" w:type="pct"/>
            <w:tcBorders>
              <w:top w:val="nil"/>
              <w:left w:val="nil"/>
              <w:bottom w:val="nil"/>
              <w:right w:val="nil"/>
            </w:tcBorders>
            <w:shd w:val="clear" w:color="auto" w:fill="auto"/>
            <w:noWrap/>
            <w:vAlign w:val="bottom"/>
            <w:hideMark/>
          </w:tcPr>
          <w:p w14:paraId="7B896894"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r>
      <w:tr w:rsidR="00504B39" w:rsidRPr="00504B39" w14:paraId="280F280E" w14:textId="77777777" w:rsidTr="00504B39">
        <w:trPr>
          <w:trHeight w:val="300"/>
        </w:trPr>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358EDCA8"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0.50 (-0.75, 1.71)</w:t>
            </w:r>
          </w:p>
        </w:tc>
        <w:tc>
          <w:tcPr>
            <w:tcW w:w="465" w:type="pct"/>
            <w:tcBorders>
              <w:top w:val="nil"/>
              <w:left w:val="nil"/>
              <w:bottom w:val="single" w:sz="8" w:space="0" w:color="auto"/>
              <w:right w:val="single" w:sz="8" w:space="0" w:color="auto"/>
            </w:tcBorders>
            <w:shd w:val="clear" w:color="auto" w:fill="auto"/>
            <w:noWrap/>
            <w:vAlign w:val="center"/>
            <w:hideMark/>
          </w:tcPr>
          <w:p w14:paraId="44B3E35C"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-0.33 (-1.74, 0.15)</w:t>
            </w:r>
          </w:p>
        </w:tc>
        <w:tc>
          <w:tcPr>
            <w:tcW w:w="429" w:type="pct"/>
            <w:tcBorders>
              <w:top w:val="nil"/>
              <w:left w:val="nil"/>
              <w:bottom w:val="single" w:sz="8" w:space="0" w:color="auto"/>
              <w:right w:val="single" w:sz="8" w:space="0" w:color="auto"/>
            </w:tcBorders>
            <w:shd w:val="clear" w:color="auto" w:fill="auto"/>
            <w:noWrap/>
            <w:vAlign w:val="center"/>
            <w:hideMark/>
          </w:tcPr>
          <w:p w14:paraId="44262174"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0.04 (-1.20, 1.23)</w:t>
            </w:r>
          </w:p>
        </w:tc>
        <w:tc>
          <w:tcPr>
            <w:tcW w:w="425" w:type="pct"/>
            <w:tcBorders>
              <w:top w:val="single" w:sz="8" w:space="0" w:color="auto"/>
              <w:left w:val="nil"/>
              <w:bottom w:val="single" w:sz="8" w:space="0" w:color="auto"/>
              <w:right w:val="single" w:sz="8" w:space="0" w:color="auto"/>
            </w:tcBorders>
            <w:shd w:val="clear" w:color="000000" w:fill="F8CBAD"/>
            <w:noWrap/>
            <w:vAlign w:val="center"/>
            <w:hideMark/>
          </w:tcPr>
          <w:p w14:paraId="05DE419A" w14:textId="3B666462"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proofErr w:type="spellStart"/>
            <w:r w:rsidRPr="00504B39">
              <w:rPr>
                <w:rFonts w:ascii="Calibri" w:eastAsia="Times New Roman" w:hAnsi="Calibri" w:cs="Calibri"/>
                <w:color w:val="000000"/>
                <w:sz w:val="18"/>
                <w:szCs w:val="18"/>
                <w:lang w:eastAsia="en-GB"/>
              </w:rPr>
              <w:t>Erenumab</w:t>
            </w:r>
            <w:proofErr w:type="spellEnd"/>
            <w:r w:rsidR="004C22A2">
              <w:rPr>
                <w:rFonts w:ascii="Calibri" w:eastAsia="Times New Roman" w:hAnsi="Calibri" w:cs="Calibri"/>
                <w:color w:val="000000"/>
                <w:sz w:val="18"/>
                <w:szCs w:val="18"/>
                <w:lang w:eastAsia="en-GB"/>
              </w:rPr>
              <w:t xml:space="preserve"> </w:t>
            </w:r>
            <w:r w:rsidRPr="00504B39">
              <w:rPr>
                <w:rFonts w:ascii="Calibri" w:eastAsia="Times New Roman" w:hAnsi="Calibri" w:cs="Calibri"/>
                <w:color w:val="000000"/>
                <w:sz w:val="18"/>
                <w:szCs w:val="18"/>
                <w:lang w:eastAsia="en-GB"/>
              </w:rPr>
              <w:t>140mg</w:t>
            </w:r>
          </w:p>
        </w:tc>
        <w:tc>
          <w:tcPr>
            <w:tcW w:w="546" w:type="pct"/>
            <w:tcBorders>
              <w:top w:val="nil"/>
              <w:left w:val="nil"/>
              <w:bottom w:val="nil"/>
              <w:right w:val="nil"/>
            </w:tcBorders>
            <w:shd w:val="clear" w:color="auto" w:fill="auto"/>
            <w:noWrap/>
            <w:vAlign w:val="bottom"/>
            <w:hideMark/>
          </w:tcPr>
          <w:p w14:paraId="3A8757FC"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p>
        </w:tc>
        <w:tc>
          <w:tcPr>
            <w:tcW w:w="425" w:type="pct"/>
            <w:tcBorders>
              <w:top w:val="nil"/>
              <w:left w:val="nil"/>
              <w:bottom w:val="nil"/>
              <w:right w:val="nil"/>
            </w:tcBorders>
            <w:shd w:val="clear" w:color="auto" w:fill="auto"/>
            <w:noWrap/>
            <w:vAlign w:val="bottom"/>
            <w:hideMark/>
          </w:tcPr>
          <w:p w14:paraId="75472A5F"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65" w:type="pct"/>
            <w:tcBorders>
              <w:top w:val="nil"/>
              <w:left w:val="nil"/>
              <w:bottom w:val="nil"/>
              <w:right w:val="nil"/>
            </w:tcBorders>
            <w:shd w:val="clear" w:color="auto" w:fill="auto"/>
            <w:noWrap/>
            <w:vAlign w:val="bottom"/>
            <w:hideMark/>
          </w:tcPr>
          <w:p w14:paraId="463177D2"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25" w:type="pct"/>
            <w:tcBorders>
              <w:top w:val="nil"/>
              <w:left w:val="nil"/>
              <w:bottom w:val="nil"/>
              <w:right w:val="nil"/>
            </w:tcBorders>
            <w:shd w:val="clear" w:color="auto" w:fill="auto"/>
            <w:noWrap/>
            <w:vAlign w:val="bottom"/>
            <w:hideMark/>
          </w:tcPr>
          <w:p w14:paraId="72CE901F"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534" w:type="pct"/>
            <w:tcBorders>
              <w:top w:val="nil"/>
              <w:left w:val="nil"/>
              <w:bottom w:val="nil"/>
              <w:right w:val="nil"/>
            </w:tcBorders>
            <w:shd w:val="clear" w:color="auto" w:fill="auto"/>
            <w:noWrap/>
            <w:vAlign w:val="bottom"/>
            <w:hideMark/>
          </w:tcPr>
          <w:p w14:paraId="797BF77C"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32" w:type="pct"/>
            <w:tcBorders>
              <w:top w:val="nil"/>
              <w:left w:val="nil"/>
              <w:bottom w:val="nil"/>
              <w:right w:val="nil"/>
            </w:tcBorders>
            <w:shd w:val="clear" w:color="auto" w:fill="auto"/>
            <w:noWrap/>
            <w:vAlign w:val="bottom"/>
            <w:hideMark/>
          </w:tcPr>
          <w:p w14:paraId="23D24490"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25" w:type="pct"/>
            <w:tcBorders>
              <w:top w:val="nil"/>
              <w:left w:val="nil"/>
              <w:bottom w:val="nil"/>
              <w:right w:val="nil"/>
            </w:tcBorders>
            <w:shd w:val="clear" w:color="auto" w:fill="auto"/>
            <w:noWrap/>
            <w:vAlign w:val="bottom"/>
            <w:hideMark/>
          </w:tcPr>
          <w:p w14:paraId="549D0D2C"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r>
      <w:tr w:rsidR="00504B39" w:rsidRPr="00504B39" w14:paraId="111642AB" w14:textId="77777777" w:rsidTr="00504B39">
        <w:trPr>
          <w:trHeight w:val="300"/>
        </w:trPr>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6880571B"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0.66 (-0.61, 1.92)</w:t>
            </w:r>
          </w:p>
        </w:tc>
        <w:tc>
          <w:tcPr>
            <w:tcW w:w="465" w:type="pct"/>
            <w:tcBorders>
              <w:top w:val="nil"/>
              <w:left w:val="nil"/>
              <w:bottom w:val="single" w:sz="8" w:space="0" w:color="auto"/>
              <w:right w:val="single" w:sz="8" w:space="0" w:color="auto"/>
            </w:tcBorders>
            <w:shd w:val="clear" w:color="auto" w:fill="auto"/>
            <w:noWrap/>
            <w:vAlign w:val="center"/>
            <w:hideMark/>
          </w:tcPr>
          <w:p w14:paraId="1E9AA597"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-0.48 (-1.97, 0.98)</w:t>
            </w:r>
          </w:p>
        </w:tc>
        <w:tc>
          <w:tcPr>
            <w:tcW w:w="429" w:type="pct"/>
            <w:tcBorders>
              <w:top w:val="nil"/>
              <w:left w:val="nil"/>
              <w:bottom w:val="single" w:sz="8" w:space="0" w:color="auto"/>
              <w:right w:val="single" w:sz="8" w:space="0" w:color="auto"/>
            </w:tcBorders>
            <w:shd w:val="clear" w:color="auto" w:fill="auto"/>
            <w:noWrap/>
            <w:vAlign w:val="center"/>
            <w:hideMark/>
          </w:tcPr>
          <w:p w14:paraId="2DCF5238"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0.20 (-1.04, 1.46)</w:t>
            </w:r>
          </w:p>
        </w:tc>
        <w:tc>
          <w:tcPr>
            <w:tcW w:w="425" w:type="pct"/>
            <w:tcBorders>
              <w:top w:val="nil"/>
              <w:left w:val="nil"/>
              <w:bottom w:val="single" w:sz="8" w:space="0" w:color="auto"/>
              <w:right w:val="single" w:sz="8" w:space="0" w:color="auto"/>
            </w:tcBorders>
            <w:shd w:val="clear" w:color="auto" w:fill="auto"/>
            <w:noWrap/>
            <w:vAlign w:val="center"/>
            <w:hideMark/>
          </w:tcPr>
          <w:p w14:paraId="05920950"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-0.16 (-1.66, 1.37)</w:t>
            </w:r>
          </w:p>
        </w:tc>
        <w:tc>
          <w:tcPr>
            <w:tcW w:w="546" w:type="pct"/>
            <w:tcBorders>
              <w:top w:val="single" w:sz="8" w:space="0" w:color="auto"/>
              <w:left w:val="nil"/>
              <w:bottom w:val="single" w:sz="8" w:space="0" w:color="auto"/>
              <w:right w:val="single" w:sz="8" w:space="0" w:color="auto"/>
            </w:tcBorders>
            <w:shd w:val="clear" w:color="000000" w:fill="F8CBAD"/>
            <w:noWrap/>
            <w:vAlign w:val="center"/>
            <w:hideMark/>
          </w:tcPr>
          <w:p w14:paraId="4E7BE2CE" w14:textId="370DB0D4"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Galcanezumab</w:t>
            </w:r>
            <w:r w:rsidR="004C22A2">
              <w:rPr>
                <w:rFonts w:ascii="Calibri" w:eastAsia="Times New Roman" w:hAnsi="Calibri" w:cs="Calibri"/>
                <w:color w:val="000000"/>
                <w:sz w:val="18"/>
                <w:szCs w:val="18"/>
                <w:lang w:eastAsia="en-GB"/>
              </w:rPr>
              <w:t xml:space="preserve"> </w:t>
            </w:r>
            <w:r w:rsidRPr="00504B39">
              <w:rPr>
                <w:rFonts w:ascii="Calibri" w:eastAsia="Times New Roman" w:hAnsi="Calibri" w:cs="Calibri"/>
                <w:color w:val="000000"/>
                <w:sz w:val="18"/>
                <w:szCs w:val="18"/>
                <w:lang w:eastAsia="en-GB"/>
              </w:rPr>
              <w:t>120mg</w:t>
            </w:r>
          </w:p>
        </w:tc>
        <w:tc>
          <w:tcPr>
            <w:tcW w:w="425" w:type="pct"/>
            <w:tcBorders>
              <w:top w:val="nil"/>
              <w:left w:val="nil"/>
              <w:bottom w:val="nil"/>
              <w:right w:val="nil"/>
            </w:tcBorders>
            <w:shd w:val="clear" w:color="auto" w:fill="auto"/>
            <w:noWrap/>
            <w:vAlign w:val="bottom"/>
            <w:hideMark/>
          </w:tcPr>
          <w:p w14:paraId="01B8E124"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p>
        </w:tc>
        <w:tc>
          <w:tcPr>
            <w:tcW w:w="465" w:type="pct"/>
            <w:tcBorders>
              <w:top w:val="nil"/>
              <w:left w:val="nil"/>
              <w:bottom w:val="nil"/>
              <w:right w:val="nil"/>
            </w:tcBorders>
            <w:shd w:val="clear" w:color="auto" w:fill="auto"/>
            <w:noWrap/>
            <w:vAlign w:val="bottom"/>
            <w:hideMark/>
          </w:tcPr>
          <w:p w14:paraId="2CA1CF90"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25" w:type="pct"/>
            <w:tcBorders>
              <w:top w:val="nil"/>
              <w:left w:val="nil"/>
              <w:bottom w:val="nil"/>
              <w:right w:val="nil"/>
            </w:tcBorders>
            <w:shd w:val="clear" w:color="auto" w:fill="auto"/>
            <w:noWrap/>
            <w:vAlign w:val="bottom"/>
            <w:hideMark/>
          </w:tcPr>
          <w:p w14:paraId="56A4849B"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534" w:type="pct"/>
            <w:tcBorders>
              <w:top w:val="nil"/>
              <w:left w:val="nil"/>
              <w:bottom w:val="nil"/>
              <w:right w:val="nil"/>
            </w:tcBorders>
            <w:shd w:val="clear" w:color="auto" w:fill="auto"/>
            <w:noWrap/>
            <w:vAlign w:val="bottom"/>
            <w:hideMark/>
          </w:tcPr>
          <w:p w14:paraId="00800F1F"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32" w:type="pct"/>
            <w:tcBorders>
              <w:top w:val="nil"/>
              <w:left w:val="nil"/>
              <w:bottom w:val="nil"/>
              <w:right w:val="nil"/>
            </w:tcBorders>
            <w:shd w:val="clear" w:color="auto" w:fill="auto"/>
            <w:noWrap/>
            <w:vAlign w:val="bottom"/>
            <w:hideMark/>
          </w:tcPr>
          <w:p w14:paraId="4BD0BF73"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25" w:type="pct"/>
            <w:tcBorders>
              <w:top w:val="nil"/>
              <w:left w:val="nil"/>
              <w:bottom w:val="nil"/>
              <w:right w:val="nil"/>
            </w:tcBorders>
            <w:shd w:val="clear" w:color="auto" w:fill="auto"/>
            <w:noWrap/>
            <w:vAlign w:val="bottom"/>
            <w:hideMark/>
          </w:tcPr>
          <w:p w14:paraId="224D788B"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r>
      <w:tr w:rsidR="00504B39" w:rsidRPr="00504B39" w14:paraId="6C861A46" w14:textId="77777777" w:rsidTr="00504B39">
        <w:trPr>
          <w:trHeight w:val="300"/>
        </w:trPr>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1E084941"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0.65 (-0.40, 1.68)</w:t>
            </w:r>
          </w:p>
        </w:tc>
        <w:tc>
          <w:tcPr>
            <w:tcW w:w="465" w:type="pct"/>
            <w:tcBorders>
              <w:top w:val="nil"/>
              <w:left w:val="nil"/>
              <w:bottom w:val="single" w:sz="8" w:space="0" w:color="auto"/>
              <w:right w:val="single" w:sz="8" w:space="0" w:color="auto"/>
            </w:tcBorders>
            <w:shd w:val="clear" w:color="auto" w:fill="auto"/>
            <w:noWrap/>
            <w:vAlign w:val="center"/>
            <w:hideMark/>
          </w:tcPr>
          <w:p w14:paraId="3EEEFFC1"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-0.48 (-1.78, 0.85)</w:t>
            </w:r>
          </w:p>
        </w:tc>
        <w:tc>
          <w:tcPr>
            <w:tcW w:w="429" w:type="pct"/>
            <w:tcBorders>
              <w:top w:val="nil"/>
              <w:left w:val="nil"/>
              <w:bottom w:val="single" w:sz="8" w:space="0" w:color="auto"/>
              <w:right w:val="single" w:sz="8" w:space="0" w:color="auto"/>
            </w:tcBorders>
            <w:shd w:val="clear" w:color="auto" w:fill="auto"/>
            <w:noWrap/>
            <w:vAlign w:val="center"/>
            <w:hideMark/>
          </w:tcPr>
          <w:p w14:paraId="71D67157"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0.19 (-0.89, 1.28)</w:t>
            </w:r>
          </w:p>
        </w:tc>
        <w:tc>
          <w:tcPr>
            <w:tcW w:w="425" w:type="pct"/>
            <w:tcBorders>
              <w:top w:val="nil"/>
              <w:left w:val="nil"/>
              <w:bottom w:val="single" w:sz="8" w:space="0" w:color="auto"/>
              <w:right w:val="single" w:sz="8" w:space="0" w:color="auto"/>
            </w:tcBorders>
            <w:shd w:val="clear" w:color="auto" w:fill="auto"/>
            <w:noWrap/>
            <w:vAlign w:val="center"/>
            <w:hideMark/>
          </w:tcPr>
          <w:p w14:paraId="4AC71BD4"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-0.16 (-1.25, 0.89)</w:t>
            </w:r>
          </w:p>
        </w:tc>
        <w:tc>
          <w:tcPr>
            <w:tcW w:w="546" w:type="pct"/>
            <w:tcBorders>
              <w:top w:val="nil"/>
              <w:left w:val="nil"/>
              <w:bottom w:val="single" w:sz="8" w:space="0" w:color="auto"/>
              <w:right w:val="single" w:sz="8" w:space="0" w:color="auto"/>
            </w:tcBorders>
            <w:shd w:val="clear" w:color="auto" w:fill="auto"/>
            <w:noWrap/>
            <w:vAlign w:val="center"/>
            <w:hideMark/>
          </w:tcPr>
          <w:p w14:paraId="53836C5B"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 (-1.41, 1.38)</w:t>
            </w:r>
          </w:p>
        </w:tc>
        <w:tc>
          <w:tcPr>
            <w:tcW w:w="425" w:type="pct"/>
            <w:tcBorders>
              <w:top w:val="single" w:sz="8" w:space="0" w:color="auto"/>
              <w:left w:val="nil"/>
              <w:bottom w:val="single" w:sz="8" w:space="0" w:color="auto"/>
              <w:right w:val="single" w:sz="8" w:space="0" w:color="auto"/>
            </w:tcBorders>
            <w:shd w:val="clear" w:color="000000" w:fill="F8CBAD"/>
            <w:noWrap/>
            <w:vAlign w:val="center"/>
            <w:hideMark/>
          </w:tcPr>
          <w:p w14:paraId="73E0BED0"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Erenumab 70mg</w:t>
            </w:r>
          </w:p>
        </w:tc>
        <w:tc>
          <w:tcPr>
            <w:tcW w:w="465" w:type="pct"/>
            <w:tcBorders>
              <w:top w:val="nil"/>
              <w:left w:val="nil"/>
              <w:bottom w:val="nil"/>
              <w:right w:val="nil"/>
            </w:tcBorders>
            <w:shd w:val="clear" w:color="auto" w:fill="auto"/>
            <w:noWrap/>
            <w:vAlign w:val="bottom"/>
            <w:hideMark/>
          </w:tcPr>
          <w:p w14:paraId="10053703"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p>
        </w:tc>
        <w:tc>
          <w:tcPr>
            <w:tcW w:w="425" w:type="pct"/>
            <w:tcBorders>
              <w:top w:val="nil"/>
              <w:left w:val="nil"/>
              <w:bottom w:val="nil"/>
              <w:right w:val="nil"/>
            </w:tcBorders>
            <w:shd w:val="clear" w:color="auto" w:fill="auto"/>
            <w:noWrap/>
            <w:vAlign w:val="bottom"/>
            <w:hideMark/>
          </w:tcPr>
          <w:p w14:paraId="331C34E6"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534" w:type="pct"/>
            <w:tcBorders>
              <w:top w:val="nil"/>
              <w:left w:val="nil"/>
              <w:bottom w:val="nil"/>
              <w:right w:val="nil"/>
            </w:tcBorders>
            <w:shd w:val="clear" w:color="auto" w:fill="auto"/>
            <w:noWrap/>
            <w:vAlign w:val="bottom"/>
            <w:hideMark/>
          </w:tcPr>
          <w:p w14:paraId="5C2627FB"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32" w:type="pct"/>
            <w:tcBorders>
              <w:top w:val="nil"/>
              <w:left w:val="nil"/>
              <w:bottom w:val="nil"/>
              <w:right w:val="nil"/>
            </w:tcBorders>
            <w:shd w:val="clear" w:color="auto" w:fill="auto"/>
            <w:noWrap/>
            <w:vAlign w:val="bottom"/>
            <w:hideMark/>
          </w:tcPr>
          <w:p w14:paraId="3ED8AC83"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25" w:type="pct"/>
            <w:tcBorders>
              <w:top w:val="nil"/>
              <w:left w:val="nil"/>
              <w:bottom w:val="nil"/>
              <w:right w:val="nil"/>
            </w:tcBorders>
            <w:shd w:val="clear" w:color="auto" w:fill="auto"/>
            <w:noWrap/>
            <w:vAlign w:val="bottom"/>
            <w:hideMark/>
          </w:tcPr>
          <w:p w14:paraId="195EFFC0"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r>
      <w:tr w:rsidR="00504B39" w:rsidRPr="00504B39" w14:paraId="5FEFCDE0" w14:textId="77777777" w:rsidTr="00504B39">
        <w:trPr>
          <w:trHeight w:val="300"/>
        </w:trPr>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6FAAF21A"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0.68 (-0.45, 1.79)</w:t>
            </w:r>
          </w:p>
        </w:tc>
        <w:tc>
          <w:tcPr>
            <w:tcW w:w="465" w:type="pct"/>
            <w:tcBorders>
              <w:top w:val="nil"/>
              <w:left w:val="nil"/>
              <w:bottom w:val="single" w:sz="8" w:space="0" w:color="auto"/>
              <w:right w:val="single" w:sz="8" w:space="0" w:color="auto"/>
            </w:tcBorders>
            <w:shd w:val="clear" w:color="auto" w:fill="auto"/>
            <w:noWrap/>
            <w:vAlign w:val="center"/>
            <w:hideMark/>
          </w:tcPr>
          <w:p w14:paraId="0C16C742"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-0.51 (-1.49, 0.47)</w:t>
            </w:r>
          </w:p>
        </w:tc>
        <w:tc>
          <w:tcPr>
            <w:tcW w:w="429" w:type="pct"/>
            <w:tcBorders>
              <w:top w:val="nil"/>
              <w:left w:val="nil"/>
              <w:bottom w:val="single" w:sz="8" w:space="0" w:color="auto"/>
              <w:right w:val="single" w:sz="8" w:space="0" w:color="auto"/>
            </w:tcBorders>
            <w:shd w:val="clear" w:color="auto" w:fill="auto"/>
            <w:noWrap/>
            <w:vAlign w:val="center"/>
            <w:hideMark/>
          </w:tcPr>
          <w:p w14:paraId="60E6F389"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0.22 (-0.88, 1.37)</w:t>
            </w:r>
          </w:p>
        </w:tc>
        <w:tc>
          <w:tcPr>
            <w:tcW w:w="425" w:type="pct"/>
            <w:tcBorders>
              <w:top w:val="nil"/>
              <w:left w:val="nil"/>
              <w:bottom w:val="single" w:sz="8" w:space="0" w:color="auto"/>
              <w:right w:val="single" w:sz="8" w:space="0" w:color="auto"/>
            </w:tcBorders>
            <w:shd w:val="clear" w:color="auto" w:fill="auto"/>
            <w:noWrap/>
            <w:vAlign w:val="center"/>
            <w:hideMark/>
          </w:tcPr>
          <w:p w14:paraId="1719B054"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0.18 (-1.19, 1.53)</w:t>
            </w:r>
          </w:p>
        </w:tc>
        <w:tc>
          <w:tcPr>
            <w:tcW w:w="546" w:type="pct"/>
            <w:tcBorders>
              <w:top w:val="nil"/>
              <w:left w:val="nil"/>
              <w:bottom w:val="single" w:sz="8" w:space="0" w:color="auto"/>
              <w:right w:val="single" w:sz="8" w:space="0" w:color="auto"/>
            </w:tcBorders>
            <w:shd w:val="clear" w:color="auto" w:fill="auto"/>
            <w:noWrap/>
            <w:vAlign w:val="center"/>
            <w:hideMark/>
          </w:tcPr>
          <w:p w14:paraId="4F8E4D06"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0.02 (-1.40, 1.47)</w:t>
            </w:r>
          </w:p>
        </w:tc>
        <w:tc>
          <w:tcPr>
            <w:tcW w:w="425" w:type="pct"/>
            <w:tcBorders>
              <w:top w:val="nil"/>
              <w:left w:val="nil"/>
              <w:bottom w:val="single" w:sz="8" w:space="0" w:color="auto"/>
              <w:right w:val="single" w:sz="8" w:space="0" w:color="auto"/>
            </w:tcBorders>
            <w:shd w:val="clear" w:color="auto" w:fill="auto"/>
            <w:noWrap/>
            <w:vAlign w:val="center"/>
            <w:hideMark/>
          </w:tcPr>
          <w:p w14:paraId="212DB619"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0.03 (-1.23, 1.30)</w:t>
            </w:r>
          </w:p>
        </w:tc>
        <w:tc>
          <w:tcPr>
            <w:tcW w:w="465" w:type="pct"/>
            <w:tcBorders>
              <w:top w:val="single" w:sz="8" w:space="0" w:color="auto"/>
              <w:left w:val="nil"/>
              <w:bottom w:val="single" w:sz="8" w:space="0" w:color="auto"/>
              <w:right w:val="single" w:sz="8" w:space="0" w:color="auto"/>
            </w:tcBorders>
            <w:shd w:val="clear" w:color="000000" w:fill="F8CBAD"/>
            <w:noWrap/>
            <w:vAlign w:val="center"/>
            <w:hideMark/>
          </w:tcPr>
          <w:p w14:paraId="71AFAB87"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Eptinezumab 100mg</w:t>
            </w:r>
          </w:p>
        </w:tc>
        <w:tc>
          <w:tcPr>
            <w:tcW w:w="425" w:type="pct"/>
            <w:tcBorders>
              <w:top w:val="nil"/>
              <w:left w:val="nil"/>
              <w:bottom w:val="nil"/>
              <w:right w:val="nil"/>
            </w:tcBorders>
            <w:shd w:val="clear" w:color="auto" w:fill="auto"/>
            <w:noWrap/>
            <w:vAlign w:val="bottom"/>
            <w:hideMark/>
          </w:tcPr>
          <w:p w14:paraId="7B54610F"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p>
        </w:tc>
        <w:tc>
          <w:tcPr>
            <w:tcW w:w="534" w:type="pct"/>
            <w:tcBorders>
              <w:top w:val="nil"/>
              <w:left w:val="nil"/>
              <w:bottom w:val="nil"/>
              <w:right w:val="nil"/>
            </w:tcBorders>
            <w:shd w:val="clear" w:color="auto" w:fill="auto"/>
            <w:noWrap/>
            <w:vAlign w:val="bottom"/>
            <w:hideMark/>
          </w:tcPr>
          <w:p w14:paraId="6F1C88F0"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32" w:type="pct"/>
            <w:tcBorders>
              <w:top w:val="nil"/>
              <w:left w:val="nil"/>
              <w:bottom w:val="nil"/>
              <w:right w:val="nil"/>
            </w:tcBorders>
            <w:shd w:val="clear" w:color="auto" w:fill="auto"/>
            <w:noWrap/>
            <w:vAlign w:val="bottom"/>
            <w:hideMark/>
          </w:tcPr>
          <w:p w14:paraId="34BE4F35"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25" w:type="pct"/>
            <w:tcBorders>
              <w:top w:val="nil"/>
              <w:left w:val="nil"/>
              <w:bottom w:val="nil"/>
              <w:right w:val="nil"/>
            </w:tcBorders>
            <w:shd w:val="clear" w:color="auto" w:fill="auto"/>
            <w:noWrap/>
            <w:vAlign w:val="bottom"/>
            <w:hideMark/>
          </w:tcPr>
          <w:p w14:paraId="03F16D03"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r>
      <w:tr w:rsidR="00504B39" w:rsidRPr="00504B39" w14:paraId="7E2D186B" w14:textId="77777777" w:rsidTr="00504B39">
        <w:trPr>
          <w:trHeight w:val="300"/>
        </w:trPr>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0DB9F6A6"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0.80 (-0.14, 1.75)</w:t>
            </w:r>
          </w:p>
        </w:tc>
        <w:tc>
          <w:tcPr>
            <w:tcW w:w="465" w:type="pct"/>
            <w:tcBorders>
              <w:top w:val="nil"/>
              <w:left w:val="nil"/>
              <w:bottom w:val="single" w:sz="8" w:space="0" w:color="auto"/>
              <w:right w:val="single" w:sz="8" w:space="0" w:color="auto"/>
            </w:tcBorders>
            <w:shd w:val="clear" w:color="auto" w:fill="auto"/>
            <w:noWrap/>
            <w:vAlign w:val="center"/>
            <w:hideMark/>
          </w:tcPr>
          <w:p w14:paraId="323803D7"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0.63 (-0.57, 1.85)</w:t>
            </w:r>
          </w:p>
        </w:tc>
        <w:tc>
          <w:tcPr>
            <w:tcW w:w="429" w:type="pct"/>
            <w:tcBorders>
              <w:top w:val="nil"/>
              <w:left w:val="nil"/>
              <w:bottom w:val="nil"/>
              <w:right w:val="single" w:sz="8" w:space="0" w:color="auto"/>
            </w:tcBorders>
            <w:shd w:val="clear" w:color="auto" w:fill="auto"/>
            <w:noWrap/>
            <w:vAlign w:val="center"/>
            <w:hideMark/>
          </w:tcPr>
          <w:p w14:paraId="29F8182A"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0.34 (-0.59, 1.27)</w:t>
            </w:r>
          </w:p>
        </w:tc>
        <w:tc>
          <w:tcPr>
            <w:tcW w:w="425" w:type="pct"/>
            <w:tcBorders>
              <w:top w:val="nil"/>
              <w:left w:val="nil"/>
              <w:bottom w:val="single" w:sz="8" w:space="0" w:color="auto"/>
              <w:right w:val="single" w:sz="8" w:space="0" w:color="auto"/>
            </w:tcBorders>
            <w:shd w:val="clear" w:color="auto" w:fill="auto"/>
            <w:noWrap/>
            <w:vAlign w:val="center"/>
            <w:hideMark/>
          </w:tcPr>
          <w:p w14:paraId="2DC3BA8E"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0.30 (-0.99, 1.60)</w:t>
            </w:r>
          </w:p>
        </w:tc>
        <w:tc>
          <w:tcPr>
            <w:tcW w:w="546" w:type="pct"/>
            <w:tcBorders>
              <w:top w:val="nil"/>
              <w:left w:val="nil"/>
              <w:bottom w:val="single" w:sz="8" w:space="0" w:color="auto"/>
              <w:right w:val="single" w:sz="8" w:space="0" w:color="auto"/>
            </w:tcBorders>
            <w:shd w:val="clear" w:color="auto" w:fill="auto"/>
            <w:noWrap/>
            <w:vAlign w:val="center"/>
            <w:hideMark/>
          </w:tcPr>
          <w:p w14:paraId="48D8B55F"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0.14 (-1.21, 1.50)</w:t>
            </w:r>
          </w:p>
        </w:tc>
        <w:tc>
          <w:tcPr>
            <w:tcW w:w="425" w:type="pct"/>
            <w:tcBorders>
              <w:top w:val="nil"/>
              <w:left w:val="nil"/>
              <w:bottom w:val="single" w:sz="8" w:space="0" w:color="auto"/>
              <w:right w:val="single" w:sz="8" w:space="0" w:color="auto"/>
            </w:tcBorders>
            <w:shd w:val="clear" w:color="auto" w:fill="auto"/>
            <w:noWrap/>
            <w:vAlign w:val="center"/>
            <w:hideMark/>
          </w:tcPr>
          <w:p w14:paraId="3CB2EAE8"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0.15 (-0.96, 1.25)</w:t>
            </w:r>
          </w:p>
        </w:tc>
        <w:tc>
          <w:tcPr>
            <w:tcW w:w="465" w:type="pct"/>
            <w:tcBorders>
              <w:top w:val="nil"/>
              <w:left w:val="nil"/>
              <w:bottom w:val="single" w:sz="8" w:space="0" w:color="auto"/>
              <w:right w:val="single" w:sz="8" w:space="0" w:color="auto"/>
            </w:tcBorders>
            <w:shd w:val="clear" w:color="auto" w:fill="auto"/>
            <w:noWrap/>
            <w:vAlign w:val="center"/>
            <w:hideMark/>
          </w:tcPr>
          <w:p w14:paraId="36EAA79D"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0.12 (-1.06, 1.28)</w:t>
            </w:r>
          </w:p>
        </w:tc>
        <w:tc>
          <w:tcPr>
            <w:tcW w:w="425" w:type="pct"/>
            <w:tcBorders>
              <w:top w:val="single" w:sz="8" w:space="0" w:color="auto"/>
              <w:left w:val="nil"/>
              <w:bottom w:val="single" w:sz="8" w:space="0" w:color="auto"/>
              <w:right w:val="single" w:sz="8" w:space="0" w:color="auto"/>
            </w:tcBorders>
            <w:shd w:val="clear" w:color="000000" w:fill="F8CBAD"/>
            <w:noWrap/>
            <w:vAlign w:val="center"/>
            <w:hideMark/>
          </w:tcPr>
          <w:p w14:paraId="632D0A00"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BTA</w:t>
            </w:r>
          </w:p>
        </w:tc>
        <w:tc>
          <w:tcPr>
            <w:tcW w:w="534" w:type="pct"/>
            <w:tcBorders>
              <w:top w:val="nil"/>
              <w:left w:val="nil"/>
              <w:bottom w:val="nil"/>
              <w:right w:val="nil"/>
            </w:tcBorders>
            <w:shd w:val="clear" w:color="auto" w:fill="auto"/>
            <w:noWrap/>
            <w:vAlign w:val="bottom"/>
            <w:hideMark/>
          </w:tcPr>
          <w:p w14:paraId="51E58547"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p>
        </w:tc>
        <w:tc>
          <w:tcPr>
            <w:tcW w:w="432" w:type="pct"/>
            <w:tcBorders>
              <w:top w:val="nil"/>
              <w:left w:val="nil"/>
              <w:bottom w:val="nil"/>
              <w:right w:val="nil"/>
            </w:tcBorders>
            <w:shd w:val="clear" w:color="auto" w:fill="auto"/>
            <w:noWrap/>
            <w:vAlign w:val="bottom"/>
            <w:hideMark/>
          </w:tcPr>
          <w:p w14:paraId="6D36E87B"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c>
          <w:tcPr>
            <w:tcW w:w="425" w:type="pct"/>
            <w:tcBorders>
              <w:top w:val="nil"/>
              <w:left w:val="nil"/>
              <w:bottom w:val="nil"/>
              <w:right w:val="nil"/>
            </w:tcBorders>
            <w:shd w:val="clear" w:color="auto" w:fill="auto"/>
            <w:noWrap/>
            <w:vAlign w:val="bottom"/>
            <w:hideMark/>
          </w:tcPr>
          <w:p w14:paraId="6E81A1E7"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r>
      <w:tr w:rsidR="00504B39" w:rsidRPr="00504B39" w14:paraId="73190FFC" w14:textId="77777777" w:rsidTr="00504B39">
        <w:trPr>
          <w:trHeight w:val="300"/>
        </w:trPr>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230ECAAB"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0.86 (-0.37, 2.07)</w:t>
            </w:r>
          </w:p>
        </w:tc>
        <w:tc>
          <w:tcPr>
            <w:tcW w:w="465" w:type="pct"/>
            <w:tcBorders>
              <w:top w:val="nil"/>
              <w:left w:val="nil"/>
              <w:bottom w:val="single" w:sz="8" w:space="0" w:color="auto"/>
              <w:right w:val="single" w:sz="8" w:space="0" w:color="auto"/>
            </w:tcBorders>
            <w:shd w:val="clear" w:color="auto" w:fill="auto"/>
            <w:noWrap/>
            <w:vAlign w:val="center"/>
            <w:hideMark/>
          </w:tcPr>
          <w:p w14:paraId="0981B719"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-0.69 (-2.17, 0.76)</w:t>
            </w:r>
          </w:p>
        </w:tc>
        <w:tc>
          <w:tcPr>
            <w:tcW w:w="429" w:type="pct"/>
            <w:tcBorders>
              <w:top w:val="nil"/>
              <w:left w:val="nil"/>
              <w:bottom w:val="single" w:sz="8" w:space="0" w:color="auto"/>
              <w:right w:val="single" w:sz="8" w:space="0" w:color="auto"/>
            </w:tcBorders>
            <w:shd w:val="clear" w:color="auto" w:fill="auto"/>
            <w:noWrap/>
            <w:vAlign w:val="center"/>
            <w:hideMark/>
          </w:tcPr>
          <w:p w14:paraId="5059FDAB"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0.40 (-0.87, 1.64)</w:t>
            </w:r>
          </w:p>
        </w:tc>
        <w:tc>
          <w:tcPr>
            <w:tcW w:w="425" w:type="pct"/>
            <w:tcBorders>
              <w:top w:val="nil"/>
              <w:left w:val="nil"/>
              <w:bottom w:val="single" w:sz="8" w:space="0" w:color="auto"/>
              <w:right w:val="single" w:sz="8" w:space="0" w:color="auto"/>
            </w:tcBorders>
            <w:shd w:val="clear" w:color="auto" w:fill="auto"/>
            <w:noWrap/>
            <w:vAlign w:val="center"/>
            <w:hideMark/>
          </w:tcPr>
          <w:p w14:paraId="27655CD1"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-0.36 (-1.94, 1.13)</w:t>
            </w:r>
          </w:p>
        </w:tc>
        <w:tc>
          <w:tcPr>
            <w:tcW w:w="546" w:type="pct"/>
            <w:tcBorders>
              <w:top w:val="nil"/>
              <w:left w:val="nil"/>
              <w:bottom w:val="single" w:sz="8" w:space="0" w:color="auto"/>
              <w:right w:val="single" w:sz="8" w:space="0" w:color="auto"/>
            </w:tcBorders>
            <w:shd w:val="clear" w:color="auto" w:fill="auto"/>
            <w:noWrap/>
            <w:vAlign w:val="center"/>
            <w:hideMark/>
          </w:tcPr>
          <w:p w14:paraId="76A693A4"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0.20 (-0.83, 1.27)</w:t>
            </w:r>
          </w:p>
        </w:tc>
        <w:tc>
          <w:tcPr>
            <w:tcW w:w="425" w:type="pct"/>
            <w:tcBorders>
              <w:top w:val="nil"/>
              <w:left w:val="nil"/>
              <w:bottom w:val="single" w:sz="8" w:space="0" w:color="auto"/>
              <w:right w:val="single" w:sz="8" w:space="0" w:color="auto"/>
            </w:tcBorders>
            <w:shd w:val="clear" w:color="auto" w:fill="auto"/>
            <w:noWrap/>
            <w:vAlign w:val="center"/>
            <w:hideMark/>
          </w:tcPr>
          <w:p w14:paraId="6F7AF2FC"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-0.20 (-1.62, 1.17)</w:t>
            </w:r>
          </w:p>
        </w:tc>
        <w:tc>
          <w:tcPr>
            <w:tcW w:w="465" w:type="pct"/>
            <w:tcBorders>
              <w:top w:val="nil"/>
              <w:left w:val="nil"/>
              <w:bottom w:val="single" w:sz="8" w:space="0" w:color="auto"/>
              <w:right w:val="single" w:sz="8" w:space="0" w:color="auto"/>
            </w:tcBorders>
            <w:shd w:val="clear" w:color="auto" w:fill="auto"/>
            <w:noWrap/>
            <w:vAlign w:val="center"/>
            <w:hideMark/>
          </w:tcPr>
          <w:p w14:paraId="5AC8A9DA"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-0.18 (-1.61, 1.23)</w:t>
            </w:r>
          </w:p>
        </w:tc>
        <w:tc>
          <w:tcPr>
            <w:tcW w:w="425" w:type="pct"/>
            <w:tcBorders>
              <w:top w:val="nil"/>
              <w:left w:val="nil"/>
              <w:bottom w:val="single" w:sz="8" w:space="0" w:color="auto"/>
              <w:right w:val="single" w:sz="8" w:space="0" w:color="auto"/>
            </w:tcBorders>
            <w:shd w:val="clear" w:color="auto" w:fill="auto"/>
            <w:noWrap/>
            <w:vAlign w:val="center"/>
            <w:hideMark/>
          </w:tcPr>
          <w:p w14:paraId="5F28F738"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-0.06 (-1.37, 1.26)</w:t>
            </w:r>
          </w:p>
        </w:tc>
        <w:tc>
          <w:tcPr>
            <w:tcW w:w="534" w:type="pct"/>
            <w:tcBorders>
              <w:top w:val="single" w:sz="8" w:space="0" w:color="auto"/>
              <w:left w:val="nil"/>
              <w:bottom w:val="single" w:sz="8" w:space="0" w:color="auto"/>
              <w:right w:val="single" w:sz="8" w:space="0" w:color="auto"/>
            </w:tcBorders>
            <w:shd w:val="clear" w:color="000000" w:fill="F8CBAD"/>
            <w:noWrap/>
            <w:vAlign w:val="center"/>
            <w:hideMark/>
          </w:tcPr>
          <w:p w14:paraId="41A1162E" w14:textId="6225DC64"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Galcanezumab</w:t>
            </w:r>
            <w:r w:rsidR="004C22A2">
              <w:rPr>
                <w:rFonts w:ascii="Calibri" w:eastAsia="Times New Roman" w:hAnsi="Calibri" w:cs="Calibri"/>
                <w:color w:val="000000"/>
                <w:sz w:val="18"/>
                <w:szCs w:val="18"/>
                <w:lang w:eastAsia="en-GB"/>
              </w:rPr>
              <w:t xml:space="preserve"> </w:t>
            </w:r>
            <w:r w:rsidRPr="00504B39">
              <w:rPr>
                <w:rFonts w:ascii="Calibri" w:eastAsia="Times New Roman" w:hAnsi="Calibri" w:cs="Calibri"/>
                <w:color w:val="000000"/>
                <w:sz w:val="18"/>
                <w:szCs w:val="18"/>
                <w:lang w:eastAsia="en-GB"/>
              </w:rPr>
              <w:t>240mg</w:t>
            </w:r>
          </w:p>
        </w:tc>
        <w:tc>
          <w:tcPr>
            <w:tcW w:w="432" w:type="pct"/>
            <w:tcBorders>
              <w:top w:val="nil"/>
              <w:left w:val="nil"/>
              <w:bottom w:val="nil"/>
              <w:right w:val="nil"/>
            </w:tcBorders>
            <w:shd w:val="clear" w:color="auto" w:fill="auto"/>
            <w:noWrap/>
            <w:vAlign w:val="bottom"/>
            <w:hideMark/>
          </w:tcPr>
          <w:p w14:paraId="5BDCBFB2"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p>
        </w:tc>
        <w:tc>
          <w:tcPr>
            <w:tcW w:w="425" w:type="pct"/>
            <w:tcBorders>
              <w:top w:val="nil"/>
              <w:left w:val="nil"/>
              <w:bottom w:val="nil"/>
              <w:right w:val="nil"/>
            </w:tcBorders>
            <w:shd w:val="clear" w:color="auto" w:fill="auto"/>
            <w:noWrap/>
            <w:vAlign w:val="bottom"/>
            <w:hideMark/>
          </w:tcPr>
          <w:p w14:paraId="3EB2F977" w14:textId="77777777" w:rsidR="00504B39" w:rsidRPr="00504B39" w:rsidRDefault="00504B39" w:rsidP="00504B39">
            <w:pPr>
              <w:spacing w:after="0" w:line="240" w:lineRule="auto"/>
              <w:rPr>
                <w:rFonts w:ascii="Times New Roman" w:eastAsia="Times New Roman" w:hAnsi="Times New Roman" w:cs="Times New Roman"/>
                <w:sz w:val="20"/>
                <w:szCs w:val="20"/>
                <w:lang w:eastAsia="en-GB"/>
              </w:rPr>
            </w:pPr>
          </w:p>
        </w:tc>
      </w:tr>
      <w:tr w:rsidR="00504B39" w:rsidRPr="00504B39" w14:paraId="0E7737C5" w14:textId="77777777" w:rsidTr="00504B39">
        <w:trPr>
          <w:trHeight w:val="300"/>
        </w:trPr>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23873ADF"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1.27 (-0.19, 2.76)</w:t>
            </w:r>
          </w:p>
        </w:tc>
        <w:tc>
          <w:tcPr>
            <w:tcW w:w="465" w:type="pct"/>
            <w:tcBorders>
              <w:top w:val="nil"/>
              <w:left w:val="nil"/>
              <w:bottom w:val="single" w:sz="8" w:space="0" w:color="auto"/>
              <w:right w:val="single" w:sz="8" w:space="0" w:color="auto"/>
            </w:tcBorders>
            <w:shd w:val="clear" w:color="auto" w:fill="auto"/>
            <w:noWrap/>
            <w:vAlign w:val="center"/>
            <w:hideMark/>
          </w:tcPr>
          <w:p w14:paraId="15EA4E76"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-1.1 (-2.79, 0.52)</w:t>
            </w:r>
          </w:p>
        </w:tc>
        <w:tc>
          <w:tcPr>
            <w:tcW w:w="429" w:type="pct"/>
            <w:tcBorders>
              <w:top w:val="nil"/>
              <w:left w:val="nil"/>
              <w:bottom w:val="single" w:sz="8" w:space="0" w:color="auto"/>
              <w:right w:val="single" w:sz="8" w:space="0" w:color="auto"/>
            </w:tcBorders>
            <w:shd w:val="clear" w:color="auto" w:fill="auto"/>
            <w:noWrap/>
            <w:vAlign w:val="center"/>
            <w:hideMark/>
          </w:tcPr>
          <w:p w14:paraId="58D0C95A"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0.82 (-0.64, 2.35)</w:t>
            </w:r>
          </w:p>
        </w:tc>
        <w:tc>
          <w:tcPr>
            <w:tcW w:w="425" w:type="pct"/>
            <w:tcBorders>
              <w:top w:val="nil"/>
              <w:left w:val="nil"/>
              <w:bottom w:val="single" w:sz="8" w:space="0" w:color="auto"/>
              <w:right w:val="single" w:sz="8" w:space="0" w:color="auto"/>
            </w:tcBorders>
            <w:shd w:val="clear" w:color="auto" w:fill="auto"/>
            <w:noWrap/>
            <w:vAlign w:val="center"/>
            <w:hideMark/>
          </w:tcPr>
          <w:p w14:paraId="5CC95C48"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0.78 (-0.97, 2.48)</w:t>
            </w:r>
          </w:p>
        </w:tc>
        <w:tc>
          <w:tcPr>
            <w:tcW w:w="546" w:type="pct"/>
            <w:tcBorders>
              <w:top w:val="nil"/>
              <w:left w:val="nil"/>
              <w:bottom w:val="single" w:sz="8" w:space="0" w:color="auto"/>
              <w:right w:val="single" w:sz="8" w:space="0" w:color="auto"/>
            </w:tcBorders>
            <w:shd w:val="clear" w:color="auto" w:fill="auto"/>
            <w:noWrap/>
            <w:vAlign w:val="center"/>
            <w:hideMark/>
          </w:tcPr>
          <w:p w14:paraId="33E62726"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0.62 (-1.18, 2.39)</w:t>
            </w:r>
          </w:p>
        </w:tc>
        <w:tc>
          <w:tcPr>
            <w:tcW w:w="425" w:type="pct"/>
            <w:tcBorders>
              <w:top w:val="nil"/>
              <w:left w:val="nil"/>
              <w:bottom w:val="single" w:sz="8" w:space="0" w:color="auto"/>
              <w:right w:val="single" w:sz="8" w:space="0" w:color="auto"/>
            </w:tcBorders>
            <w:shd w:val="clear" w:color="auto" w:fill="auto"/>
            <w:noWrap/>
            <w:vAlign w:val="center"/>
            <w:hideMark/>
          </w:tcPr>
          <w:p w14:paraId="1F78B359"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0.62 (-0.91, 2.22)</w:t>
            </w:r>
          </w:p>
        </w:tc>
        <w:tc>
          <w:tcPr>
            <w:tcW w:w="465" w:type="pct"/>
            <w:tcBorders>
              <w:top w:val="nil"/>
              <w:left w:val="nil"/>
              <w:bottom w:val="single" w:sz="8" w:space="0" w:color="auto"/>
              <w:right w:val="single" w:sz="8" w:space="0" w:color="auto"/>
            </w:tcBorders>
            <w:shd w:val="clear" w:color="auto" w:fill="auto"/>
            <w:noWrap/>
            <w:vAlign w:val="center"/>
            <w:hideMark/>
          </w:tcPr>
          <w:p w14:paraId="74852F4D"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-0.06 (-2.22, 1.02)</w:t>
            </w:r>
          </w:p>
        </w:tc>
        <w:tc>
          <w:tcPr>
            <w:tcW w:w="425" w:type="pct"/>
            <w:tcBorders>
              <w:top w:val="nil"/>
              <w:left w:val="nil"/>
              <w:bottom w:val="single" w:sz="8" w:space="0" w:color="auto"/>
              <w:right w:val="single" w:sz="8" w:space="0" w:color="auto"/>
            </w:tcBorders>
            <w:shd w:val="clear" w:color="auto" w:fill="auto"/>
            <w:noWrap/>
            <w:vAlign w:val="center"/>
            <w:hideMark/>
          </w:tcPr>
          <w:p w14:paraId="3474923D"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-0.47 (-2.02, 1.04)</w:t>
            </w:r>
          </w:p>
        </w:tc>
        <w:tc>
          <w:tcPr>
            <w:tcW w:w="534" w:type="pct"/>
            <w:tcBorders>
              <w:top w:val="nil"/>
              <w:left w:val="nil"/>
              <w:bottom w:val="single" w:sz="8" w:space="0" w:color="auto"/>
              <w:right w:val="single" w:sz="8" w:space="0" w:color="auto"/>
            </w:tcBorders>
            <w:shd w:val="clear" w:color="auto" w:fill="auto"/>
            <w:noWrap/>
            <w:vAlign w:val="center"/>
            <w:hideMark/>
          </w:tcPr>
          <w:p w14:paraId="771AEBF9"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0.42 (-1.37, 2.22)</w:t>
            </w:r>
          </w:p>
        </w:tc>
        <w:tc>
          <w:tcPr>
            <w:tcW w:w="432" w:type="pct"/>
            <w:tcBorders>
              <w:top w:val="single" w:sz="8" w:space="0" w:color="auto"/>
              <w:left w:val="nil"/>
              <w:bottom w:val="single" w:sz="8" w:space="0" w:color="auto"/>
              <w:right w:val="single" w:sz="8" w:space="0" w:color="auto"/>
            </w:tcBorders>
            <w:shd w:val="clear" w:color="000000" w:fill="F8CBAD"/>
            <w:noWrap/>
            <w:vAlign w:val="center"/>
            <w:hideMark/>
          </w:tcPr>
          <w:p w14:paraId="5EDBAA0A"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Topiramate 100mg</w:t>
            </w:r>
          </w:p>
        </w:tc>
        <w:tc>
          <w:tcPr>
            <w:tcW w:w="425" w:type="pct"/>
            <w:tcBorders>
              <w:top w:val="nil"/>
              <w:left w:val="nil"/>
              <w:bottom w:val="nil"/>
              <w:right w:val="nil"/>
            </w:tcBorders>
            <w:shd w:val="clear" w:color="auto" w:fill="auto"/>
            <w:noWrap/>
            <w:vAlign w:val="bottom"/>
            <w:hideMark/>
          </w:tcPr>
          <w:p w14:paraId="2C1721C4"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p>
        </w:tc>
      </w:tr>
      <w:tr w:rsidR="00504B39" w:rsidRPr="00504B39" w14:paraId="7F05AC1E" w14:textId="77777777" w:rsidTr="00504B39">
        <w:trPr>
          <w:trHeight w:val="490"/>
        </w:trPr>
        <w:tc>
          <w:tcPr>
            <w:tcW w:w="429" w:type="pct"/>
            <w:tcBorders>
              <w:top w:val="nil"/>
              <w:left w:val="single" w:sz="8" w:space="0" w:color="auto"/>
              <w:bottom w:val="single" w:sz="8" w:space="0" w:color="auto"/>
              <w:right w:val="single" w:sz="8" w:space="0" w:color="auto"/>
            </w:tcBorders>
            <w:shd w:val="clear" w:color="auto" w:fill="auto"/>
            <w:vAlign w:val="center"/>
            <w:hideMark/>
          </w:tcPr>
          <w:p w14:paraId="0EA332B2" w14:textId="77777777" w:rsidR="00504B39" w:rsidRPr="00504B39" w:rsidRDefault="00504B39" w:rsidP="00504B39">
            <w:pPr>
              <w:spacing w:after="0" w:line="240" w:lineRule="auto"/>
              <w:rPr>
                <w:rFonts w:ascii="Calibri" w:eastAsia="Times New Roman" w:hAnsi="Calibri" w:cs="Calibri"/>
                <w:b/>
                <w:bCs/>
                <w:color w:val="000000"/>
                <w:sz w:val="18"/>
                <w:szCs w:val="18"/>
                <w:lang w:eastAsia="en-GB"/>
              </w:rPr>
            </w:pPr>
            <w:r w:rsidRPr="00504B39">
              <w:rPr>
                <w:rFonts w:ascii="Calibri" w:eastAsia="Times New Roman" w:hAnsi="Calibri" w:cs="Calibri"/>
                <w:b/>
                <w:bCs/>
                <w:color w:val="000000"/>
                <w:sz w:val="18"/>
                <w:szCs w:val="18"/>
                <w:lang w:eastAsia="en-GB"/>
              </w:rPr>
              <w:t>-2.77 (-3.36, -2.17)</w:t>
            </w:r>
          </w:p>
        </w:tc>
        <w:tc>
          <w:tcPr>
            <w:tcW w:w="465" w:type="pct"/>
            <w:tcBorders>
              <w:top w:val="nil"/>
              <w:left w:val="nil"/>
              <w:bottom w:val="single" w:sz="8" w:space="0" w:color="auto"/>
              <w:right w:val="single" w:sz="8" w:space="0" w:color="auto"/>
            </w:tcBorders>
            <w:shd w:val="clear" w:color="auto" w:fill="auto"/>
            <w:vAlign w:val="center"/>
            <w:hideMark/>
          </w:tcPr>
          <w:p w14:paraId="25DC9DFF" w14:textId="77777777" w:rsidR="00504B39" w:rsidRPr="00504B39" w:rsidRDefault="00504B39" w:rsidP="00504B39">
            <w:pPr>
              <w:spacing w:after="0" w:line="240" w:lineRule="auto"/>
              <w:rPr>
                <w:rFonts w:ascii="Calibri" w:eastAsia="Times New Roman" w:hAnsi="Calibri" w:cs="Calibri"/>
                <w:b/>
                <w:bCs/>
                <w:color w:val="000000"/>
                <w:sz w:val="18"/>
                <w:szCs w:val="18"/>
                <w:lang w:eastAsia="en-GB"/>
              </w:rPr>
            </w:pPr>
            <w:r w:rsidRPr="00504B39">
              <w:rPr>
                <w:rFonts w:ascii="Calibri" w:eastAsia="Times New Roman" w:hAnsi="Calibri" w:cs="Calibri"/>
                <w:b/>
                <w:bCs/>
                <w:color w:val="000000"/>
                <w:sz w:val="18"/>
                <w:szCs w:val="18"/>
                <w:lang w:eastAsia="en-GB"/>
              </w:rPr>
              <w:t>-2.60 ( -3.61, -1.59)</w:t>
            </w:r>
          </w:p>
        </w:tc>
        <w:tc>
          <w:tcPr>
            <w:tcW w:w="429" w:type="pct"/>
            <w:tcBorders>
              <w:top w:val="nil"/>
              <w:left w:val="nil"/>
              <w:bottom w:val="single" w:sz="8" w:space="0" w:color="auto"/>
              <w:right w:val="single" w:sz="8" w:space="0" w:color="auto"/>
            </w:tcBorders>
            <w:shd w:val="clear" w:color="auto" w:fill="auto"/>
            <w:vAlign w:val="center"/>
            <w:hideMark/>
          </w:tcPr>
          <w:p w14:paraId="1BA6167B" w14:textId="77777777" w:rsidR="00504B39" w:rsidRPr="00504B39" w:rsidRDefault="00504B39" w:rsidP="00504B39">
            <w:pPr>
              <w:spacing w:after="0" w:line="240" w:lineRule="auto"/>
              <w:rPr>
                <w:rFonts w:ascii="Calibri" w:eastAsia="Times New Roman" w:hAnsi="Calibri" w:cs="Calibri"/>
                <w:b/>
                <w:bCs/>
                <w:color w:val="000000"/>
                <w:sz w:val="18"/>
                <w:szCs w:val="18"/>
                <w:lang w:eastAsia="en-GB"/>
              </w:rPr>
            </w:pPr>
            <w:r w:rsidRPr="00504B39">
              <w:rPr>
                <w:rFonts w:ascii="Calibri" w:eastAsia="Times New Roman" w:hAnsi="Calibri" w:cs="Calibri"/>
                <w:b/>
                <w:bCs/>
                <w:color w:val="000000"/>
                <w:sz w:val="18"/>
                <w:szCs w:val="18"/>
                <w:lang w:eastAsia="en-GB"/>
              </w:rPr>
              <w:t>-2.31 (-2.95, -1.67)</w:t>
            </w:r>
          </w:p>
        </w:tc>
        <w:tc>
          <w:tcPr>
            <w:tcW w:w="425" w:type="pct"/>
            <w:tcBorders>
              <w:top w:val="nil"/>
              <w:left w:val="nil"/>
              <w:bottom w:val="single" w:sz="8" w:space="0" w:color="auto"/>
              <w:right w:val="single" w:sz="8" w:space="0" w:color="auto"/>
            </w:tcBorders>
            <w:shd w:val="clear" w:color="auto" w:fill="auto"/>
            <w:vAlign w:val="center"/>
            <w:hideMark/>
          </w:tcPr>
          <w:p w14:paraId="4DB9342A" w14:textId="77777777" w:rsidR="00504B39" w:rsidRPr="00504B39" w:rsidRDefault="00504B39" w:rsidP="00504B39">
            <w:pPr>
              <w:spacing w:after="0" w:line="240" w:lineRule="auto"/>
              <w:rPr>
                <w:rFonts w:ascii="Calibri" w:eastAsia="Times New Roman" w:hAnsi="Calibri" w:cs="Calibri"/>
                <w:b/>
                <w:bCs/>
                <w:color w:val="000000"/>
                <w:sz w:val="18"/>
                <w:szCs w:val="18"/>
                <w:lang w:eastAsia="en-GB"/>
              </w:rPr>
            </w:pPr>
            <w:r w:rsidRPr="00504B39">
              <w:rPr>
                <w:rFonts w:ascii="Calibri" w:eastAsia="Times New Roman" w:hAnsi="Calibri" w:cs="Calibri"/>
                <w:b/>
                <w:bCs/>
                <w:color w:val="000000"/>
                <w:sz w:val="18"/>
                <w:szCs w:val="18"/>
                <w:lang w:eastAsia="en-GB"/>
              </w:rPr>
              <w:t>-2.27 (-3.31, -1.24)</w:t>
            </w:r>
          </w:p>
        </w:tc>
        <w:tc>
          <w:tcPr>
            <w:tcW w:w="546" w:type="pct"/>
            <w:tcBorders>
              <w:top w:val="nil"/>
              <w:left w:val="nil"/>
              <w:bottom w:val="single" w:sz="8" w:space="0" w:color="auto"/>
              <w:right w:val="single" w:sz="8" w:space="0" w:color="auto"/>
            </w:tcBorders>
            <w:shd w:val="clear" w:color="auto" w:fill="auto"/>
            <w:vAlign w:val="center"/>
            <w:hideMark/>
          </w:tcPr>
          <w:p w14:paraId="55131409" w14:textId="77777777" w:rsidR="00504B39" w:rsidRPr="00504B39" w:rsidRDefault="00504B39" w:rsidP="00504B39">
            <w:pPr>
              <w:spacing w:after="0" w:line="240" w:lineRule="auto"/>
              <w:rPr>
                <w:rFonts w:ascii="Calibri" w:eastAsia="Times New Roman" w:hAnsi="Calibri" w:cs="Calibri"/>
                <w:b/>
                <w:bCs/>
                <w:color w:val="000000"/>
                <w:sz w:val="18"/>
                <w:szCs w:val="18"/>
                <w:lang w:eastAsia="en-GB"/>
              </w:rPr>
            </w:pPr>
            <w:r w:rsidRPr="00504B39">
              <w:rPr>
                <w:rFonts w:ascii="Calibri" w:eastAsia="Times New Roman" w:hAnsi="Calibri" w:cs="Calibri"/>
                <w:b/>
                <w:bCs/>
                <w:color w:val="000000"/>
                <w:sz w:val="18"/>
                <w:szCs w:val="18"/>
                <w:lang w:eastAsia="en-GB"/>
              </w:rPr>
              <w:t>-2.11 (-3.22, -0.95)</w:t>
            </w:r>
          </w:p>
        </w:tc>
        <w:tc>
          <w:tcPr>
            <w:tcW w:w="425" w:type="pct"/>
            <w:tcBorders>
              <w:top w:val="nil"/>
              <w:left w:val="nil"/>
              <w:bottom w:val="single" w:sz="8" w:space="0" w:color="auto"/>
              <w:right w:val="single" w:sz="8" w:space="0" w:color="auto"/>
            </w:tcBorders>
            <w:shd w:val="clear" w:color="auto" w:fill="auto"/>
            <w:vAlign w:val="center"/>
            <w:hideMark/>
          </w:tcPr>
          <w:p w14:paraId="57F482DF" w14:textId="77777777" w:rsidR="00504B39" w:rsidRPr="00504B39" w:rsidRDefault="00504B39" w:rsidP="00504B39">
            <w:pPr>
              <w:spacing w:after="0" w:line="240" w:lineRule="auto"/>
              <w:rPr>
                <w:rFonts w:ascii="Calibri" w:eastAsia="Times New Roman" w:hAnsi="Calibri" w:cs="Calibri"/>
                <w:b/>
                <w:bCs/>
                <w:color w:val="000000"/>
                <w:sz w:val="18"/>
                <w:szCs w:val="18"/>
                <w:lang w:eastAsia="en-GB"/>
              </w:rPr>
            </w:pPr>
            <w:r w:rsidRPr="00504B39">
              <w:rPr>
                <w:rFonts w:ascii="Calibri" w:eastAsia="Times New Roman" w:hAnsi="Calibri" w:cs="Calibri"/>
                <w:b/>
                <w:bCs/>
                <w:color w:val="000000"/>
                <w:sz w:val="18"/>
                <w:szCs w:val="18"/>
                <w:lang w:eastAsia="en-GB"/>
              </w:rPr>
              <w:t>-2.11 (-3.01, -1.26)</w:t>
            </w:r>
          </w:p>
        </w:tc>
        <w:tc>
          <w:tcPr>
            <w:tcW w:w="465" w:type="pct"/>
            <w:tcBorders>
              <w:top w:val="nil"/>
              <w:left w:val="nil"/>
              <w:bottom w:val="single" w:sz="8" w:space="0" w:color="auto"/>
              <w:right w:val="single" w:sz="8" w:space="0" w:color="auto"/>
            </w:tcBorders>
            <w:shd w:val="clear" w:color="auto" w:fill="auto"/>
            <w:vAlign w:val="center"/>
            <w:hideMark/>
          </w:tcPr>
          <w:p w14:paraId="5A4D8A8A" w14:textId="77777777" w:rsidR="00504B39" w:rsidRPr="00504B39" w:rsidRDefault="00504B39" w:rsidP="00504B39">
            <w:pPr>
              <w:spacing w:after="0" w:line="240" w:lineRule="auto"/>
              <w:rPr>
                <w:rFonts w:ascii="Calibri" w:eastAsia="Times New Roman" w:hAnsi="Calibri" w:cs="Calibri"/>
                <w:b/>
                <w:bCs/>
                <w:color w:val="000000"/>
                <w:sz w:val="18"/>
                <w:szCs w:val="18"/>
                <w:lang w:eastAsia="en-GB"/>
              </w:rPr>
            </w:pPr>
            <w:r w:rsidRPr="00504B39">
              <w:rPr>
                <w:rFonts w:ascii="Calibri" w:eastAsia="Times New Roman" w:hAnsi="Calibri" w:cs="Calibri"/>
                <w:b/>
                <w:bCs/>
                <w:color w:val="000000"/>
                <w:sz w:val="18"/>
                <w:szCs w:val="18"/>
                <w:lang w:eastAsia="en-GB"/>
              </w:rPr>
              <w:t>-2.09 (-3.01, -1.17)</w:t>
            </w:r>
          </w:p>
        </w:tc>
        <w:tc>
          <w:tcPr>
            <w:tcW w:w="425" w:type="pct"/>
            <w:tcBorders>
              <w:top w:val="nil"/>
              <w:left w:val="nil"/>
              <w:bottom w:val="single" w:sz="8" w:space="0" w:color="auto"/>
              <w:right w:val="single" w:sz="8" w:space="0" w:color="auto"/>
            </w:tcBorders>
            <w:shd w:val="clear" w:color="auto" w:fill="auto"/>
            <w:vAlign w:val="center"/>
            <w:hideMark/>
          </w:tcPr>
          <w:p w14:paraId="6BC8AEB1" w14:textId="77777777" w:rsidR="00504B39" w:rsidRPr="00504B39" w:rsidRDefault="00504B39" w:rsidP="00504B39">
            <w:pPr>
              <w:spacing w:after="0" w:line="240" w:lineRule="auto"/>
              <w:rPr>
                <w:rFonts w:ascii="Calibri" w:eastAsia="Times New Roman" w:hAnsi="Calibri" w:cs="Calibri"/>
                <w:b/>
                <w:bCs/>
                <w:color w:val="000000"/>
                <w:sz w:val="18"/>
                <w:szCs w:val="18"/>
                <w:lang w:eastAsia="en-GB"/>
              </w:rPr>
            </w:pPr>
            <w:r w:rsidRPr="00504B39">
              <w:rPr>
                <w:rFonts w:ascii="Calibri" w:eastAsia="Times New Roman" w:hAnsi="Calibri" w:cs="Calibri"/>
                <w:b/>
                <w:bCs/>
                <w:color w:val="000000"/>
                <w:sz w:val="18"/>
                <w:szCs w:val="18"/>
                <w:lang w:eastAsia="en-GB"/>
              </w:rPr>
              <w:t>-1.97 (-2.69, -1.26)</w:t>
            </w:r>
          </w:p>
        </w:tc>
        <w:tc>
          <w:tcPr>
            <w:tcW w:w="534" w:type="pct"/>
            <w:tcBorders>
              <w:top w:val="nil"/>
              <w:left w:val="nil"/>
              <w:bottom w:val="single" w:sz="8" w:space="0" w:color="auto"/>
              <w:right w:val="single" w:sz="8" w:space="0" w:color="auto"/>
            </w:tcBorders>
            <w:shd w:val="clear" w:color="auto" w:fill="auto"/>
            <w:vAlign w:val="center"/>
            <w:hideMark/>
          </w:tcPr>
          <w:p w14:paraId="0CE29EFC" w14:textId="77777777" w:rsidR="00504B39" w:rsidRPr="00504B39" w:rsidRDefault="00504B39" w:rsidP="00504B39">
            <w:pPr>
              <w:spacing w:after="0" w:line="240" w:lineRule="auto"/>
              <w:rPr>
                <w:rFonts w:ascii="Calibri" w:eastAsia="Times New Roman" w:hAnsi="Calibri" w:cs="Calibri"/>
                <w:b/>
                <w:bCs/>
                <w:color w:val="000000"/>
                <w:sz w:val="18"/>
                <w:szCs w:val="18"/>
                <w:lang w:eastAsia="en-GB"/>
              </w:rPr>
            </w:pPr>
            <w:r w:rsidRPr="00504B39">
              <w:rPr>
                <w:rFonts w:ascii="Calibri" w:eastAsia="Times New Roman" w:hAnsi="Calibri" w:cs="Calibri"/>
                <w:b/>
                <w:bCs/>
                <w:color w:val="000000"/>
                <w:sz w:val="18"/>
                <w:szCs w:val="18"/>
                <w:lang w:eastAsia="en-GB"/>
              </w:rPr>
              <w:t>-1.91 (-3.02, -0.85)</w:t>
            </w:r>
          </w:p>
        </w:tc>
        <w:tc>
          <w:tcPr>
            <w:tcW w:w="432" w:type="pct"/>
            <w:tcBorders>
              <w:top w:val="nil"/>
              <w:left w:val="nil"/>
              <w:bottom w:val="single" w:sz="8" w:space="0" w:color="auto"/>
              <w:right w:val="single" w:sz="8" w:space="0" w:color="auto"/>
            </w:tcBorders>
            <w:shd w:val="clear" w:color="auto" w:fill="auto"/>
            <w:vAlign w:val="center"/>
            <w:hideMark/>
          </w:tcPr>
          <w:p w14:paraId="6CF9E590" w14:textId="77777777" w:rsidR="00504B39" w:rsidRPr="00504B39" w:rsidRDefault="00504B39" w:rsidP="00504B39">
            <w:pPr>
              <w:spacing w:after="0" w:line="240" w:lineRule="auto"/>
              <w:rPr>
                <w:rFonts w:ascii="Calibri" w:eastAsia="Times New Roman" w:hAnsi="Calibri" w:cs="Calibri"/>
                <w:b/>
                <w:bCs/>
                <w:color w:val="000000"/>
                <w:sz w:val="18"/>
                <w:szCs w:val="18"/>
                <w:lang w:eastAsia="en-GB"/>
              </w:rPr>
            </w:pPr>
            <w:r w:rsidRPr="00504B39">
              <w:rPr>
                <w:rFonts w:ascii="Calibri" w:eastAsia="Times New Roman" w:hAnsi="Calibri" w:cs="Calibri"/>
                <w:b/>
                <w:bCs/>
                <w:color w:val="000000"/>
                <w:sz w:val="18"/>
                <w:szCs w:val="18"/>
                <w:lang w:eastAsia="en-GB"/>
              </w:rPr>
              <w:t>-1.49 (-2.82, -0.15)</w:t>
            </w:r>
          </w:p>
        </w:tc>
        <w:tc>
          <w:tcPr>
            <w:tcW w:w="425" w:type="pct"/>
            <w:tcBorders>
              <w:top w:val="single" w:sz="8" w:space="0" w:color="auto"/>
              <w:left w:val="nil"/>
              <w:bottom w:val="single" w:sz="8" w:space="0" w:color="auto"/>
              <w:right w:val="single" w:sz="8" w:space="0" w:color="auto"/>
            </w:tcBorders>
            <w:shd w:val="clear" w:color="000000" w:fill="F8CBAD"/>
            <w:noWrap/>
            <w:vAlign w:val="center"/>
            <w:hideMark/>
          </w:tcPr>
          <w:p w14:paraId="49E8B21C" w14:textId="77777777" w:rsidR="00504B39" w:rsidRPr="00504B39" w:rsidRDefault="00504B39" w:rsidP="00504B39">
            <w:pPr>
              <w:spacing w:after="0" w:line="240" w:lineRule="auto"/>
              <w:jc w:val="center"/>
              <w:rPr>
                <w:rFonts w:ascii="Calibri" w:eastAsia="Times New Roman" w:hAnsi="Calibri" w:cs="Calibri"/>
                <w:color w:val="000000"/>
                <w:sz w:val="18"/>
                <w:szCs w:val="18"/>
                <w:lang w:eastAsia="en-GB"/>
              </w:rPr>
            </w:pPr>
            <w:r w:rsidRPr="00504B39">
              <w:rPr>
                <w:rFonts w:ascii="Calibri" w:eastAsia="Times New Roman" w:hAnsi="Calibri" w:cs="Calibri"/>
                <w:color w:val="000000"/>
                <w:sz w:val="18"/>
                <w:szCs w:val="18"/>
                <w:lang w:eastAsia="en-GB"/>
              </w:rPr>
              <w:t>Placebo</w:t>
            </w:r>
          </w:p>
        </w:tc>
      </w:tr>
    </w:tbl>
    <w:p w14:paraId="5A3283C1" w14:textId="77777777" w:rsidR="006958AC" w:rsidRDefault="006958AC" w:rsidP="006958AC"/>
    <w:p w14:paraId="05F32EB4" w14:textId="77777777" w:rsidR="006958AC" w:rsidRDefault="006958AC" w:rsidP="006958AC"/>
    <w:p w14:paraId="64CDBBC1" w14:textId="77777777" w:rsidR="006958AC" w:rsidRDefault="006958AC" w:rsidP="006958AC"/>
    <w:p w14:paraId="3F6B6A2D" w14:textId="77777777" w:rsidR="006958AC" w:rsidRDefault="006958AC" w:rsidP="006958AC"/>
    <w:p w14:paraId="089112A8" w14:textId="77777777" w:rsidR="006958AC" w:rsidRDefault="006958AC" w:rsidP="006958AC"/>
    <w:p w14:paraId="59063264" w14:textId="77777777" w:rsidR="006958AC" w:rsidRDefault="006958AC" w:rsidP="006958AC"/>
    <w:p w14:paraId="5C176AAA" w14:textId="77777777" w:rsidR="006958AC" w:rsidRDefault="006958AC" w:rsidP="006958AC"/>
    <w:p w14:paraId="25DF0F70" w14:textId="3A9CB7AB" w:rsidR="00FF252A" w:rsidRDefault="006958AC" w:rsidP="006958AC">
      <w:r>
        <w:rPr>
          <w:noProof/>
          <w:lang w:val="en-US"/>
        </w:rPr>
        <w:lastRenderedPageBreak/>
        <w:drawing>
          <wp:inline distT="0" distB="0" distL="0" distR="0" wp14:anchorId="3FC89B4F" wp14:editId="23BBD7FC">
            <wp:extent cx="5732145" cy="2812648"/>
            <wp:effectExtent l="0" t="0" r="1905" b="6985"/>
            <wp:docPr id="406044792" name="Picture 1" descr="A graph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44792" name="Picture 1" descr="A graph with red lines&#10;&#10;Description automatically generated"/>
                    <pic:cNvPicPr/>
                  </pic:nvPicPr>
                  <pic:blipFill>
                    <a:blip r:embed="rId15"/>
                    <a:stretch>
                      <a:fillRect/>
                    </a:stretch>
                  </pic:blipFill>
                  <pic:spPr>
                    <a:xfrm>
                      <a:off x="0" y="0"/>
                      <a:ext cx="5742525" cy="2817741"/>
                    </a:xfrm>
                    <a:prstGeom prst="rect">
                      <a:avLst/>
                    </a:prstGeom>
                  </pic:spPr>
                </pic:pic>
              </a:graphicData>
            </a:graphic>
          </wp:inline>
        </w:drawing>
      </w:r>
      <w:r w:rsidR="00FF252A" w:rsidRPr="006958AC">
        <w:rPr>
          <w:b/>
          <w:bCs/>
        </w:rPr>
        <w:t>Figure 4: surface under the cumulative ranking curve (SUCRA) for mean change in MMD from baseline</w:t>
      </w:r>
    </w:p>
    <w:p w14:paraId="65B4F875" w14:textId="77777777" w:rsidR="00A45F2A" w:rsidRDefault="00A45F2A" w:rsidP="003B01A2"/>
    <w:p w14:paraId="25C4D7A5" w14:textId="391B6C9D" w:rsidR="00FF252A" w:rsidRDefault="00A45F2A" w:rsidP="003B01A2">
      <w:r>
        <w:rPr>
          <w:noProof/>
          <w:lang w:val="en-US"/>
        </w:rPr>
        <w:drawing>
          <wp:inline distT="0" distB="0" distL="0" distR="0" wp14:anchorId="6C229A06" wp14:editId="6976CE52">
            <wp:extent cx="5732145" cy="2251276"/>
            <wp:effectExtent l="0" t="0" r="1905" b="0"/>
            <wp:docPr id="1236476213" name="Picture 1" descr="A graph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76213" name="Picture 1" descr="A graph with black dots&#10;&#10;Description automatically generated"/>
                    <pic:cNvPicPr/>
                  </pic:nvPicPr>
                  <pic:blipFill>
                    <a:blip r:embed="rId16"/>
                    <a:stretch>
                      <a:fillRect/>
                    </a:stretch>
                  </pic:blipFill>
                  <pic:spPr>
                    <a:xfrm>
                      <a:off x="0" y="0"/>
                      <a:ext cx="5741750" cy="2255048"/>
                    </a:xfrm>
                    <a:prstGeom prst="rect">
                      <a:avLst/>
                    </a:prstGeom>
                  </pic:spPr>
                </pic:pic>
              </a:graphicData>
            </a:graphic>
          </wp:inline>
        </w:drawing>
      </w:r>
    </w:p>
    <w:p w14:paraId="7426D815" w14:textId="15ACF8BF" w:rsidR="00FF252A" w:rsidRDefault="00FF252A" w:rsidP="00FF252A">
      <w:pPr>
        <w:pStyle w:val="Caption"/>
        <w:keepNext/>
        <w:spacing w:after="0"/>
      </w:pPr>
      <w:r w:rsidRPr="008B1EF1">
        <w:t xml:space="preserve">Figure </w:t>
      </w:r>
      <w:r>
        <w:t>5</w:t>
      </w:r>
      <w:r w:rsidRPr="008B1EF1">
        <w:t>:</w:t>
      </w:r>
      <w:r>
        <w:t xml:space="preserve"> Forest plot</w:t>
      </w:r>
      <w:r w:rsidRPr="008B1EF1">
        <w:t xml:space="preserve"> for </w:t>
      </w:r>
      <w:r w:rsidRPr="002C39C0">
        <w:t>mean change in M</w:t>
      </w:r>
      <w:r>
        <w:t>M</w:t>
      </w:r>
      <w:r w:rsidRPr="002C39C0">
        <w:t>D from baseline</w:t>
      </w:r>
      <w:r>
        <w:t xml:space="preserve"> </w:t>
      </w:r>
      <w:r w:rsidRPr="002C39C0">
        <w:t>(MDs, 95%</w:t>
      </w:r>
      <w:r>
        <w:t xml:space="preserve"> </w:t>
      </w:r>
      <w:r w:rsidRPr="002C39C0">
        <w:t>CrI)</w:t>
      </w:r>
    </w:p>
    <w:p w14:paraId="5EAFAE24" w14:textId="77777777" w:rsidR="00FF252A" w:rsidRDefault="00FF252A" w:rsidP="00FF252A"/>
    <w:p w14:paraId="0D630A68" w14:textId="25E31B76" w:rsidR="00FF252A" w:rsidRPr="003B01A2" w:rsidRDefault="00FF252A" w:rsidP="00FF252A">
      <w:pPr>
        <w:pStyle w:val="Caption"/>
        <w:keepNext/>
      </w:pPr>
      <w:r>
        <w:t xml:space="preserve">Table 4: </w:t>
      </w:r>
      <w:r w:rsidRPr="00875C0E">
        <w:t>Comparing fit of NMA and UME models for M</w:t>
      </w:r>
      <w:r>
        <w:t>M</w:t>
      </w:r>
      <w:r w:rsidRPr="00875C0E">
        <w:t>D</w:t>
      </w:r>
    </w:p>
    <w:tbl>
      <w:tblPr>
        <w:tblW w:w="3716" w:type="pct"/>
        <w:tblLook w:val="04A0" w:firstRow="1" w:lastRow="0" w:firstColumn="1" w:lastColumn="0" w:noHBand="0" w:noVBand="1"/>
      </w:tblPr>
      <w:tblGrid>
        <w:gridCol w:w="2371"/>
        <w:gridCol w:w="3076"/>
        <w:gridCol w:w="585"/>
        <w:gridCol w:w="837"/>
      </w:tblGrid>
      <w:tr w:rsidR="00FF252A" w:rsidRPr="00E05677" w14:paraId="06D25AE8" w14:textId="77777777" w:rsidTr="006958AC">
        <w:trPr>
          <w:trHeight w:val="290"/>
        </w:trPr>
        <w:tc>
          <w:tcPr>
            <w:tcW w:w="1726" w:type="pct"/>
            <w:tcBorders>
              <w:top w:val="nil"/>
              <w:left w:val="nil"/>
              <w:bottom w:val="nil"/>
              <w:right w:val="nil"/>
            </w:tcBorders>
            <w:shd w:val="clear" w:color="auto" w:fill="FFFFFF" w:themeFill="background1"/>
            <w:noWrap/>
            <w:vAlign w:val="bottom"/>
            <w:hideMark/>
          </w:tcPr>
          <w:p w14:paraId="725C4A29" w14:textId="77777777" w:rsidR="00FF252A" w:rsidRPr="00253340" w:rsidRDefault="00FF252A" w:rsidP="00611803">
            <w:pPr>
              <w:spacing w:line="240" w:lineRule="auto"/>
              <w:jc w:val="center"/>
              <w:rPr>
                <w:rFonts w:eastAsia="Times New Roman" w:cs="Calibri"/>
                <w:color w:val="000000"/>
                <w:sz w:val="20"/>
                <w:szCs w:val="20"/>
                <w:lang w:eastAsia="en-GB"/>
              </w:rPr>
            </w:pPr>
          </w:p>
        </w:tc>
        <w:tc>
          <w:tcPr>
            <w:tcW w:w="22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95FCAE" w14:textId="2FF4B0B7" w:rsidR="00FF252A" w:rsidRPr="00253340" w:rsidRDefault="00FF252A" w:rsidP="00611803">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Residual deviance (</w:t>
            </w:r>
            <w:r>
              <w:rPr>
                <w:rFonts w:eastAsia="Times New Roman" w:cs="Calibri"/>
                <w:color w:val="000000"/>
                <w:sz w:val="20"/>
                <w:szCs w:val="20"/>
                <w:lang w:eastAsia="en-GB"/>
              </w:rPr>
              <w:t>29</w:t>
            </w:r>
            <w:r w:rsidRPr="00253340">
              <w:rPr>
                <w:rFonts w:eastAsia="Times New Roman" w:cs="Calibri"/>
                <w:color w:val="000000"/>
                <w:sz w:val="20"/>
                <w:szCs w:val="20"/>
                <w:lang w:eastAsia="en-GB"/>
              </w:rPr>
              <w:t xml:space="preserve"> data points)</w:t>
            </w:r>
          </w:p>
        </w:tc>
        <w:tc>
          <w:tcPr>
            <w:tcW w:w="426"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6A0B8DBA" w14:textId="77777777" w:rsidR="00FF252A" w:rsidRPr="00253340" w:rsidRDefault="00FF252A" w:rsidP="00611803">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pD*</w:t>
            </w:r>
          </w:p>
        </w:tc>
        <w:tc>
          <w:tcPr>
            <w:tcW w:w="609" w:type="pct"/>
            <w:tcBorders>
              <w:top w:val="single" w:sz="4" w:space="0" w:color="auto"/>
              <w:left w:val="nil"/>
              <w:bottom w:val="single" w:sz="4" w:space="0" w:color="auto"/>
              <w:right w:val="single" w:sz="4" w:space="0" w:color="auto"/>
            </w:tcBorders>
            <w:shd w:val="clear" w:color="auto" w:fill="FFFFFF" w:themeFill="background1"/>
            <w:vAlign w:val="bottom"/>
            <w:hideMark/>
          </w:tcPr>
          <w:p w14:paraId="584915B3" w14:textId="77777777" w:rsidR="00FF252A" w:rsidRPr="00253340" w:rsidRDefault="00FF252A" w:rsidP="00611803">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(DIC)**</w:t>
            </w:r>
          </w:p>
        </w:tc>
      </w:tr>
      <w:tr w:rsidR="00FF252A" w:rsidRPr="00E05677" w14:paraId="1FA28D40" w14:textId="77777777" w:rsidTr="006958AC">
        <w:trPr>
          <w:trHeight w:val="223"/>
        </w:trPr>
        <w:tc>
          <w:tcPr>
            <w:tcW w:w="172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F638D1" w14:textId="77777777" w:rsidR="00FF252A" w:rsidRPr="00253340" w:rsidRDefault="00FF252A" w:rsidP="00611803">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NMA (consistency) Model</w:t>
            </w:r>
          </w:p>
        </w:tc>
        <w:tc>
          <w:tcPr>
            <w:tcW w:w="2239" w:type="pct"/>
            <w:tcBorders>
              <w:top w:val="nil"/>
              <w:left w:val="nil"/>
              <w:bottom w:val="single" w:sz="4" w:space="0" w:color="auto"/>
              <w:right w:val="single" w:sz="4" w:space="0" w:color="auto"/>
            </w:tcBorders>
            <w:shd w:val="clear" w:color="auto" w:fill="FFFFFF" w:themeFill="background1"/>
            <w:noWrap/>
            <w:vAlign w:val="bottom"/>
            <w:hideMark/>
          </w:tcPr>
          <w:p w14:paraId="56EE8F27" w14:textId="4FB482A3" w:rsidR="00FF252A" w:rsidRPr="00253340" w:rsidRDefault="00FF252A"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34.1</w:t>
            </w:r>
          </w:p>
        </w:tc>
        <w:tc>
          <w:tcPr>
            <w:tcW w:w="426" w:type="pct"/>
            <w:tcBorders>
              <w:top w:val="nil"/>
              <w:left w:val="nil"/>
              <w:bottom w:val="single" w:sz="4" w:space="0" w:color="auto"/>
              <w:right w:val="single" w:sz="4" w:space="0" w:color="auto"/>
            </w:tcBorders>
            <w:shd w:val="clear" w:color="auto" w:fill="FFFFFF" w:themeFill="background1"/>
            <w:noWrap/>
            <w:vAlign w:val="bottom"/>
            <w:hideMark/>
          </w:tcPr>
          <w:p w14:paraId="18F6B438" w14:textId="5B2E9B11" w:rsidR="00FF252A" w:rsidRPr="00253340" w:rsidRDefault="00FF252A"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20.9</w:t>
            </w:r>
          </w:p>
        </w:tc>
        <w:tc>
          <w:tcPr>
            <w:tcW w:w="609" w:type="pct"/>
            <w:tcBorders>
              <w:top w:val="nil"/>
              <w:left w:val="nil"/>
              <w:bottom w:val="single" w:sz="4" w:space="0" w:color="auto"/>
              <w:right w:val="single" w:sz="4" w:space="0" w:color="auto"/>
            </w:tcBorders>
            <w:shd w:val="clear" w:color="auto" w:fill="FFFFFF" w:themeFill="background1"/>
            <w:noWrap/>
            <w:vAlign w:val="bottom"/>
            <w:hideMark/>
          </w:tcPr>
          <w:p w14:paraId="4B6C9525" w14:textId="5F76B91D" w:rsidR="00FF252A" w:rsidRPr="00253340" w:rsidRDefault="00FF252A"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55</w:t>
            </w:r>
          </w:p>
        </w:tc>
      </w:tr>
      <w:tr w:rsidR="00FF252A" w:rsidRPr="00E05677" w14:paraId="5B8573F5" w14:textId="77777777" w:rsidTr="006958AC">
        <w:trPr>
          <w:trHeight w:val="315"/>
        </w:trPr>
        <w:tc>
          <w:tcPr>
            <w:tcW w:w="172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A119DCD" w14:textId="77777777" w:rsidR="00FF252A" w:rsidRPr="00253340" w:rsidRDefault="00FF252A" w:rsidP="00611803">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Unrelated Mean Effects (Inconsistency) Model</w:t>
            </w:r>
          </w:p>
        </w:tc>
        <w:tc>
          <w:tcPr>
            <w:tcW w:w="2239" w:type="pct"/>
            <w:tcBorders>
              <w:top w:val="nil"/>
              <w:left w:val="nil"/>
              <w:bottom w:val="single" w:sz="4" w:space="0" w:color="auto"/>
              <w:right w:val="single" w:sz="4" w:space="0" w:color="auto"/>
            </w:tcBorders>
            <w:shd w:val="clear" w:color="auto" w:fill="FFFFFF" w:themeFill="background1"/>
            <w:noWrap/>
            <w:vAlign w:val="bottom"/>
            <w:hideMark/>
          </w:tcPr>
          <w:p w14:paraId="50DF9B3C" w14:textId="6AF29CB0" w:rsidR="00FF252A" w:rsidRPr="00253340" w:rsidRDefault="00A45F2A"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34</w:t>
            </w:r>
          </w:p>
        </w:tc>
        <w:tc>
          <w:tcPr>
            <w:tcW w:w="426" w:type="pct"/>
            <w:tcBorders>
              <w:top w:val="nil"/>
              <w:left w:val="nil"/>
              <w:bottom w:val="single" w:sz="4" w:space="0" w:color="auto"/>
              <w:right w:val="single" w:sz="4" w:space="0" w:color="auto"/>
            </w:tcBorders>
            <w:shd w:val="clear" w:color="auto" w:fill="FFFFFF" w:themeFill="background1"/>
            <w:noWrap/>
            <w:vAlign w:val="bottom"/>
            <w:hideMark/>
          </w:tcPr>
          <w:p w14:paraId="2D533DDD" w14:textId="659BCBFA" w:rsidR="00FF252A" w:rsidRPr="00253340" w:rsidRDefault="00A45F2A"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20.8</w:t>
            </w:r>
          </w:p>
        </w:tc>
        <w:tc>
          <w:tcPr>
            <w:tcW w:w="609" w:type="pct"/>
            <w:tcBorders>
              <w:top w:val="nil"/>
              <w:left w:val="nil"/>
              <w:bottom w:val="single" w:sz="4" w:space="0" w:color="auto"/>
              <w:right w:val="single" w:sz="4" w:space="0" w:color="auto"/>
            </w:tcBorders>
            <w:shd w:val="clear" w:color="auto" w:fill="FFFFFF" w:themeFill="background1"/>
            <w:noWrap/>
            <w:vAlign w:val="bottom"/>
            <w:hideMark/>
          </w:tcPr>
          <w:p w14:paraId="6D7924CB" w14:textId="5525A6C6" w:rsidR="00FF252A" w:rsidRPr="00253340" w:rsidRDefault="00A45F2A"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54.8</w:t>
            </w:r>
          </w:p>
        </w:tc>
      </w:tr>
    </w:tbl>
    <w:p w14:paraId="0D84210A" w14:textId="77777777" w:rsidR="006958AC" w:rsidRPr="00CA3B38" w:rsidRDefault="006958AC" w:rsidP="006958AC">
      <w:pPr>
        <w:pStyle w:val="EndNoteBibliography"/>
        <w:rPr>
          <w:rFonts w:asciiTheme="minorHAnsi" w:hAnsiTheme="minorHAnsi" w:cstheme="minorHAnsi"/>
          <w:noProof w:val="0"/>
          <w:sz w:val="18"/>
          <w:szCs w:val="18"/>
          <w:lang w:val="en-GB" w:eastAsia="en-GB"/>
        </w:rPr>
      </w:pPr>
      <w:r w:rsidRPr="00CA3B38">
        <w:rPr>
          <w:rFonts w:asciiTheme="majorBidi" w:hAnsiTheme="majorBidi" w:cstheme="majorBidi"/>
          <w:sz w:val="20"/>
          <w:szCs w:val="20"/>
        </w:rPr>
        <w:t>*</w:t>
      </w:r>
      <w:r w:rsidRPr="00CA3B38">
        <w:rPr>
          <w:rFonts w:asciiTheme="minorHAnsi" w:hAnsiTheme="minorHAnsi" w:cstheme="minorHAnsi"/>
          <w:noProof w:val="0"/>
          <w:sz w:val="18"/>
          <w:szCs w:val="18"/>
          <w:lang w:val="en-GB" w:eastAsia="en-GB"/>
        </w:rPr>
        <w:t>pD: sum of leverage, also known as the effective number of parameters</w:t>
      </w:r>
      <w:r>
        <w:rPr>
          <w:rFonts w:asciiTheme="minorHAnsi" w:hAnsiTheme="minorHAnsi" w:cstheme="minorHAnsi"/>
          <w:noProof w:val="0"/>
          <w:sz w:val="18"/>
          <w:szCs w:val="18"/>
          <w:lang w:val="en-GB" w:eastAsia="en-GB"/>
        </w:rPr>
        <w:t xml:space="preserve"> and shows the model complexity.</w:t>
      </w:r>
    </w:p>
    <w:p w14:paraId="20F42D90" w14:textId="77777777" w:rsidR="006958AC" w:rsidRPr="00CA3B38" w:rsidRDefault="006958AC" w:rsidP="006958AC">
      <w:pPr>
        <w:spacing w:line="240" w:lineRule="auto"/>
        <w:rPr>
          <w:rFonts w:cstheme="minorHAnsi"/>
          <w:sz w:val="18"/>
          <w:szCs w:val="18"/>
          <w:lang w:eastAsia="en-GB"/>
        </w:rPr>
      </w:pPr>
      <w:r w:rsidRPr="00CA3B38">
        <w:rPr>
          <w:rFonts w:cstheme="minorHAnsi"/>
          <w:sz w:val="18"/>
          <w:szCs w:val="18"/>
          <w:lang w:eastAsia="en-GB"/>
        </w:rPr>
        <w:t>**DIC: Deviance Information Criteria</w:t>
      </w:r>
      <w:r>
        <w:rPr>
          <w:rFonts w:cstheme="minorHAnsi"/>
          <w:sz w:val="18"/>
          <w:szCs w:val="18"/>
          <w:lang w:eastAsia="en-GB"/>
        </w:rPr>
        <w:t xml:space="preserve"> (</w:t>
      </w:r>
      <w:r w:rsidRPr="00CA3B38">
        <w:rPr>
          <w:rFonts w:cstheme="minorHAnsi"/>
          <w:sz w:val="18"/>
          <w:szCs w:val="18"/>
          <w:lang w:eastAsia="en-GB"/>
        </w:rPr>
        <w:t>DIC provides a measure of goodness of model fit that penalises model complexity</w:t>
      </w:r>
      <w:r>
        <w:rPr>
          <w:rFonts w:cstheme="minorHAnsi"/>
          <w:sz w:val="18"/>
          <w:szCs w:val="18"/>
          <w:lang w:eastAsia="en-GB"/>
        </w:rPr>
        <w:t>, the lower is more fitted. More than three difference is meaningful.</w:t>
      </w:r>
    </w:p>
    <w:p w14:paraId="4DE3FCD2" w14:textId="77777777" w:rsidR="00FF252A" w:rsidRDefault="00FF252A" w:rsidP="003B01A2"/>
    <w:p w14:paraId="0BF9E2F0" w14:textId="4A5992F6" w:rsidR="00FF252A" w:rsidRDefault="004D099E" w:rsidP="003B01A2">
      <w:r w:rsidRPr="00B74DDC">
        <w:rPr>
          <w:noProof/>
          <w:lang w:val="en-US"/>
        </w:rPr>
        <w:lastRenderedPageBreak/>
        <w:drawing>
          <wp:inline distT="0" distB="0" distL="0" distR="0" wp14:anchorId="6967C0AE" wp14:editId="4C57C0D5">
            <wp:extent cx="3702050" cy="2159000"/>
            <wp:effectExtent l="0" t="0" r="0" b="0"/>
            <wp:docPr id="429012910" name="Picture 4290129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10;&#10;Description automatically generated"/>
                    <pic:cNvPicPr/>
                  </pic:nvPicPr>
                  <pic:blipFill>
                    <a:blip r:embed="rId17"/>
                    <a:stretch>
                      <a:fillRect/>
                    </a:stretch>
                  </pic:blipFill>
                  <pic:spPr>
                    <a:xfrm>
                      <a:off x="0" y="0"/>
                      <a:ext cx="3740348" cy="2181335"/>
                    </a:xfrm>
                    <a:prstGeom prst="rect">
                      <a:avLst/>
                    </a:prstGeom>
                  </pic:spPr>
                </pic:pic>
              </a:graphicData>
            </a:graphic>
          </wp:inline>
        </w:drawing>
      </w:r>
    </w:p>
    <w:p w14:paraId="0C83D41A" w14:textId="77777777" w:rsidR="00FF252A" w:rsidRDefault="00FF252A" w:rsidP="00FF252A">
      <w:pPr>
        <w:pStyle w:val="EndNoteBibliography"/>
        <w:keepNext/>
        <w:rPr>
          <w:sz w:val="20"/>
          <w:szCs w:val="20"/>
        </w:rPr>
      </w:pPr>
      <w:r w:rsidRPr="00253340">
        <w:rPr>
          <w:sz w:val="20"/>
          <w:szCs w:val="20"/>
        </w:rPr>
        <w:t xml:space="preserve">Dev-Dev plot </w:t>
      </w:r>
      <w:r>
        <w:rPr>
          <w:sz w:val="20"/>
          <w:szCs w:val="20"/>
        </w:rPr>
        <w:t>to identify</w:t>
      </w:r>
      <w:r w:rsidRPr="006B53BE">
        <w:rPr>
          <w:sz w:val="20"/>
          <w:szCs w:val="20"/>
        </w:rPr>
        <w:t xml:space="preserve"> inconsistent data-points</w:t>
      </w:r>
      <w:r>
        <w:rPr>
          <w:sz w:val="20"/>
          <w:szCs w:val="20"/>
        </w:rPr>
        <w:t xml:space="preserve">, </w:t>
      </w:r>
      <w:r w:rsidRPr="00253340">
        <w:rPr>
          <w:sz w:val="20"/>
          <w:szCs w:val="20"/>
        </w:rPr>
        <w:t>the data points are scattered in a further distance from the bivector form the origin, they</w:t>
      </w:r>
      <w:r>
        <w:rPr>
          <w:sz w:val="20"/>
          <w:szCs w:val="20"/>
        </w:rPr>
        <w:t xml:space="preserve"> shows being</w:t>
      </w:r>
      <w:r w:rsidRPr="00253340">
        <w:rPr>
          <w:sz w:val="20"/>
          <w:szCs w:val="20"/>
        </w:rPr>
        <w:t xml:space="preserve"> source of inconsistency.</w:t>
      </w:r>
    </w:p>
    <w:p w14:paraId="386CA4CA" w14:textId="4F9BB51D" w:rsidR="00FF252A" w:rsidRDefault="00FF252A" w:rsidP="00FF252A">
      <w:pPr>
        <w:pStyle w:val="Caption"/>
      </w:pPr>
      <w:r>
        <w:t xml:space="preserve">Figure 6: </w:t>
      </w:r>
      <w:r w:rsidRPr="00993F69">
        <w:t>Global Consistency Test for mean change i</w:t>
      </w:r>
      <w:r>
        <w:t>n</w:t>
      </w:r>
      <w:r w:rsidRPr="00993F69">
        <w:t xml:space="preserve"> M</w:t>
      </w:r>
      <w:r>
        <w:t>M</w:t>
      </w:r>
      <w:r w:rsidRPr="00993F69">
        <w:t>D from baseline (Unrelated Mean Effects (Inconsistency) Model and Fixed NMA model)</w:t>
      </w:r>
      <w:r>
        <w:t xml:space="preserve"> </w:t>
      </w:r>
    </w:p>
    <w:p w14:paraId="1FA7EE1A" w14:textId="77777777" w:rsidR="00753E7C" w:rsidRPr="00753E7C" w:rsidRDefault="00753E7C" w:rsidP="00753E7C"/>
    <w:tbl>
      <w:tblPr>
        <w:tblStyle w:val="TableGrid"/>
        <w:tblW w:w="9017" w:type="dxa"/>
        <w:tblLook w:val="04A0" w:firstRow="1" w:lastRow="0" w:firstColumn="1" w:lastColumn="0" w:noHBand="0" w:noVBand="1"/>
      </w:tblPr>
      <w:tblGrid>
        <w:gridCol w:w="9017"/>
      </w:tblGrid>
      <w:tr w:rsidR="00753E7C" w14:paraId="1FDC064F" w14:textId="77777777" w:rsidTr="00611803">
        <w:tc>
          <w:tcPr>
            <w:tcW w:w="9017" w:type="dxa"/>
            <w:vAlign w:val="bottom"/>
          </w:tcPr>
          <w:p w14:paraId="67DCFC19" w14:textId="6E1B837E" w:rsidR="00753E7C" w:rsidRDefault="00753E7C" w:rsidP="00611803">
            <w:pPr>
              <w:jc w:val="center"/>
              <w:rPr>
                <w:rFonts w:cs="Calibri"/>
                <w:noProof/>
                <w:lang w:val="en-US"/>
              </w:rPr>
            </w:pPr>
            <w:r w:rsidRPr="00C34F7A">
              <w:rPr>
                <w:rFonts w:asciiTheme="majorBidi" w:hAnsiTheme="majorBidi" w:cstheme="majorBidi"/>
                <w:noProof/>
                <w:sz w:val="24"/>
                <w:szCs w:val="24"/>
                <w:lang w:val="en-US"/>
              </w:rPr>
              <mc:AlternateContent>
                <mc:Choice Requires="wps">
                  <w:drawing>
                    <wp:anchor distT="0" distB="0" distL="114300" distR="114300" simplePos="0" relativeHeight="251683840" behindDoc="0" locked="0" layoutInCell="1" allowOverlap="1" wp14:anchorId="514712E2" wp14:editId="2EAC526D">
                      <wp:simplePos x="0" y="0"/>
                      <wp:positionH relativeFrom="column">
                        <wp:posOffset>-56515</wp:posOffset>
                      </wp:positionH>
                      <wp:positionV relativeFrom="paragraph">
                        <wp:posOffset>1835150</wp:posOffset>
                      </wp:positionV>
                      <wp:extent cx="267970" cy="274955"/>
                      <wp:effectExtent l="0" t="0" r="17780" b="10795"/>
                      <wp:wrapNone/>
                      <wp:docPr id="40" name="Flowchart: Connector 40"/>
                      <wp:cNvGraphicFramePr/>
                      <a:graphic xmlns:a="http://schemas.openxmlformats.org/drawingml/2006/main">
                        <a:graphicData uri="http://schemas.microsoft.com/office/word/2010/wordprocessingShape">
                          <wps:wsp>
                            <wps:cNvSpPr/>
                            <wps:spPr>
                              <a:xfrm>
                                <a:off x="0" y="0"/>
                                <a:ext cx="267970" cy="274955"/>
                              </a:xfrm>
                              <a:prstGeom prst="flowChartConnector">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5465BFD6" w14:textId="77777777" w:rsidR="00753E7C" w:rsidRPr="00CB5AED" w:rsidRDefault="00753E7C" w:rsidP="00753E7C">
                                  <w:pPr>
                                    <w:jc w:val="center"/>
                                    <w:rPr>
                                      <w:rFonts w:cstheme="minorHAnsi"/>
                                      <w:b/>
                                      <w:bCs/>
                                      <w:sz w:val="6"/>
                                      <w:szCs w:val="6"/>
                                    </w:rPr>
                                  </w:pPr>
                                  <w:r w:rsidRPr="00CB5AED">
                                    <w:rPr>
                                      <w:rFonts w:cstheme="minorHAnsi"/>
                                      <w:b/>
                                      <w:bCs/>
                                      <w:sz w:val="16"/>
                                      <w:szCs w:val="16"/>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4712E2"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0" o:spid="_x0000_s1026" type="#_x0000_t120" style="position:absolute;left:0;text-align:left;margin-left:-4.45pt;margin-top:144.5pt;width:21.1pt;height:2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" fillcolor="#b1cbe9" strokecolor="#5b9bd5" strokeweight=".5pt">
                      <v:fill color2="#92b9e4" rotate="t" colors="0 #b1cbe9;.5 #a3c1e5;1 #92b9e4" focus="100%" type="gradient">
                        <o:fill v:ext="view" type="gradientUnscaled"/>
                      </v:fill>
                      <v:stroke joinstyle="miter"/>
                      <v:textbox>
                        <w:txbxContent>
                          <w:p w14:paraId="5465BFD6" w14:textId="77777777" w:rsidR="00753E7C" w:rsidRPr="00CB5AED" w:rsidRDefault="00753E7C" w:rsidP="00753E7C">
                            <w:pPr>
                              <w:jc w:val="center"/>
                              <w:rPr>
                                <w:rFonts w:cstheme="minorHAnsi"/>
                                <w:b/>
                                <w:bCs/>
                                <w:sz w:val="6"/>
                                <w:szCs w:val="6"/>
                              </w:rPr>
                            </w:pPr>
                            <w:r w:rsidRPr="00CB5AED">
                              <w:rPr>
                                <w:rFonts w:cstheme="minorHAnsi"/>
                                <w:b/>
                                <w:bCs/>
                                <w:sz w:val="16"/>
                                <w:szCs w:val="16"/>
                              </w:rPr>
                              <w:t>B</w:t>
                            </w:r>
                          </w:p>
                        </w:txbxContent>
                      </v:textbox>
                    </v:shape>
                  </w:pict>
                </mc:Fallback>
              </mc:AlternateContent>
            </w:r>
            <w:r w:rsidRPr="00D307AB">
              <w:rPr>
                <w:noProof/>
                <w:lang w:val="en-US"/>
              </w:rPr>
              <w:drawing>
                <wp:inline distT="0" distB="0" distL="0" distR="0" wp14:anchorId="4E46B9EA" wp14:editId="30905D67">
                  <wp:extent cx="4775200" cy="1879600"/>
                  <wp:effectExtent l="0" t="0" r="6350" b="6350"/>
                  <wp:docPr id="3172" name="Picture 3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00636" cy="1889612"/>
                          </a:xfrm>
                          <a:prstGeom prst="rect">
                            <a:avLst/>
                          </a:prstGeom>
                          <a:noFill/>
                          <a:ln>
                            <a:noFill/>
                          </a:ln>
                        </pic:spPr>
                      </pic:pic>
                    </a:graphicData>
                  </a:graphic>
                </wp:inline>
              </w:drawing>
            </w:r>
            <w:r w:rsidRPr="00C34F7A">
              <w:rPr>
                <w:rFonts w:asciiTheme="majorBidi" w:hAnsiTheme="majorBidi" w:cstheme="majorBidi"/>
                <w:noProof/>
                <w:sz w:val="24"/>
                <w:szCs w:val="24"/>
                <w:lang w:val="en-US"/>
              </w:rPr>
              <mc:AlternateContent>
                <mc:Choice Requires="wps">
                  <w:drawing>
                    <wp:anchor distT="0" distB="0" distL="114300" distR="114300" simplePos="0" relativeHeight="251682816" behindDoc="0" locked="0" layoutInCell="1" allowOverlap="1" wp14:anchorId="4DF17C89" wp14:editId="44436AC3">
                      <wp:simplePos x="0" y="0"/>
                      <wp:positionH relativeFrom="column">
                        <wp:posOffset>-6350</wp:posOffset>
                      </wp:positionH>
                      <wp:positionV relativeFrom="paragraph">
                        <wp:posOffset>5715</wp:posOffset>
                      </wp:positionV>
                      <wp:extent cx="268414" cy="274960"/>
                      <wp:effectExtent l="0" t="0" r="17780" b="10795"/>
                      <wp:wrapNone/>
                      <wp:docPr id="41" name="Flowchart: Connector 41"/>
                      <wp:cNvGraphicFramePr/>
                      <a:graphic xmlns:a="http://schemas.openxmlformats.org/drawingml/2006/main">
                        <a:graphicData uri="http://schemas.microsoft.com/office/word/2010/wordprocessingShape">
                          <wps:wsp>
                            <wps:cNvSpPr/>
                            <wps:spPr>
                              <a:xfrm>
                                <a:off x="0" y="0"/>
                                <a:ext cx="268414" cy="274960"/>
                              </a:xfrm>
                              <a:prstGeom prst="flowChartConnector">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0B27DA2E" w14:textId="77777777" w:rsidR="00753E7C" w:rsidRPr="00CB5AED" w:rsidRDefault="00753E7C" w:rsidP="00753E7C">
                                  <w:pPr>
                                    <w:jc w:val="center"/>
                                    <w:rPr>
                                      <w:rFonts w:cstheme="minorHAnsi"/>
                                      <w:b/>
                                      <w:bCs/>
                                      <w:sz w:val="6"/>
                                      <w:szCs w:val="6"/>
                                    </w:rPr>
                                  </w:pPr>
                                  <w:r w:rsidRPr="00CB5AED">
                                    <w:rPr>
                                      <w:rFonts w:cstheme="minorHAnsi"/>
                                      <w:b/>
                                      <w:bCs/>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F17C89" id="Flowchart: Connector 41" o:spid="_x0000_s1027" type="#_x0000_t120" style="position:absolute;left:0;text-align:left;margin-left:-.5pt;margin-top:.45pt;width:21.15pt;height:2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" fillcolor="#b1cbe9" strokecolor="#5b9bd5" strokeweight=".5pt">
                      <v:fill color2="#92b9e4" rotate="t" colors="0 #b1cbe9;.5 #a3c1e5;1 #92b9e4" focus="100%" type="gradient">
                        <o:fill v:ext="view" type="gradientUnscaled"/>
                      </v:fill>
                      <v:stroke joinstyle="miter"/>
                      <v:textbox>
                        <w:txbxContent>
                          <w:p w14:paraId="0B27DA2E" w14:textId="77777777" w:rsidR="00753E7C" w:rsidRPr="00CB5AED" w:rsidRDefault="00753E7C" w:rsidP="00753E7C">
                            <w:pPr>
                              <w:jc w:val="center"/>
                              <w:rPr>
                                <w:rFonts w:cstheme="minorHAnsi"/>
                                <w:b/>
                                <w:bCs/>
                                <w:sz w:val="6"/>
                                <w:szCs w:val="6"/>
                              </w:rPr>
                            </w:pPr>
                            <w:r w:rsidRPr="00CB5AED">
                              <w:rPr>
                                <w:rFonts w:cstheme="minorHAnsi"/>
                                <w:b/>
                                <w:bCs/>
                                <w:sz w:val="16"/>
                                <w:szCs w:val="16"/>
                              </w:rPr>
                              <w:t>A</w:t>
                            </w:r>
                          </w:p>
                        </w:txbxContent>
                      </v:textbox>
                    </v:shape>
                  </w:pict>
                </mc:Fallback>
              </mc:AlternateContent>
            </w:r>
          </w:p>
          <w:p w14:paraId="23C035C8" w14:textId="546F1DCB" w:rsidR="00753E7C" w:rsidRDefault="00753E7C" w:rsidP="00611803">
            <w:pPr>
              <w:jc w:val="center"/>
              <w:rPr>
                <w:rFonts w:cs="Calibri"/>
                <w:noProof/>
                <w:lang w:val="en-US"/>
              </w:rPr>
            </w:pPr>
            <w:r>
              <w:rPr>
                <w:noProof/>
                <w:lang w:val="en-US"/>
              </w:rPr>
              <w:drawing>
                <wp:inline distT="0" distB="0" distL="0" distR="0" wp14:anchorId="036057F2" wp14:editId="45D6E8F6">
                  <wp:extent cx="5534025" cy="2171700"/>
                  <wp:effectExtent l="0" t="0" r="9525" b="0"/>
                  <wp:docPr id="3177" name="Picture 317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7" name="Picture 3177" descr="Timeline&#10;&#10;Description automatically generated"/>
                          <pic:cNvPicPr/>
                        </pic:nvPicPr>
                        <pic:blipFill>
                          <a:blip r:embed="rId19"/>
                          <a:stretch>
                            <a:fillRect/>
                          </a:stretch>
                        </pic:blipFill>
                        <pic:spPr>
                          <a:xfrm>
                            <a:off x="0" y="0"/>
                            <a:ext cx="5534025" cy="2171700"/>
                          </a:xfrm>
                          <a:prstGeom prst="rect">
                            <a:avLst/>
                          </a:prstGeom>
                        </pic:spPr>
                      </pic:pic>
                    </a:graphicData>
                  </a:graphic>
                </wp:inline>
              </w:drawing>
            </w:r>
          </w:p>
        </w:tc>
      </w:tr>
      <w:tr w:rsidR="00753E7C" w14:paraId="336F460C" w14:textId="77777777" w:rsidTr="00611803">
        <w:tc>
          <w:tcPr>
            <w:tcW w:w="9017" w:type="dxa"/>
          </w:tcPr>
          <w:p w14:paraId="0A5CD1D6" w14:textId="72BD1828" w:rsidR="00753E7C" w:rsidRPr="003A4373" w:rsidRDefault="00753E7C" w:rsidP="00611803">
            <w:pPr>
              <w:pStyle w:val="EndNoteBibliography"/>
              <w:tabs>
                <w:tab w:val="left" w:pos="993"/>
              </w:tabs>
              <w:jc w:val="both"/>
              <w:rPr>
                <w:rFonts w:asciiTheme="minorHAnsi" w:hAnsiTheme="minorHAnsi" w:cstheme="minorHAnsi"/>
                <w:sz w:val="18"/>
                <w:szCs w:val="18"/>
              </w:rPr>
            </w:pPr>
            <w:r>
              <w:rPr>
                <w:rFonts w:asciiTheme="minorHAnsi" w:hAnsiTheme="minorHAnsi" w:cstheme="minorHAnsi"/>
                <w:sz w:val="18"/>
                <w:szCs w:val="18"/>
              </w:rPr>
              <w:t>A</w:t>
            </w:r>
            <w:r w:rsidRPr="003A4373">
              <w:rPr>
                <w:rFonts w:asciiTheme="minorHAnsi" w:hAnsiTheme="minorHAnsi" w:cstheme="minorHAnsi"/>
                <w:sz w:val="18"/>
                <w:szCs w:val="18"/>
              </w:rPr>
              <w:t xml:space="preserve">  - The forest plot shows the mean difference (MDs) and 95% credible interval (CrI) compared with placebo as reference treatment. MDs lower than 0 indicate favoured results for the intervention.</w:t>
            </w:r>
          </w:p>
          <w:p w14:paraId="25EAB165" w14:textId="5CB9730B" w:rsidR="00753E7C" w:rsidRPr="003A4373" w:rsidRDefault="00753E7C" w:rsidP="00611803">
            <w:pPr>
              <w:pStyle w:val="EndNoteBibliography"/>
              <w:tabs>
                <w:tab w:val="left" w:pos="993"/>
              </w:tabs>
              <w:jc w:val="both"/>
              <w:rPr>
                <w:rFonts w:asciiTheme="minorHAnsi" w:hAnsiTheme="minorHAnsi" w:cstheme="minorHAnsi"/>
                <w:sz w:val="18"/>
                <w:szCs w:val="18"/>
              </w:rPr>
            </w:pPr>
            <w:r>
              <w:rPr>
                <w:rFonts w:asciiTheme="minorHAnsi" w:hAnsiTheme="minorHAnsi" w:cstheme="minorHAnsi"/>
                <w:sz w:val="18"/>
                <w:szCs w:val="18"/>
              </w:rPr>
              <w:t>B</w:t>
            </w:r>
            <w:r w:rsidRPr="003A4373">
              <w:rPr>
                <w:rFonts w:asciiTheme="minorHAnsi" w:hAnsiTheme="minorHAnsi" w:cstheme="minorHAnsi"/>
                <w:sz w:val="18"/>
                <w:szCs w:val="18"/>
              </w:rPr>
              <w:t xml:space="preserve"> - Ranking probabilities graph (hatching blue bars) of each treatment and red bars are the SUCRA values for each treatment. The probabilities ranking ranged from 0 to 1. Due to rounding in R software these do not equate to one.</w:t>
            </w:r>
          </w:p>
          <w:p w14:paraId="37A44170" w14:textId="77777777" w:rsidR="00753E7C" w:rsidRPr="00C51412" w:rsidRDefault="00753E7C" w:rsidP="00611803">
            <w:pPr>
              <w:jc w:val="both"/>
              <w:rPr>
                <w:rFonts w:cstheme="minorHAnsi"/>
                <w:sz w:val="18"/>
                <w:szCs w:val="18"/>
              </w:rPr>
            </w:pPr>
            <w:r w:rsidRPr="003A4373">
              <w:rPr>
                <w:rFonts w:cstheme="minorHAnsi"/>
                <w:noProof/>
                <w:sz w:val="18"/>
                <w:szCs w:val="18"/>
                <w:lang w:val="en-US"/>
              </w:rPr>
              <w:t xml:space="preserve">Abbreviations: </w:t>
            </w:r>
            <w:r>
              <w:rPr>
                <w:rFonts w:cstheme="minorHAnsi"/>
                <w:sz w:val="18"/>
                <w:szCs w:val="18"/>
              </w:rPr>
              <w:t>MSQ-RR, Migraine Specific Quality of Life - Restrictive Role; S</w:t>
            </w:r>
            <w:r w:rsidRPr="00D95D5E">
              <w:rPr>
                <w:rFonts w:cstheme="minorHAnsi"/>
                <w:sz w:val="18"/>
                <w:szCs w:val="18"/>
              </w:rPr>
              <w:t>UCRA, surface under the cumulative ranking curve</w:t>
            </w:r>
            <w:r>
              <w:rPr>
                <w:rFonts w:cstheme="minorHAnsi"/>
                <w:sz w:val="18"/>
                <w:szCs w:val="18"/>
              </w:rPr>
              <w:t>.</w:t>
            </w:r>
          </w:p>
        </w:tc>
      </w:tr>
    </w:tbl>
    <w:p w14:paraId="4EDF0476" w14:textId="77777777" w:rsidR="00753E7C" w:rsidRDefault="00753E7C" w:rsidP="00753E7C">
      <w:pPr>
        <w:pStyle w:val="Caption"/>
      </w:pPr>
      <w:bookmarkStart w:id="14" w:name="_Ref116484728"/>
      <w:bookmarkStart w:id="15" w:name="_Toc133322724"/>
      <w:r>
        <w:t>Figure 7: Summary of the change in MSQ-RR from baseline</w:t>
      </w:r>
    </w:p>
    <w:p w14:paraId="527C78EC" w14:textId="0A4C739E" w:rsidR="00753E7C" w:rsidRDefault="00753E7C" w:rsidP="00753E7C">
      <w:pPr>
        <w:pStyle w:val="Caption"/>
        <w:keepNext/>
        <w:spacing w:after="0"/>
      </w:pPr>
      <w:bookmarkStart w:id="16" w:name="_Ref116484403"/>
      <w:bookmarkStart w:id="17" w:name="_Toc125986386"/>
      <w:r w:rsidRPr="00753E7C">
        <w:lastRenderedPageBreak/>
        <w:t xml:space="preserve">Table </w:t>
      </w:r>
      <w:bookmarkEnd w:id="16"/>
      <w:r w:rsidR="00047048">
        <w:t>5</w:t>
      </w:r>
      <w:r w:rsidRPr="00753E7C">
        <w:t>: Head-to-head comparisons of treatments for mean change in MSQ-RR from baseline</w:t>
      </w:r>
      <w:bookmarkEnd w:id="17"/>
    </w:p>
    <w:tbl>
      <w:tblPr>
        <w:tblW w:w="5000" w:type="pct"/>
        <w:tblLook w:val="04A0" w:firstRow="1" w:lastRow="0" w:firstColumn="1" w:lastColumn="0" w:noHBand="0" w:noVBand="1"/>
      </w:tblPr>
      <w:tblGrid>
        <w:gridCol w:w="1072"/>
        <w:gridCol w:w="1210"/>
        <w:gridCol w:w="1068"/>
        <w:gridCol w:w="982"/>
        <w:gridCol w:w="1015"/>
        <w:gridCol w:w="1023"/>
        <w:gridCol w:w="1210"/>
        <w:gridCol w:w="1094"/>
        <w:gridCol w:w="569"/>
      </w:tblGrid>
      <w:tr w:rsidR="007E0C63" w:rsidRPr="00C05506" w14:paraId="7FB57B4D" w14:textId="77777777" w:rsidTr="00753E7C">
        <w:trPr>
          <w:trHeight w:val="693"/>
        </w:trPr>
        <w:tc>
          <w:tcPr>
            <w:tcW w:w="612" w:type="pct"/>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0C37D499" w14:textId="2406FEB6" w:rsidR="00753E7C" w:rsidRPr="0031702A" w:rsidRDefault="00753E7C" w:rsidP="00611803">
            <w:pPr>
              <w:spacing w:line="240" w:lineRule="auto"/>
              <w:jc w:val="center"/>
              <w:rPr>
                <w:rFonts w:eastAsia="Times New Roman" w:cs="Calibri"/>
                <w:color w:val="000000"/>
                <w:sz w:val="20"/>
                <w:szCs w:val="20"/>
                <w:lang w:eastAsia="en-GB"/>
              </w:rPr>
            </w:pPr>
            <w:proofErr w:type="spellStart"/>
            <w:r w:rsidRPr="0031702A">
              <w:rPr>
                <w:rFonts w:eastAsia="Times New Roman" w:cs="Calibri"/>
                <w:color w:val="000000"/>
                <w:sz w:val="20"/>
                <w:szCs w:val="20"/>
                <w:lang w:eastAsia="en-GB"/>
              </w:rPr>
              <w:t>Erenumab</w:t>
            </w:r>
            <w:proofErr w:type="spellEnd"/>
            <w:r w:rsidRPr="0031702A">
              <w:rPr>
                <w:rFonts w:eastAsia="Times New Roman" w:cs="Calibri"/>
                <w:color w:val="000000"/>
                <w:sz w:val="20"/>
                <w:szCs w:val="20"/>
                <w:lang w:eastAsia="en-GB"/>
              </w:rPr>
              <w:t xml:space="preserve"> 140mg</w:t>
            </w:r>
          </w:p>
        </w:tc>
        <w:tc>
          <w:tcPr>
            <w:tcW w:w="571" w:type="pct"/>
            <w:tcBorders>
              <w:top w:val="nil"/>
              <w:left w:val="nil"/>
              <w:bottom w:val="nil"/>
              <w:right w:val="nil"/>
            </w:tcBorders>
            <w:shd w:val="clear" w:color="auto" w:fill="auto"/>
            <w:noWrap/>
            <w:vAlign w:val="bottom"/>
            <w:hideMark/>
          </w:tcPr>
          <w:p w14:paraId="54E3A369" w14:textId="77777777" w:rsidR="00753E7C" w:rsidRPr="0031702A" w:rsidRDefault="00753E7C" w:rsidP="00611803">
            <w:pPr>
              <w:spacing w:line="240" w:lineRule="auto"/>
              <w:jc w:val="center"/>
              <w:rPr>
                <w:rFonts w:eastAsia="Times New Roman" w:cs="Calibri"/>
                <w:color w:val="000000"/>
                <w:sz w:val="20"/>
                <w:szCs w:val="20"/>
                <w:lang w:eastAsia="en-GB"/>
              </w:rPr>
            </w:pPr>
          </w:p>
        </w:tc>
        <w:tc>
          <w:tcPr>
            <w:tcW w:w="552" w:type="pct"/>
            <w:tcBorders>
              <w:top w:val="nil"/>
              <w:left w:val="nil"/>
              <w:bottom w:val="nil"/>
              <w:right w:val="nil"/>
            </w:tcBorders>
            <w:shd w:val="clear" w:color="auto" w:fill="auto"/>
            <w:noWrap/>
            <w:vAlign w:val="bottom"/>
            <w:hideMark/>
          </w:tcPr>
          <w:p w14:paraId="3C00C4F7"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551" w:type="pct"/>
            <w:tcBorders>
              <w:top w:val="nil"/>
              <w:left w:val="nil"/>
              <w:bottom w:val="nil"/>
              <w:right w:val="nil"/>
            </w:tcBorders>
            <w:shd w:val="clear" w:color="auto" w:fill="auto"/>
            <w:noWrap/>
            <w:vAlign w:val="bottom"/>
            <w:hideMark/>
          </w:tcPr>
          <w:p w14:paraId="04911F0F"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564" w:type="pct"/>
            <w:tcBorders>
              <w:top w:val="nil"/>
              <w:left w:val="nil"/>
              <w:bottom w:val="nil"/>
              <w:right w:val="nil"/>
            </w:tcBorders>
            <w:shd w:val="clear" w:color="auto" w:fill="auto"/>
            <w:noWrap/>
            <w:vAlign w:val="bottom"/>
            <w:hideMark/>
          </w:tcPr>
          <w:p w14:paraId="4E61486F"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571" w:type="pct"/>
            <w:tcBorders>
              <w:top w:val="nil"/>
              <w:left w:val="nil"/>
              <w:bottom w:val="nil"/>
              <w:right w:val="nil"/>
            </w:tcBorders>
            <w:shd w:val="clear" w:color="auto" w:fill="auto"/>
            <w:noWrap/>
            <w:vAlign w:val="bottom"/>
            <w:hideMark/>
          </w:tcPr>
          <w:p w14:paraId="052496D4"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578" w:type="pct"/>
            <w:tcBorders>
              <w:top w:val="nil"/>
              <w:left w:val="nil"/>
              <w:bottom w:val="nil"/>
              <w:right w:val="nil"/>
            </w:tcBorders>
            <w:shd w:val="clear" w:color="auto" w:fill="auto"/>
            <w:noWrap/>
            <w:vAlign w:val="bottom"/>
            <w:hideMark/>
          </w:tcPr>
          <w:p w14:paraId="67BB07F3"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571" w:type="pct"/>
            <w:tcBorders>
              <w:top w:val="nil"/>
              <w:left w:val="nil"/>
              <w:bottom w:val="nil"/>
              <w:right w:val="nil"/>
            </w:tcBorders>
            <w:shd w:val="clear" w:color="auto" w:fill="auto"/>
            <w:noWrap/>
            <w:vAlign w:val="bottom"/>
            <w:hideMark/>
          </w:tcPr>
          <w:p w14:paraId="0D2CD351"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428" w:type="pct"/>
            <w:tcBorders>
              <w:top w:val="nil"/>
              <w:left w:val="nil"/>
              <w:bottom w:val="nil"/>
              <w:right w:val="nil"/>
            </w:tcBorders>
            <w:shd w:val="clear" w:color="auto" w:fill="auto"/>
            <w:noWrap/>
            <w:vAlign w:val="bottom"/>
            <w:hideMark/>
          </w:tcPr>
          <w:p w14:paraId="0BB37C55"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r>
      <w:tr w:rsidR="007E0C63" w:rsidRPr="00C05506" w14:paraId="0E1FA126" w14:textId="77777777" w:rsidTr="00753E7C">
        <w:trPr>
          <w:trHeight w:val="693"/>
        </w:trPr>
        <w:tc>
          <w:tcPr>
            <w:tcW w:w="612" w:type="pct"/>
            <w:tcBorders>
              <w:top w:val="nil"/>
              <w:left w:val="single" w:sz="4" w:space="0" w:color="auto"/>
              <w:bottom w:val="single" w:sz="4" w:space="0" w:color="auto"/>
              <w:right w:val="single" w:sz="4" w:space="0" w:color="auto"/>
            </w:tcBorders>
            <w:shd w:val="clear" w:color="auto" w:fill="auto"/>
            <w:noWrap/>
            <w:vAlign w:val="center"/>
            <w:hideMark/>
          </w:tcPr>
          <w:p w14:paraId="7048428A"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1.02 (-4.32, 6.49)</w:t>
            </w:r>
          </w:p>
        </w:tc>
        <w:tc>
          <w:tcPr>
            <w:tcW w:w="571" w:type="pct"/>
            <w:tcBorders>
              <w:top w:val="single" w:sz="4" w:space="0" w:color="auto"/>
              <w:left w:val="nil"/>
              <w:bottom w:val="single" w:sz="4" w:space="0" w:color="auto"/>
              <w:right w:val="single" w:sz="4" w:space="0" w:color="auto"/>
            </w:tcBorders>
            <w:shd w:val="clear" w:color="000000" w:fill="F8CBAD"/>
            <w:noWrap/>
            <w:vAlign w:val="center"/>
            <w:hideMark/>
          </w:tcPr>
          <w:p w14:paraId="1F2D94DB" w14:textId="54A39E91"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Galcanezumab 240</w:t>
            </w:r>
            <w:r w:rsidR="007E0C63">
              <w:rPr>
                <w:rFonts w:eastAsia="Times New Roman" w:cs="Calibri"/>
                <w:color w:val="000000"/>
                <w:sz w:val="20"/>
                <w:szCs w:val="20"/>
                <w:lang w:eastAsia="en-GB"/>
              </w:rPr>
              <w:t>mg</w:t>
            </w:r>
          </w:p>
        </w:tc>
        <w:tc>
          <w:tcPr>
            <w:tcW w:w="552" w:type="pct"/>
            <w:tcBorders>
              <w:top w:val="nil"/>
              <w:left w:val="nil"/>
              <w:bottom w:val="nil"/>
              <w:right w:val="nil"/>
            </w:tcBorders>
            <w:shd w:val="clear" w:color="auto" w:fill="auto"/>
            <w:noWrap/>
            <w:vAlign w:val="bottom"/>
            <w:hideMark/>
          </w:tcPr>
          <w:p w14:paraId="32B45E9D" w14:textId="77777777" w:rsidR="00753E7C" w:rsidRPr="0031702A" w:rsidRDefault="00753E7C" w:rsidP="00611803">
            <w:pPr>
              <w:spacing w:line="240" w:lineRule="auto"/>
              <w:jc w:val="center"/>
              <w:rPr>
                <w:rFonts w:eastAsia="Times New Roman" w:cs="Calibri"/>
                <w:color w:val="000000"/>
                <w:sz w:val="20"/>
                <w:szCs w:val="20"/>
                <w:lang w:eastAsia="en-GB"/>
              </w:rPr>
            </w:pPr>
          </w:p>
        </w:tc>
        <w:tc>
          <w:tcPr>
            <w:tcW w:w="551" w:type="pct"/>
            <w:tcBorders>
              <w:top w:val="nil"/>
              <w:left w:val="nil"/>
              <w:bottom w:val="nil"/>
              <w:right w:val="nil"/>
            </w:tcBorders>
            <w:shd w:val="clear" w:color="auto" w:fill="auto"/>
            <w:noWrap/>
            <w:vAlign w:val="bottom"/>
            <w:hideMark/>
          </w:tcPr>
          <w:p w14:paraId="4C9E8AB2"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564" w:type="pct"/>
            <w:tcBorders>
              <w:top w:val="nil"/>
              <w:left w:val="nil"/>
              <w:bottom w:val="nil"/>
              <w:right w:val="nil"/>
            </w:tcBorders>
            <w:shd w:val="clear" w:color="auto" w:fill="auto"/>
            <w:noWrap/>
            <w:vAlign w:val="bottom"/>
            <w:hideMark/>
          </w:tcPr>
          <w:p w14:paraId="793BAA73"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571" w:type="pct"/>
            <w:tcBorders>
              <w:top w:val="nil"/>
              <w:left w:val="nil"/>
              <w:bottom w:val="nil"/>
              <w:right w:val="nil"/>
            </w:tcBorders>
            <w:shd w:val="clear" w:color="auto" w:fill="auto"/>
            <w:noWrap/>
            <w:vAlign w:val="bottom"/>
            <w:hideMark/>
          </w:tcPr>
          <w:p w14:paraId="0106EB2D"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578" w:type="pct"/>
            <w:tcBorders>
              <w:top w:val="nil"/>
              <w:left w:val="nil"/>
              <w:bottom w:val="nil"/>
              <w:right w:val="nil"/>
            </w:tcBorders>
            <w:shd w:val="clear" w:color="auto" w:fill="auto"/>
            <w:noWrap/>
            <w:vAlign w:val="bottom"/>
            <w:hideMark/>
          </w:tcPr>
          <w:p w14:paraId="0178D852"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571" w:type="pct"/>
            <w:tcBorders>
              <w:top w:val="nil"/>
              <w:left w:val="nil"/>
              <w:bottom w:val="nil"/>
              <w:right w:val="nil"/>
            </w:tcBorders>
            <w:shd w:val="clear" w:color="auto" w:fill="auto"/>
            <w:noWrap/>
            <w:vAlign w:val="bottom"/>
            <w:hideMark/>
          </w:tcPr>
          <w:p w14:paraId="140F7365"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428" w:type="pct"/>
            <w:tcBorders>
              <w:top w:val="nil"/>
              <w:left w:val="nil"/>
              <w:bottom w:val="nil"/>
              <w:right w:val="nil"/>
            </w:tcBorders>
            <w:shd w:val="clear" w:color="auto" w:fill="auto"/>
            <w:noWrap/>
            <w:vAlign w:val="bottom"/>
            <w:hideMark/>
          </w:tcPr>
          <w:p w14:paraId="2FCAB21C"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r>
      <w:tr w:rsidR="007E0C63" w:rsidRPr="00C05506" w14:paraId="036CFA3F" w14:textId="77777777" w:rsidTr="00753E7C">
        <w:trPr>
          <w:trHeight w:val="693"/>
        </w:trPr>
        <w:tc>
          <w:tcPr>
            <w:tcW w:w="612" w:type="pct"/>
            <w:tcBorders>
              <w:top w:val="nil"/>
              <w:left w:val="single" w:sz="4" w:space="0" w:color="auto"/>
              <w:bottom w:val="single" w:sz="4" w:space="0" w:color="auto"/>
              <w:right w:val="single" w:sz="4" w:space="0" w:color="auto"/>
            </w:tcBorders>
            <w:shd w:val="clear" w:color="auto" w:fill="auto"/>
            <w:noWrap/>
            <w:vAlign w:val="center"/>
            <w:hideMark/>
          </w:tcPr>
          <w:p w14:paraId="6E75D6C7"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1.02 (-4.15, 6.29)</w:t>
            </w:r>
          </w:p>
        </w:tc>
        <w:tc>
          <w:tcPr>
            <w:tcW w:w="571" w:type="pct"/>
            <w:tcBorders>
              <w:top w:val="nil"/>
              <w:left w:val="nil"/>
              <w:bottom w:val="single" w:sz="4" w:space="0" w:color="auto"/>
              <w:right w:val="single" w:sz="4" w:space="0" w:color="auto"/>
            </w:tcBorders>
            <w:shd w:val="clear" w:color="auto" w:fill="auto"/>
            <w:noWrap/>
            <w:vAlign w:val="center"/>
            <w:hideMark/>
          </w:tcPr>
          <w:p w14:paraId="39BD79AE"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0.01 (-4.58, 4.60)</w:t>
            </w:r>
          </w:p>
        </w:tc>
        <w:tc>
          <w:tcPr>
            <w:tcW w:w="552" w:type="pct"/>
            <w:tcBorders>
              <w:top w:val="single" w:sz="4" w:space="0" w:color="auto"/>
              <w:left w:val="nil"/>
              <w:bottom w:val="single" w:sz="4" w:space="0" w:color="auto"/>
              <w:right w:val="single" w:sz="4" w:space="0" w:color="auto"/>
            </w:tcBorders>
            <w:shd w:val="clear" w:color="000000" w:fill="F8CBAD"/>
            <w:noWrap/>
            <w:vAlign w:val="center"/>
            <w:hideMark/>
          </w:tcPr>
          <w:p w14:paraId="34F1E14D"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 xml:space="preserve"> Fremanezumab-M</w:t>
            </w:r>
          </w:p>
        </w:tc>
        <w:tc>
          <w:tcPr>
            <w:tcW w:w="551" w:type="pct"/>
            <w:tcBorders>
              <w:top w:val="nil"/>
              <w:left w:val="nil"/>
              <w:bottom w:val="nil"/>
              <w:right w:val="nil"/>
            </w:tcBorders>
            <w:shd w:val="clear" w:color="auto" w:fill="auto"/>
            <w:noWrap/>
            <w:vAlign w:val="bottom"/>
            <w:hideMark/>
          </w:tcPr>
          <w:p w14:paraId="3E5D1FB0" w14:textId="77777777" w:rsidR="00753E7C" w:rsidRPr="0031702A" w:rsidRDefault="00753E7C" w:rsidP="00611803">
            <w:pPr>
              <w:spacing w:line="240" w:lineRule="auto"/>
              <w:jc w:val="center"/>
              <w:rPr>
                <w:rFonts w:eastAsia="Times New Roman" w:cs="Calibri"/>
                <w:color w:val="000000"/>
                <w:sz w:val="20"/>
                <w:szCs w:val="20"/>
                <w:lang w:eastAsia="en-GB"/>
              </w:rPr>
            </w:pPr>
          </w:p>
        </w:tc>
        <w:tc>
          <w:tcPr>
            <w:tcW w:w="564" w:type="pct"/>
            <w:tcBorders>
              <w:top w:val="nil"/>
              <w:left w:val="nil"/>
              <w:bottom w:val="nil"/>
              <w:right w:val="nil"/>
            </w:tcBorders>
            <w:shd w:val="clear" w:color="auto" w:fill="auto"/>
            <w:noWrap/>
            <w:vAlign w:val="bottom"/>
            <w:hideMark/>
          </w:tcPr>
          <w:p w14:paraId="15957F2D"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571" w:type="pct"/>
            <w:tcBorders>
              <w:top w:val="nil"/>
              <w:left w:val="nil"/>
              <w:bottom w:val="nil"/>
              <w:right w:val="nil"/>
            </w:tcBorders>
            <w:shd w:val="clear" w:color="auto" w:fill="auto"/>
            <w:noWrap/>
            <w:vAlign w:val="bottom"/>
            <w:hideMark/>
          </w:tcPr>
          <w:p w14:paraId="233CABD4"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578" w:type="pct"/>
            <w:tcBorders>
              <w:top w:val="nil"/>
              <w:left w:val="nil"/>
              <w:bottom w:val="nil"/>
              <w:right w:val="nil"/>
            </w:tcBorders>
            <w:shd w:val="clear" w:color="auto" w:fill="auto"/>
            <w:noWrap/>
            <w:vAlign w:val="bottom"/>
            <w:hideMark/>
          </w:tcPr>
          <w:p w14:paraId="6998AC9E"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571" w:type="pct"/>
            <w:tcBorders>
              <w:top w:val="nil"/>
              <w:left w:val="nil"/>
              <w:bottom w:val="nil"/>
              <w:right w:val="nil"/>
            </w:tcBorders>
            <w:shd w:val="clear" w:color="auto" w:fill="auto"/>
            <w:noWrap/>
            <w:vAlign w:val="bottom"/>
            <w:hideMark/>
          </w:tcPr>
          <w:p w14:paraId="212329FA"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428" w:type="pct"/>
            <w:tcBorders>
              <w:top w:val="nil"/>
              <w:left w:val="nil"/>
              <w:bottom w:val="nil"/>
              <w:right w:val="nil"/>
            </w:tcBorders>
            <w:shd w:val="clear" w:color="auto" w:fill="auto"/>
            <w:noWrap/>
            <w:vAlign w:val="bottom"/>
            <w:hideMark/>
          </w:tcPr>
          <w:p w14:paraId="5D0E29F8"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r>
      <w:tr w:rsidR="007E0C63" w:rsidRPr="00C05506" w14:paraId="2BA70249" w14:textId="77777777" w:rsidTr="00753E7C">
        <w:trPr>
          <w:trHeight w:val="693"/>
        </w:trPr>
        <w:tc>
          <w:tcPr>
            <w:tcW w:w="612" w:type="pct"/>
            <w:tcBorders>
              <w:top w:val="nil"/>
              <w:left w:val="single" w:sz="4" w:space="0" w:color="auto"/>
              <w:bottom w:val="single" w:sz="4" w:space="0" w:color="auto"/>
              <w:right w:val="single" w:sz="4" w:space="0" w:color="auto"/>
            </w:tcBorders>
            <w:shd w:val="clear" w:color="auto" w:fill="auto"/>
            <w:noWrap/>
            <w:vAlign w:val="center"/>
            <w:hideMark/>
          </w:tcPr>
          <w:p w14:paraId="06C8ECA0"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-0.96 (-6.59, 4.94)</w:t>
            </w:r>
          </w:p>
        </w:tc>
        <w:tc>
          <w:tcPr>
            <w:tcW w:w="571" w:type="pct"/>
            <w:tcBorders>
              <w:top w:val="nil"/>
              <w:left w:val="nil"/>
              <w:bottom w:val="single" w:sz="4" w:space="0" w:color="auto"/>
              <w:right w:val="single" w:sz="4" w:space="0" w:color="auto"/>
            </w:tcBorders>
            <w:shd w:val="clear" w:color="auto" w:fill="auto"/>
            <w:noWrap/>
            <w:vAlign w:val="center"/>
            <w:hideMark/>
          </w:tcPr>
          <w:p w14:paraId="652A7044"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0.06 (-4.79, 4.89)</w:t>
            </w:r>
          </w:p>
        </w:tc>
        <w:tc>
          <w:tcPr>
            <w:tcW w:w="552" w:type="pct"/>
            <w:tcBorders>
              <w:top w:val="nil"/>
              <w:left w:val="nil"/>
              <w:bottom w:val="single" w:sz="4" w:space="0" w:color="auto"/>
              <w:right w:val="single" w:sz="4" w:space="0" w:color="auto"/>
            </w:tcBorders>
            <w:shd w:val="clear" w:color="auto" w:fill="auto"/>
            <w:noWrap/>
            <w:vAlign w:val="center"/>
            <w:hideMark/>
          </w:tcPr>
          <w:p w14:paraId="2821DF1C"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0.06(-4.78, 4.75)</w:t>
            </w:r>
          </w:p>
        </w:tc>
        <w:tc>
          <w:tcPr>
            <w:tcW w:w="551" w:type="pct"/>
            <w:tcBorders>
              <w:top w:val="single" w:sz="4" w:space="0" w:color="auto"/>
              <w:left w:val="nil"/>
              <w:bottom w:val="single" w:sz="4" w:space="0" w:color="auto"/>
              <w:right w:val="single" w:sz="4" w:space="0" w:color="auto"/>
            </w:tcBorders>
            <w:shd w:val="clear" w:color="000000" w:fill="F8CBAD"/>
            <w:noWrap/>
            <w:vAlign w:val="center"/>
            <w:hideMark/>
          </w:tcPr>
          <w:p w14:paraId="3678F90F" w14:textId="6FBC795A" w:rsidR="00753E7C" w:rsidRPr="0031702A" w:rsidRDefault="00AE38D5"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BTA</w:t>
            </w:r>
          </w:p>
        </w:tc>
        <w:tc>
          <w:tcPr>
            <w:tcW w:w="564" w:type="pct"/>
            <w:tcBorders>
              <w:top w:val="nil"/>
              <w:left w:val="nil"/>
              <w:bottom w:val="nil"/>
              <w:right w:val="nil"/>
            </w:tcBorders>
            <w:shd w:val="clear" w:color="auto" w:fill="auto"/>
            <w:noWrap/>
            <w:vAlign w:val="bottom"/>
            <w:hideMark/>
          </w:tcPr>
          <w:p w14:paraId="59F77DA7" w14:textId="77777777" w:rsidR="00753E7C" w:rsidRPr="0031702A" w:rsidRDefault="00753E7C" w:rsidP="00611803">
            <w:pPr>
              <w:spacing w:line="240" w:lineRule="auto"/>
              <w:jc w:val="center"/>
              <w:rPr>
                <w:rFonts w:eastAsia="Times New Roman" w:cs="Calibri"/>
                <w:color w:val="000000"/>
                <w:sz w:val="20"/>
                <w:szCs w:val="20"/>
                <w:lang w:eastAsia="en-GB"/>
              </w:rPr>
            </w:pPr>
          </w:p>
        </w:tc>
        <w:tc>
          <w:tcPr>
            <w:tcW w:w="571" w:type="pct"/>
            <w:tcBorders>
              <w:top w:val="nil"/>
              <w:left w:val="nil"/>
              <w:bottom w:val="nil"/>
              <w:right w:val="nil"/>
            </w:tcBorders>
            <w:shd w:val="clear" w:color="auto" w:fill="auto"/>
            <w:noWrap/>
            <w:vAlign w:val="bottom"/>
            <w:hideMark/>
          </w:tcPr>
          <w:p w14:paraId="069C5B45"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578" w:type="pct"/>
            <w:tcBorders>
              <w:top w:val="nil"/>
              <w:left w:val="nil"/>
              <w:bottom w:val="nil"/>
              <w:right w:val="nil"/>
            </w:tcBorders>
            <w:shd w:val="clear" w:color="auto" w:fill="auto"/>
            <w:noWrap/>
            <w:vAlign w:val="bottom"/>
            <w:hideMark/>
          </w:tcPr>
          <w:p w14:paraId="37661340"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571" w:type="pct"/>
            <w:tcBorders>
              <w:top w:val="nil"/>
              <w:left w:val="nil"/>
              <w:bottom w:val="nil"/>
              <w:right w:val="nil"/>
            </w:tcBorders>
            <w:shd w:val="clear" w:color="auto" w:fill="auto"/>
            <w:noWrap/>
            <w:vAlign w:val="bottom"/>
            <w:hideMark/>
          </w:tcPr>
          <w:p w14:paraId="61FD4608"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428" w:type="pct"/>
            <w:tcBorders>
              <w:top w:val="nil"/>
              <w:left w:val="nil"/>
              <w:bottom w:val="nil"/>
              <w:right w:val="nil"/>
            </w:tcBorders>
            <w:shd w:val="clear" w:color="auto" w:fill="auto"/>
            <w:noWrap/>
            <w:vAlign w:val="bottom"/>
            <w:hideMark/>
          </w:tcPr>
          <w:p w14:paraId="4C747B32"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r>
      <w:tr w:rsidR="007E0C63" w:rsidRPr="00C05506" w14:paraId="09C035DD" w14:textId="77777777" w:rsidTr="00753E7C">
        <w:trPr>
          <w:trHeight w:val="693"/>
        </w:trPr>
        <w:tc>
          <w:tcPr>
            <w:tcW w:w="612" w:type="pct"/>
            <w:tcBorders>
              <w:top w:val="nil"/>
              <w:left w:val="single" w:sz="4" w:space="0" w:color="auto"/>
              <w:bottom w:val="single" w:sz="4" w:space="0" w:color="auto"/>
              <w:right w:val="single" w:sz="4" w:space="0" w:color="auto"/>
            </w:tcBorders>
            <w:shd w:val="clear" w:color="auto" w:fill="auto"/>
            <w:noWrap/>
            <w:vAlign w:val="center"/>
            <w:hideMark/>
          </w:tcPr>
          <w:p w14:paraId="410F6B2F"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1.41 (-3.01, 5.86)</w:t>
            </w:r>
          </w:p>
        </w:tc>
        <w:tc>
          <w:tcPr>
            <w:tcW w:w="571" w:type="pct"/>
            <w:tcBorders>
              <w:top w:val="nil"/>
              <w:left w:val="nil"/>
              <w:bottom w:val="single" w:sz="4" w:space="0" w:color="auto"/>
              <w:right w:val="single" w:sz="4" w:space="0" w:color="auto"/>
            </w:tcBorders>
            <w:shd w:val="clear" w:color="auto" w:fill="auto"/>
            <w:noWrap/>
            <w:vAlign w:val="center"/>
            <w:hideMark/>
          </w:tcPr>
          <w:p w14:paraId="078FBA8D"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-0.39 (-5.47, 4.59)</w:t>
            </w:r>
          </w:p>
        </w:tc>
        <w:tc>
          <w:tcPr>
            <w:tcW w:w="552" w:type="pct"/>
            <w:tcBorders>
              <w:top w:val="nil"/>
              <w:left w:val="nil"/>
              <w:bottom w:val="single" w:sz="4" w:space="0" w:color="auto"/>
              <w:right w:val="single" w:sz="4" w:space="0" w:color="auto"/>
            </w:tcBorders>
            <w:shd w:val="clear" w:color="auto" w:fill="auto"/>
            <w:noWrap/>
            <w:vAlign w:val="center"/>
            <w:hideMark/>
          </w:tcPr>
          <w:p w14:paraId="2FF469D9"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-0.39 (-5.42, 4.53)</w:t>
            </w:r>
          </w:p>
        </w:tc>
        <w:tc>
          <w:tcPr>
            <w:tcW w:w="551" w:type="pct"/>
            <w:tcBorders>
              <w:top w:val="nil"/>
              <w:left w:val="nil"/>
              <w:bottom w:val="single" w:sz="4" w:space="0" w:color="auto"/>
              <w:right w:val="single" w:sz="4" w:space="0" w:color="auto"/>
            </w:tcBorders>
            <w:shd w:val="clear" w:color="auto" w:fill="auto"/>
            <w:noWrap/>
            <w:vAlign w:val="center"/>
            <w:hideMark/>
          </w:tcPr>
          <w:p w14:paraId="4E8D6D44"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0.45 (-5.09, 5.81)</w:t>
            </w:r>
          </w:p>
        </w:tc>
        <w:tc>
          <w:tcPr>
            <w:tcW w:w="564" w:type="pct"/>
            <w:tcBorders>
              <w:top w:val="single" w:sz="4" w:space="0" w:color="auto"/>
              <w:left w:val="nil"/>
              <w:bottom w:val="single" w:sz="4" w:space="0" w:color="auto"/>
              <w:right w:val="single" w:sz="4" w:space="0" w:color="auto"/>
            </w:tcBorders>
            <w:shd w:val="clear" w:color="000000" w:fill="F8CBAD"/>
            <w:noWrap/>
            <w:vAlign w:val="center"/>
            <w:hideMark/>
          </w:tcPr>
          <w:p w14:paraId="22A5B5D4" w14:textId="047FEA55"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Erenumab 70mg</w:t>
            </w:r>
          </w:p>
        </w:tc>
        <w:tc>
          <w:tcPr>
            <w:tcW w:w="571" w:type="pct"/>
            <w:tcBorders>
              <w:top w:val="nil"/>
              <w:left w:val="nil"/>
              <w:bottom w:val="nil"/>
              <w:right w:val="nil"/>
            </w:tcBorders>
            <w:shd w:val="clear" w:color="auto" w:fill="auto"/>
            <w:noWrap/>
            <w:vAlign w:val="bottom"/>
            <w:hideMark/>
          </w:tcPr>
          <w:p w14:paraId="4A3D3D9D" w14:textId="77777777" w:rsidR="00753E7C" w:rsidRPr="0031702A" w:rsidRDefault="00753E7C" w:rsidP="00611803">
            <w:pPr>
              <w:spacing w:line="240" w:lineRule="auto"/>
              <w:jc w:val="center"/>
              <w:rPr>
                <w:rFonts w:eastAsia="Times New Roman" w:cs="Calibri"/>
                <w:color w:val="000000"/>
                <w:sz w:val="20"/>
                <w:szCs w:val="20"/>
                <w:lang w:eastAsia="en-GB"/>
              </w:rPr>
            </w:pPr>
          </w:p>
        </w:tc>
        <w:tc>
          <w:tcPr>
            <w:tcW w:w="578" w:type="pct"/>
            <w:tcBorders>
              <w:top w:val="nil"/>
              <w:left w:val="nil"/>
              <w:bottom w:val="nil"/>
              <w:right w:val="nil"/>
            </w:tcBorders>
            <w:shd w:val="clear" w:color="auto" w:fill="auto"/>
            <w:noWrap/>
            <w:vAlign w:val="bottom"/>
            <w:hideMark/>
          </w:tcPr>
          <w:p w14:paraId="2A718156"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571" w:type="pct"/>
            <w:tcBorders>
              <w:top w:val="nil"/>
              <w:left w:val="nil"/>
              <w:bottom w:val="nil"/>
              <w:right w:val="nil"/>
            </w:tcBorders>
            <w:shd w:val="clear" w:color="auto" w:fill="auto"/>
            <w:noWrap/>
            <w:vAlign w:val="bottom"/>
            <w:hideMark/>
          </w:tcPr>
          <w:p w14:paraId="5F7B76CA"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428" w:type="pct"/>
            <w:tcBorders>
              <w:top w:val="nil"/>
              <w:left w:val="nil"/>
              <w:bottom w:val="nil"/>
              <w:right w:val="nil"/>
            </w:tcBorders>
            <w:shd w:val="clear" w:color="auto" w:fill="auto"/>
            <w:noWrap/>
            <w:vAlign w:val="bottom"/>
            <w:hideMark/>
          </w:tcPr>
          <w:p w14:paraId="1E890637"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r>
      <w:tr w:rsidR="007E0C63" w:rsidRPr="00C05506" w14:paraId="53BD35A9" w14:textId="77777777" w:rsidTr="00753E7C">
        <w:trPr>
          <w:trHeight w:val="693"/>
        </w:trPr>
        <w:tc>
          <w:tcPr>
            <w:tcW w:w="612" w:type="pct"/>
            <w:tcBorders>
              <w:top w:val="nil"/>
              <w:left w:val="single" w:sz="4" w:space="0" w:color="auto"/>
              <w:bottom w:val="single" w:sz="4" w:space="0" w:color="auto"/>
              <w:right w:val="single" w:sz="4" w:space="0" w:color="auto"/>
            </w:tcBorders>
            <w:shd w:val="clear" w:color="auto" w:fill="auto"/>
            <w:noWrap/>
            <w:vAlign w:val="center"/>
            <w:hideMark/>
          </w:tcPr>
          <w:p w14:paraId="2DDF1682"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1.71 (-3.49, 6.85)</w:t>
            </w:r>
          </w:p>
        </w:tc>
        <w:tc>
          <w:tcPr>
            <w:tcW w:w="571" w:type="pct"/>
            <w:tcBorders>
              <w:top w:val="nil"/>
              <w:left w:val="nil"/>
              <w:bottom w:val="single" w:sz="4" w:space="0" w:color="auto"/>
              <w:right w:val="single" w:sz="4" w:space="0" w:color="auto"/>
            </w:tcBorders>
            <w:shd w:val="clear" w:color="auto" w:fill="auto"/>
            <w:noWrap/>
            <w:vAlign w:val="center"/>
            <w:hideMark/>
          </w:tcPr>
          <w:p w14:paraId="626F4E0B"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0.68 (-3.68, 5.07)</w:t>
            </w:r>
          </w:p>
        </w:tc>
        <w:tc>
          <w:tcPr>
            <w:tcW w:w="552" w:type="pct"/>
            <w:tcBorders>
              <w:top w:val="nil"/>
              <w:left w:val="nil"/>
              <w:bottom w:val="single" w:sz="4" w:space="0" w:color="auto"/>
              <w:right w:val="single" w:sz="4" w:space="0" w:color="auto"/>
            </w:tcBorders>
            <w:shd w:val="clear" w:color="auto" w:fill="auto"/>
            <w:noWrap/>
            <w:vAlign w:val="center"/>
            <w:hideMark/>
          </w:tcPr>
          <w:p w14:paraId="6311ED83"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0.69 (-2.38, 3.66)</w:t>
            </w:r>
          </w:p>
        </w:tc>
        <w:tc>
          <w:tcPr>
            <w:tcW w:w="551" w:type="pct"/>
            <w:tcBorders>
              <w:top w:val="nil"/>
              <w:left w:val="nil"/>
              <w:bottom w:val="single" w:sz="4" w:space="0" w:color="auto"/>
              <w:right w:val="single" w:sz="4" w:space="0" w:color="auto"/>
            </w:tcBorders>
            <w:shd w:val="clear" w:color="auto" w:fill="auto"/>
            <w:noWrap/>
            <w:vAlign w:val="center"/>
            <w:hideMark/>
          </w:tcPr>
          <w:p w14:paraId="41D19B8C"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0.75 (-4.04, 5.37)</w:t>
            </w:r>
          </w:p>
        </w:tc>
        <w:tc>
          <w:tcPr>
            <w:tcW w:w="564" w:type="pct"/>
            <w:tcBorders>
              <w:top w:val="nil"/>
              <w:left w:val="nil"/>
              <w:bottom w:val="single" w:sz="4" w:space="0" w:color="auto"/>
              <w:right w:val="single" w:sz="4" w:space="0" w:color="auto"/>
            </w:tcBorders>
            <w:shd w:val="clear" w:color="auto" w:fill="auto"/>
            <w:noWrap/>
            <w:vAlign w:val="center"/>
            <w:hideMark/>
          </w:tcPr>
          <w:p w14:paraId="21492559"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0.30 (-4.68, 5.26)</w:t>
            </w:r>
          </w:p>
        </w:tc>
        <w:tc>
          <w:tcPr>
            <w:tcW w:w="571" w:type="pct"/>
            <w:tcBorders>
              <w:top w:val="single" w:sz="4" w:space="0" w:color="auto"/>
              <w:left w:val="nil"/>
              <w:bottom w:val="single" w:sz="4" w:space="0" w:color="auto"/>
              <w:right w:val="single" w:sz="4" w:space="0" w:color="auto"/>
            </w:tcBorders>
            <w:shd w:val="clear" w:color="000000" w:fill="F8CBAD"/>
            <w:noWrap/>
            <w:vAlign w:val="center"/>
            <w:hideMark/>
          </w:tcPr>
          <w:p w14:paraId="0E2A98DB"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Fremanezumab-Q</w:t>
            </w:r>
          </w:p>
        </w:tc>
        <w:tc>
          <w:tcPr>
            <w:tcW w:w="578" w:type="pct"/>
            <w:tcBorders>
              <w:top w:val="nil"/>
              <w:left w:val="nil"/>
              <w:bottom w:val="nil"/>
              <w:right w:val="nil"/>
            </w:tcBorders>
            <w:shd w:val="clear" w:color="auto" w:fill="auto"/>
            <w:noWrap/>
            <w:vAlign w:val="bottom"/>
            <w:hideMark/>
          </w:tcPr>
          <w:p w14:paraId="1336D504" w14:textId="77777777" w:rsidR="00753E7C" w:rsidRPr="0031702A" w:rsidRDefault="00753E7C" w:rsidP="00611803">
            <w:pPr>
              <w:spacing w:line="240" w:lineRule="auto"/>
              <w:jc w:val="center"/>
              <w:rPr>
                <w:rFonts w:eastAsia="Times New Roman" w:cs="Calibri"/>
                <w:color w:val="000000"/>
                <w:sz w:val="20"/>
                <w:szCs w:val="20"/>
                <w:lang w:eastAsia="en-GB"/>
              </w:rPr>
            </w:pPr>
          </w:p>
        </w:tc>
        <w:tc>
          <w:tcPr>
            <w:tcW w:w="571" w:type="pct"/>
            <w:tcBorders>
              <w:top w:val="nil"/>
              <w:left w:val="nil"/>
              <w:bottom w:val="nil"/>
              <w:right w:val="nil"/>
            </w:tcBorders>
            <w:shd w:val="clear" w:color="auto" w:fill="auto"/>
            <w:noWrap/>
            <w:vAlign w:val="bottom"/>
            <w:hideMark/>
          </w:tcPr>
          <w:p w14:paraId="3996AA8F"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c>
          <w:tcPr>
            <w:tcW w:w="428" w:type="pct"/>
            <w:tcBorders>
              <w:top w:val="nil"/>
              <w:left w:val="nil"/>
              <w:bottom w:val="nil"/>
              <w:right w:val="nil"/>
            </w:tcBorders>
            <w:shd w:val="clear" w:color="auto" w:fill="auto"/>
            <w:noWrap/>
            <w:vAlign w:val="bottom"/>
            <w:hideMark/>
          </w:tcPr>
          <w:p w14:paraId="6419FAF3"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r>
      <w:tr w:rsidR="007E0C63" w:rsidRPr="00C05506" w14:paraId="4309D722" w14:textId="77777777" w:rsidTr="00753E7C">
        <w:trPr>
          <w:trHeight w:val="693"/>
        </w:trPr>
        <w:tc>
          <w:tcPr>
            <w:tcW w:w="612" w:type="pct"/>
            <w:tcBorders>
              <w:top w:val="nil"/>
              <w:left w:val="single" w:sz="4" w:space="0" w:color="auto"/>
              <w:bottom w:val="single" w:sz="4" w:space="0" w:color="auto"/>
              <w:right w:val="single" w:sz="4" w:space="0" w:color="auto"/>
            </w:tcBorders>
            <w:shd w:val="clear" w:color="auto" w:fill="auto"/>
            <w:noWrap/>
            <w:vAlign w:val="center"/>
            <w:hideMark/>
          </w:tcPr>
          <w:p w14:paraId="1CC07820"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2.33 (-2.82, 7.76)</w:t>
            </w:r>
          </w:p>
        </w:tc>
        <w:tc>
          <w:tcPr>
            <w:tcW w:w="571" w:type="pct"/>
            <w:tcBorders>
              <w:top w:val="nil"/>
              <w:left w:val="nil"/>
              <w:bottom w:val="single" w:sz="4" w:space="0" w:color="auto"/>
              <w:right w:val="single" w:sz="4" w:space="0" w:color="auto"/>
            </w:tcBorders>
            <w:shd w:val="clear" w:color="auto" w:fill="auto"/>
            <w:noWrap/>
            <w:vAlign w:val="center"/>
            <w:hideMark/>
          </w:tcPr>
          <w:p w14:paraId="1ECD3466"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1.31 (-2.02, 4.76)</w:t>
            </w:r>
          </w:p>
        </w:tc>
        <w:tc>
          <w:tcPr>
            <w:tcW w:w="552" w:type="pct"/>
            <w:tcBorders>
              <w:top w:val="nil"/>
              <w:left w:val="nil"/>
              <w:bottom w:val="single" w:sz="4" w:space="0" w:color="auto"/>
              <w:right w:val="single" w:sz="4" w:space="0" w:color="auto"/>
            </w:tcBorders>
            <w:shd w:val="clear" w:color="auto" w:fill="auto"/>
            <w:noWrap/>
            <w:vAlign w:val="center"/>
            <w:hideMark/>
          </w:tcPr>
          <w:p w14:paraId="415FFF8D"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-1.31 (-5.72, 3.21)</w:t>
            </w:r>
          </w:p>
        </w:tc>
        <w:tc>
          <w:tcPr>
            <w:tcW w:w="551" w:type="pct"/>
            <w:tcBorders>
              <w:top w:val="nil"/>
              <w:left w:val="nil"/>
              <w:bottom w:val="single" w:sz="4" w:space="0" w:color="auto"/>
              <w:right w:val="single" w:sz="4" w:space="0" w:color="auto"/>
            </w:tcBorders>
            <w:shd w:val="clear" w:color="auto" w:fill="auto"/>
            <w:noWrap/>
            <w:vAlign w:val="center"/>
            <w:hideMark/>
          </w:tcPr>
          <w:p w14:paraId="1ADB9D8A"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1.37 (-3.53, 6.16)</w:t>
            </w:r>
          </w:p>
        </w:tc>
        <w:tc>
          <w:tcPr>
            <w:tcW w:w="564" w:type="pct"/>
            <w:tcBorders>
              <w:top w:val="nil"/>
              <w:left w:val="nil"/>
              <w:bottom w:val="single" w:sz="4" w:space="0" w:color="auto"/>
              <w:right w:val="single" w:sz="4" w:space="0" w:color="auto"/>
            </w:tcBorders>
            <w:shd w:val="clear" w:color="auto" w:fill="auto"/>
            <w:noWrap/>
            <w:vAlign w:val="center"/>
            <w:hideMark/>
          </w:tcPr>
          <w:p w14:paraId="76377E63"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0.92 (-4.06, 5.88)</w:t>
            </w:r>
          </w:p>
        </w:tc>
        <w:tc>
          <w:tcPr>
            <w:tcW w:w="571" w:type="pct"/>
            <w:tcBorders>
              <w:top w:val="nil"/>
              <w:left w:val="nil"/>
              <w:bottom w:val="single" w:sz="4" w:space="0" w:color="auto"/>
              <w:right w:val="single" w:sz="4" w:space="0" w:color="auto"/>
            </w:tcBorders>
            <w:shd w:val="clear" w:color="auto" w:fill="auto"/>
            <w:noWrap/>
            <w:vAlign w:val="center"/>
            <w:hideMark/>
          </w:tcPr>
          <w:p w14:paraId="49F89234"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-0.62 (-4.95, 3.81)</w:t>
            </w:r>
          </w:p>
        </w:tc>
        <w:tc>
          <w:tcPr>
            <w:tcW w:w="578" w:type="pct"/>
            <w:tcBorders>
              <w:top w:val="single" w:sz="4" w:space="0" w:color="auto"/>
              <w:left w:val="nil"/>
              <w:bottom w:val="single" w:sz="4" w:space="0" w:color="auto"/>
              <w:right w:val="single" w:sz="4" w:space="0" w:color="auto"/>
            </w:tcBorders>
            <w:shd w:val="clear" w:color="000000" w:fill="F8CBAD"/>
            <w:noWrap/>
            <w:vAlign w:val="center"/>
            <w:hideMark/>
          </w:tcPr>
          <w:p w14:paraId="600DA0A4" w14:textId="3E810D21"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Galcanezumab 120</w:t>
            </w:r>
            <w:r w:rsidR="007E0C63">
              <w:rPr>
                <w:rFonts w:eastAsia="Times New Roman" w:cs="Calibri"/>
                <w:color w:val="000000"/>
                <w:sz w:val="20"/>
                <w:szCs w:val="20"/>
                <w:lang w:eastAsia="en-GB"/>
              </w:rPr>
              <w:t>mg</w:t>
            </w:r>
          </w:p>
        </w:tc>
        <w:tc>
          <w:tcPr>
            <w:tcW w:w="571" w:type="pct"/>
            <w:tcBorders>
              <w:top w:val="nil"/>
              <w:left w:val="nil"/>
              <w:bottom w:val="nil"/>
              <w:right w:val="nil"/>
            </w:tcBorders>
            <w:shd w:val="clear" w:color="auto" w:fill="auto"/>
            <w:noWrap/>
            <w:vAlign w:val="bottom"/>
            <w:hideMark/>
          </w:tcPr>
          <w:p w14:paraId="05D8A5EC" w14:textId="77777777" w:rsidR="00753E7C" w:rsidRPr="0031702A" w:rsidRDefault="00753E7C" w:rsidP="00611803">
            <w:pPr>
              <w:spacing w:line="240" w:lineRule="auto"/>
              <w:jc w:val="center"/>
              <w:rPr>
                <w:rFonts w:eastAsia="Times New Roman" w:cs="Calibri"/>
                <w:color w:val="000000"/>
                <w:sz w:val="20"/>
                <w:szCs w:val="20"/>
                <w:lang w:eastAsia="en-GB"/>
              </w:rPr>
            </w:pPr>
          </w:p>
        </w:tc>
        <w:tc>
          <w:tcPr>
            <w:tcW w:w="428" w:type="pct"/>
            <w:tcBorders>
              <w:top w:val="nil"/>
              <w:left w:val="nil"/>
              <w:bottom w:val="nil"/>
              <w:right w:val="nil"/>
            </w:tcBorders>
            <w:shd w:val="clear" w:color="auto" w:fill="auto"/>
            <w:noWrap/>
            <w:vAlign w:val="bottom"/>
            <w:hideMark/>
          </w:tcPr>
          <w:p w14:paraId="63620940" w14:textId="77777777" w:rsidR="00753E7C" w:rsidRPr="0031702A" w:rsidRDefault="00753E7C" w:rsidP="00611803">
            <w:pPr>
              <w:spacing w:line="240" w:lineRule="auto"/>
              <w:rPr>
                <w:rFonts w:ascii="Times New Roman" w:eastAsia="Times New Roman" w:hAnsi="Times New Roman" w:cs="Times New Roman"/>
                <w:sz w:val="20"/>
                <w:szCs w:val="20"/>
                <w:lang w:eastAsia="en-GB"/>
              </w:rPr>
            </w:pPr>
          </w:p>
        </w:tc>
      </w:tr>
      <w:tr w:rsidR="007E0C63" w:rsidRPr="00C05506" w14:paraId="3FB83C91" w14:textId="77777777" w:rsidTr="00753E7C">
        <w:trPr>
          <w:trHeight w:val="693"/>
        </w:trPr>
        <w:tc>
          <w:tcPr>
            <w:tcW w:w="612" w:type="pct"/>
            <w:tcBorders>
              <w:top w:val="nil"/>
              <w:left w:val="single" w:sz="4" w:space="0" w:color="auto"/>
              <w:bottom w:val="single" w:sz="4" w:space="0" w:color="auto"/>
              <w:right w:val="single" w:sz="4" w:space="0" w:color="auto"/>
            </w:tcBorders>
            <w:shd w:val="clear" w:color="auto" w:fill="auto"/>
            <w:noWrap/>
            <w:vAlign w:val="center"/>
            <w:hideMark/>
          </w:tcPr>
          <w:p w14:paraId="6B8F08FE"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-2.95 (-10.46, 4.43)</w:t>
            </w:r>
          </w:p>
        </w:tc>
        <w:tc>
          <w:tcPr>
            <w:tcW w:w="571" w:type="pct"/>
            <w:tcBorders>
              <w:top w:val="nil"/>
              <w:left w:val="nil"/>
              <w:bottom w:val="single" w:sz="4" w:space="0" w:color="auto"/>
              <w:right w:val="single" w:sz="4" w:space="0" w:color="auto"/>
            </w:tcBorders>
            <w:shd w:val="clear" w:color="auto" w:fill="auto"/>
            <w:noWrap/>
            <w:vAlign w:val="center"/>
            <w:hideMark/>
          </w:tcPr>
          <w:p w14:paraId="6958E9B6"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-1.93 (-8.71, 5.06)</w:t>
            </w:r>
          </w:p>
        </w:tc>
        <w:tc>
          <w:tcPr>
            <w:tcW w:w="552" w:type="pct"/>
            <w:tcBorders>
              <w:top w:val="nil"/>
              <w:left w:val="nil"/>
              <w:bottom w:val="single" w:sz="4" w:space="0" w:color="auto"/>
              <w:right w:val="single" w:sz="4" w:space="0" w:color="auto"/>
            </w:tcBorders>
            <w:shd w:val="clear" w:color="auto" w:fill="auto"/>
            <w:noWrap/>
            <w:vAlign w:val="center"/>
            <w:hideMark/>
          </w:tcPr>
          <w:p w14:paraId="130AEB9F"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-1.93 (-8.75,4.92)</w:t>
            </w:r>
          </w:p>
        </w:tc>
        <w:tc>
          <w:tcPr>
            <w:tcW w:w="551" w:type="pct"/>
            <w:tcBorders>
              <w:top w:val="nil"/>
              <w:left w:val="nil"/>
              <w:bottom w:val="single" w:sz="4" w:space="0" w:color="auto"/>
              <w:right w:val="single" w:sz="4" w:space="0" w:color="auto"/>
            </w:tcBorders>
            <w:shd w:val="clear" w:color="auto" w:fill="auto"/>
            <w:noWrap/>
            <w:vAlign w:val="center"/>
            <w:hideMark/>
          </w:tcPr>
          <w:p w14:paraId="24FDF9F2"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1.99 (-5.23, 9.11)</w:t>
            </w:r>
          </w:p>
        </w:tc>
        <w:tc>
          <w:tcPr>
            <w:tcW w:w="564" w:type="pct"/>
            <w:tcBorders>
              <w:top w:val="nil"/>
              <w:left w:val="nil"/>
              <w:bottom w:val="single" w:sz="4" w:space="0" w:color="auto"/>
              <w:right w:val="single" w:sz="4" w:space="0" w:color="auto"/>
            </w:tcBorders>
            <w:shd w:val="clear" w:color="auto" w:fill="auto"/>
            <w:noWrap/>
            <w:vAlign w:val="center"/>
            <w:hideMark/>
          </w:tcPr>
          <w:p w14:paraId="3E6A81D2"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-1.54 (-9.02, 5.87)</w:t>
            </w:r>
          </w:p>
        </w:tc>
        <w:tc>
          <w:tcPr>
            <w:tcW w:w="571" w:type="pct"/>
            <w:tcBorders>
              <w:top w:val="nil"/>
              <w:left w:val="nil"/>
              <w:bottom w:val="single" w:sz="4" w:space="0" w:color="auto"/>
              <w:right w:val="single" w:sz="4" w:space="0" w:color="auto"/>
            </w:tcBorders>
            <w:shd w:val="clear" w:color="auto" w:fill="auto"/>
            <w:noWrap/>
            <w:vAlign w:val="center"/>
            <w:hideMark/>
          </w:tcPr>
          <w:p w14:paraId="17032504"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-1.24 (-7.91, 5.52)</w:t>
            </w:r>
          </w:p>
        </w:tc>
        <w:tc>
          <w:tcPr>
            <w:tcW w:w="578" w:type="pct"/>
            <w:tcBorders>
              <w:top w:val="nil"/>
              <w:left w:val="nil"/>
              <w:bottom w:val="single" w:sz="4" w:space="0" w:color="auto"/>
              <w:right w:val="single" w:sz="4" w:space="0" w:color="auto"/>
            </w:tcBorders>
            <w:shd w:val="clear" w:color="auto" w:fill="auto"/>
            <w:noWrap/>
            <w:vAlign w:val="center"/>
            <w:hideMark/>
          </w:tcPr>
          <w:p w14:paraId="6EAFC81E"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-0.62 (-7.51, 6.17)</w:t>
            </w:r>
          </w:p>
        </w:tc>
        <w:tc>
          <w:tcPr>
            <w:tcW w:w="571" w:type="pct"/>
            <w:tcBorders>
              <w:top w:val="single" w:sz="4" w:space="0" w:color="auto"/>
              <w:left w:val="nil"/>
              <w:bottom w:val="single" w:sz="4" w:space="0" w:color="auto"/>
              <w:right w:val="single" w:sz="4" w:space="0" w:color="auto"/>
            </w:tcBorders>
            <w:shd w:val="clear" w:color="000000" w:fill="F8CBAD"/>
            <w:noWrap/>
            <w:vAlign w:val="center"/>
            <w:hideMark/>
          </w:tcPr>
          <w:p w14:paraId="689D138B" w14:textId="1F2AC7CA"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 xml:space="preserve"> Topiramate 100</w:t>
            </w:r>
            <w:r w:rsidR="007E0C63">
              <w:rPr>
                <w:rFonts w:eastAsia="Times New Roman" w:cs="Calibri"/>
                <w:color w:val="000000"/>
                <w:sz w:val="20"/>
                <w:szCs w:val="20"/>
                <w:lang w:eastAsia="en-GB"/>
              </w:rPr>
              <w:t>mg</w:t>
            </w:r>
          </w:p>
        </w:tc>
        <w:tc>
          <w:tcPr>
            <w:tcW w:w="428" w:type="pct"/>
            <w:tcBorders>
              <w:top w:val="nil"/>
              <w:left w:val="nil"/>
              <w:bottom w:val="nil"/>
              <w:right w:val="nil"/>
            </w:tcBorders>
            <w:shd w:val="clear" w:color="auto" w:fill="auto"/>
            <w:noWrap/>
            <w:vAlign w:val="bottom"/>
            <w:hideMark/>
          </w:tcPr>
          <w:p w14:paraId="6D03A405" w14:textId="77777777" w:rsidR="00753E7C" w:rsidRPr="0031702A" w:rsidRDefault="00753E7C" w:rsidP="00611803">
            <w:pPr>
              <w:spacing w:line="240" w:lineRule="auto"/>
              <w:jc w:val="center"/>
              <w:rPr>
                <w:rFonts w:eastAsia="Times New Roman" w:cs="Calibri"/>
                <w:color w:val="000000"/>
                <w:sz w:val="20"/>
                <w:szCs w:val="20"/>
                <w:lang w:eastAsia="en-GB"/>
              </w:rPr>
            </w:pPr>
          </w:p>
        </w:tc>
      </w:tr>
      <w:tr w:rsidR="007E0C63" w:rsidRPr="00C05506" w14:paraId="46E645EA" w14:textId="77777777" w:rsidTr="00753E7C">
        <w:trPr>
          <w:trHeight w:val="693"/>
        </w:trPr>
        <w:tc>
          <w:tcPr>
            <w:tcW w:w="612" w:type="pct"/>
            <w:tcBorders>
              <w:top w:val="nil"/>
              <w:left w:val="single" w:sz="4" w:space="0" w:color="auto"/>
              <w:bottom w:val="single" w:sz="4" w:space="0" w:color="auto"/>
              <w:right w:val="single" w:sz="4" w:space="0" w:color="auto"/>
            </w:tcBorders>
            <w:shd w:val="clear" w:color="auto" w:fill="auto"/>
            <w:noWrap/>
            <w:vAlign w:val="center"/>
            <w:hideMark/>
          </w:tcPr>
          <w:p w14:paraId="19F85E1F" w14:textId="77777777" w:rsidR="00753E7C" w:rsidRPr="0031702A" w:rsidRDefault="00753E7C" w:rsidP="00611803">
            <w:pPr>
              <w:spacing w:line="240" w:lineRule="auto"/>
              <w:jc w:val="center"/>
              <w:rPr>
                <w:rFonts w:eastAsia="Times New Roman" w:cs="Calibri"/>
                <w:b/>
                <w:bCs/>
                <w:color w:val="000000"/>
                <w:sz w:val="20"/>
                <w:szCs w:val="20"/>
                <w:lang w:eastAsia="en-GB"/>
              </w:rPr>
            </w:pPr>
            <w:r w:rsidRPr="0031702A">
              <w:rPr>
                <w:rFonts w:eastAsia="Times New Roman" w:cs="Calibri"/>
                <w:b/>
                <w:bCs/>
                <w:color w:val="000000"/>
                <w:sz w:val="20"/>
                <w:szCs w:val="20"/>
                <w:lang w:eastAsia="en-GB"/>
              </w:rPr>
              <w:t>7.28 (3.05, 11.65)</w:t>
            </w:r>
          </w:p>
        </w:tc>
        <w:tc>
          <w:tcPr>
            <w:tcW w:w="571" w:type="pct"/>
            <w:tcBorders>
              <w:top w:val="nil"/>
              <w:left w:val="nil"/>
              <w:bottom w:val="single" w:sz="4" w:space="0" w:color="auto"/>
              <w:right w:val="single" w:sz="4" w:space="0" w:color="auto"/>
            </w:tcBorders>
            <w:shd w:val="clear" w:color="auto" w:fill="auto"/>
            <w:noWrap/>
            <w:vAlign w:val="center"/>
            <w:hideMark/>
          </w:tcPr>
          <w:p w14:paraId="683F7DC3" w14:textId="77777777" w:rsidR="00753E7C" w:rsidRPr="0031702A" w:rsidRDefault="00753E7C" w:rsidP="00611803">
            <w:pPr>
              <w:spacing w:line="240" w:lineRule="auto"/>
              <w:jc w:val="center"/>
              <w:rPr>
                <w:rFonts w:eastAsia="Times New Roman" w:cs="Calibri"/>
                <w:b/>
                <w:bCs/>
                <w:color w:val="000000"/>
                <w:sz w:val="20"/>
                <w:szCs w:val="20"/>
                <w:lang w:eastAsia="en-GB"/>
              </w:rPr>
            </w:pPr>
            <w:r w:rsidRPr="0031702A">
              <w:rPr>
                <w:rFonts w:eastAsia="Times New Roman" w:cs="Calibri"/>
                <w:b/>
                <w:bCs/>
                <w:color w:val="000000"/>
                <w:sz w:val="20"/>
                <w:szCs w:val="20"/>
                <w:lang w:eastAsia="en-GB"/>
              </w:rPr>
              <w:t>6.26(2.96, 9.49)</w:t>
            </w:r>
          </w:p>
        </w:tc>
        <w:tc>
          <w:tcPr>
            <w:tcW w:w="552" w:type="pct"/>
            <w:tcBorders>
              <w:top w:val="nil"/>
              <w:left w:val="nil"/>
              <w:bottom w:val="single" w:sz="4" w:space="0" w:color="auto"/>
              <w:right w:val="single" w:sz="4" w:space="0" w:color="auto"/>
            </w:tcBorders>
            <w:shd w:val="clear" w:color="auto" w:fill="auto"/>
            <w:noWrap/>
            <w:vAlign w:val="center"/>
            <w:hideMark/>
          </w:tcPr>
          <w:p w14:paraId="66C88C03" w14:textId="77777777" w:rsidR="00753E7C" w:rsidRPr="0031702A" w:rsidRDefault="00753E7C" w:rsidP="00611803">
            <w:pPr>
              <w:spacing w:line="240" w:lineRule="auto"/>
              <w:jc w:val="center"/>
              <w:rPr>
                <w:rFonts w:eastAsia="Times New Roman" w:cs="Calibri"/>
                <w:b/>
                <w:bCs/>
                <w:color w:val="000000"/>
                <w:sz w:val="20"/>
                <w:szCs w:val="20"/>
                <w:lang w:eastAsia="en-GB"/>
              </w:rPr>
            </w:pPr>
            <w:r w:rsidRPr="0031702A">
              <w:rPr>
                <w:rFonts w:eastAsia="Times New Roman" w:cs="Calibri"/>
                <w:b/>
                <w:bCs/>
                <w:color w:val="000000"/>
                <w:sz w:val="20"/>
                <w:szCs w:val="20"/>
                <w:lang w:eastAsia="en-GB"/>
              </w:rPr>
              <w:t>6.27 (3.09, 9.28)</w:t>
            </w:r>
          </w:p>
        </w:tc>
        <w:tc>
          <w:tcPr>
            <w:tcW w:w="551" w:type="pct"/>
            <w:tcBorders>
              <w:top w:val="nil"/>
              <w:left w:val="nil"/>
              <w:bottom w:val="single" w:sz="4" w:space="0" w:color="auto"/>
              <w:right w:val="single" w:sz="4" w:space="0" w:color="auto"/>
            </w:tcBorders>
            <w:shd w:val="clear" w:color="auto" w:fill="auto"/>
            <w:noWrap/>
            <w:vAlign w:val="center"/>
            <w:hideMark/>
          </w:tcPr>
          <w:p w14:paraId="36B037B1" w14:textId="77777777" w:rsidR="00753E7C" w:rsidRPr="0031702A" w:rsidRDefault="00753E7C" w:rsidP="00611803">
            <w:pPr>
              <w:spacing w:line="240" w:lineRule="auto"/>
              <w:jc w:val="center"/>
              <w:rPr>
                <w:rFonts w:eastAsia="Times New Roman" w:cs="Calibri"/>
                <w:b/>
                <w:bCs/>
                <w:color w:val="000000"/>
                <w:sz w:val="20"/>
                <w:szCs w:val="20"/>
                <w:lang w:eastAsia="en-GB"/>
              </w:rPr>
            </w:pPr>
            <w:r w:rsidRPr="0031702A">
              <w:rPr>
                <w:rFonts w:eastAsia="Times New Roman" w:cs="Calibri"/>
                <w:b/>
                <w:bCs/>
                <w:color w:val="000000"/>
                <w:sz w:val="20"/>
                <w:szCs w:val="20"/>
                <w:lang w:eastAsia="en-GB"/>
              </w:rPr>
              <w:t>6.32 (2.51, 9.95)</w:t>
            </w:r>
          </w:p>
        </w:tc>
        <w:tc>
          <w:tcPr>
            <w:tcW w:w="564" w:type="pct"/>
            <w:tcBorders>
              <w:top w:val="nil"/>
              <w:left w:val="nil"/>
              <w:bottom w:val="single" w:sz="4" w:space="0" w:color="auto"/>
              <w:right w:val="single" w:sz="4" w:space="0" w:color="auto"/>
            </w:tcBorders>
            <w:shd w:val="clear" w:color="auto" w:fill="auto"/>
            <w:noWrap/>
            <w:vAlign w:val="center"/>
            <w:hideMark/>
          </w:tcPr>
          <w:p w14:paraId="21554AA8" w14:textId="77777777" w:rsidR="00753E7C" w:rsidRPr="0031702A" w:rsidRDefault="00753E7C" w:rsidP="00611803">
            <w:pPr>
              <w:spacing w:line="240" w:lineRule="auto"/>
              <w:jc w:val="center"/>
              <w:rPr>
                <w:rFonts w:eastAsia="Times New Roman" w:cs="Calibri"/>
                <w:b/>
                <w:bCs/>
                <w:color w:val="000000"/>
                <w:sz w:val="20"/>
                <w:szCs w:val="20"/>
                <w:lang w:eastAsia="en-GB"/>
              </w:rPr>
            </w:pPr>
            <w:r w:rsidRPr="0031702A">
              <w:rPr>
                <w:rFonts w:eastAsia="Times New Roman" w:cs="Calibri"/>
                <w:b/>
                <w:bCs/>
                <w:color w:val="000000"/>
                <w:sz w:val="20"/>
                <w:szCs w:val="20"/>
                <w:lang w:eastAsia="en-GB"/>
              </w:rPr>
              <w:t>5.87 (2.03, 9.87)</w:t>
            </w:r>
          </w:p>
        </w:tc>
        <w:tc>
          <w:tcPr>
            <w:tcW w:w="571" w:type="pct"/>
            <w:tcBorders>
              <w:top w:val="nil"/>
              <w:left w:val="nil"/>
              <w:bottom w:val="single" w:sz="4" w:space="0" w:color="auto"/>
              <w:right w:val="single" w:sz="4" w:space="0" w:color="auto"/>
            </w:tcBorders>
            <w:shd w:val="clear" w:color="auto" w:fill="auto"/>
            <w:noWrap/>
            <w:vAlign w:val="center"/>
            <w:hideMark/>
          </w:tcPr>
          <w:p w14:paraId="601DE233" w14:textId="77777777" w:rsidR="00753E7C" w:rsidRPr="0031702A" w:rsidRDefault="00753E7C" w:rsidP="00611803">
            <w:pPr>
              <w:spacing w:line="240" w:lineRule="auto"/>
              <w:jc w:val="center"/>
              <w:rPr>
                <w:rFonts w:eastAsia="Times New Roman" w:cs="Calibri"/>
                <w:b/>
                <w:bCs/>
                <w:color w:val="000000"/>
                <w:sz w:val="20"/>
                <w:szCs w:val="20"/>
                <w:lang w:eastAsia="en-GB"/>
              </w:rPr>
            </w:pPr>
            <w:r w:rsidRPr="0031702A">
              <w:rPr>
                <w:rFonts w:eastAsia="Times New Roman" w:cs="Calibri"/>
                <w:b/>
                <w:bCs/>
                <w:color w:val="000000"/>
                <w:sz w:val="20"/>
                <w:szCs w:val="20"/>
                <w:lang w:eastAsia="en-GB"/>
              </w:rPr>
              <w:t>5.58 (2.68, 8.54)</w:t>
            </w:r>
          </w:p>
        </w:tc>
        <w:tc>
          <w:tcPr>
            <w:tcW w:w="578" w:type="pct"/>
            <w:tcBorders>
              <w:top w:val="nil"/>
              <w:left w:val="nil"/>
              <w:bottom w:val="single" w:sz="4" w:space="0" w:color="auto"/>
              <w:right w:val="single" w:sz="4" w:space="0" w:color="auto"/>
            </w:tcBorders>
            <w:shd w:val="clear" w:color="auto" w:fill="auto"/>
            <w:noWrap/>
            <w:vAlign w:val="center"/>
            <w:hideMark/>
          </w:tcPr>
          <w:p w14:paraId="757BB031" w14:textId="77777777" w:rsidR="00753E7C" w:rsidRPr="0031702A" w:rsidRDefault="00753E7C" w:rsidP="00611803">
            <w:pPr>
              <w:spacing w:line="240" w:lineRule="auto"/>
              <w:jc w:val="center"/>
              <w:rPr>
                <w:rFonts w:eastAsia="Times New Roman" w:cs="Calibri"/>
                <w:b/>
                <w:bCs/>
                <w:color w:val="000000"/>
                <w:sz w:val="20"/>
                <w:szCs w:val="20"/>
                <w:lang w:eastAsia="en-GB"/>
              </w:rPr>
            </w:pPr>
            <w:r w:rsidRPr="0031702A">
              <w:rPr>
                <w:rFonts w:eastAsia="Times New Roman" w:cs="Calibri"/>
                <w:b/>
                <w:bCs/>
                <w:color w:val="000000"/>
                <w:sz w:val="20"/>
                <w:szCs w:val="20"/>
                <w:lang w:eastAsia="en-GB"/>
              </w:rPr>
              <w:t>4.95(1.91, 8.08)</w:t>
            </w:r>
          </w:p>
        </w:tc>
        <w:tc>
          <w:tcPr>
            <w:tcW w:w="571" w:type="pct"/>
            <w:tcBorders>
              <w:top w:val="nil"/>
              <w:left w:val="nil"/>
              <w:bottom w:val="single" w:sz="4" w:space="0" w:color="auto"/>
              <w:right w:val="single" w:sz="4" w:space="0" w:color="auto"/>
            </w:tcBorders>
            <w:shd w:val="clear" w:color="auto" w:fill="auto"/>
            <w:noWrap/>
            <w:vAlign w:val="center"/>
            <w:hideMark/>
          </w:tcPr>
          <w:p w14:paraId="252336B2"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4.33 (-1.88, 10.50)</w:t>
            </w:r>
          </w:p>
        </w:tc>
        <w:tc>
          <w:tcPr>
            <w:tcW w:w="428" w:type="pct"/>
            <w:tcBorders>
              <w:top w:val="single" w:sz="4" w:space="0" w:color="auto"/>
              <w:left w:val="nil"/>
              <w:bottom w:val="single" w:sz="4" w:space="0" w:color="auto"/>
              <w:right w:val="single" w:sz="4" w:space="0" w:color="auto"/>
            </w:tcBorders>
            <w:shd w:val="clear" w:color="000000" w:fill="F8CBAD"/>
            <w:noWrap/>
            <w:vAlign w:val="center"/>
            <w:hideMark/>
          </w:tcPr>
          <w:p w14:paraId="52F61DE9" w14:textId="77777777" w:rsidR="00753E7C" w:rsidRPr="0031702A" w:rsidRDefault="00753E7C"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Placebo</w:t>
            </w:r>
          </w:p>
        </w:tc>
      </w:tr>
    </w:tbl>
    <w:p w14:paraId="1B917CAB" w14:textId="347E6021" w:rsidR="00753E7C" w:rsidRDefault="00753E7C" w:rsidP="00753E7C">
      <w:pPr>
        <w:spacing w:line="240" w:lineRule="auto"/>
        <w:jc w:val="both"/>
        <w:rPr>
          <w:rFonts w:cstheme="minorHAnsi"/>
          <w:noProof/>
          <w:sz w:val="18"/>
          <w:szCs w:val="18"/>
          <w:lang w:val="en-US"/>
        </w:rPr>
      </w:pPr>
      <w:r w:rsidRPr="00C34F7A">
        <w:rPr>
          <w:rFonts w:cstheme="minorHAnsi"/>
          <w:noProof/>
          <w:sz w:val="18"/>
          <w:szCs w:val="18"/>
          <w:lang w:val="en-US"/>
        </w:rPr>
        <w:t>M</w:t>
      </w:r>
      <w:r>
        <w:rPr>
          <w:rFonts w:cstheme="minorHAnsi"/>
          <w:noProof/>
          <w:sz w:val="18"/>
          <w:szCs w:val="18"/>
          <w:lang w:val="en-US"/>
        </w:rPr>
        <w:t xml:space="preserve">ean differences more </w:t>
      </w:r>
      <w:r w:rsidRPr="00C34F7A">
        <w:rPr>
          <w:rFonts w:cstheme="minorHAnsi"/>
          <w:noProof/>
          <w:sz w:val="18"/>
          <w:szCs w:val="18"/>
          <w:lang w:val="en-US"/>
        </w:rPr>
        <w:t>than 0 favour the column-defining treatment</w:t>
      </w:r>
      <w:r>
        <w:rPr>
          <w:rFonts w:cstheme="minorHAnsi"/>
          <w:noProof/>
          <w:sz w:val="18"/>
          <w:szCs w:val="18"/>
          <w:lang w:val="en-US"/>
        </w:rPr>
        <w:t>;</w:t>
      </w:r>
      <w:r w:rsidRPr="00C34F7A">
        <w:rPr>
          <w:rFonts w:cstheme="minorHAnsi"/>
          <w:noProof/>
          <w:sz w:val="18"/>
          <w:szCs w:val="18"/>
          <w:lang w:val="en-US"/>
        </w:rPr>
        <w:t xml:space="preserve"> Credible Intervals not including 0 are highlighted in bold.</w:t>
      </w:r>
      <w:r>
        <w:rPr>
          <w:rFonts w:cstheme="minorHAnsi"/>
          <w:noProof/>
          <w:sz w:val="18"/>
          <w:szCs w:val="18"/>
          <w:lang w:val="en-US"/>
        </w:rPr>
        <w:t xml:space="preserve"> </w:t>
      </w:r>
      <w:r w:rsidRPr="00C34F7A">
        <w:rPr>
          <w:rFonts w:cstheme="minorHAnsi"/>
          <w:noProof/>
          <w:sz w:val="18"/>
          <w:szCs w:val="18"/>
          <w:lang w:val="en-US"/>
        </w:rPr>
        <w:t>Abbr</w:t>
      </w:r>
      <w:r>
        <w:rPr>
          <w:rFonts w:cstheme="minorHAnsi"/>
          <w:noProof/>
          <w:sz w:val="18"/>
          <w:szCs w:val="18"/>
          <w:lang w:val="en-US"/>
        </w:rPr>
        <w:t>e</w:t>
      </w:r>
      <w:r w:rsidRPr="00C34F7A">
        <w:rPr>
          <w:rFonts w:cstheme="minorHAnsi"/>
          <w:noProof/>
          <w:sz w:val="18"/>
          <w:szCs w:val="18"/>
          <w:lang w:val="en-US"/>
        </w:rPr>
        <w:t>viations: Fremanezumab-M, Freman</w:t>
      </w:r>
      <w:r>
        <w:rPr>
          <w:rFonts w:cstheme="minorHAnsi"/>
          <w:noProof/>
          <w:sz w:val="18"/>
          <w:szCs w:val="18"/>
          <w:lang w:val="en-US"/>
        </w:rPr>
        <w:t>ezumab  monthly; Fremanezumab-Q,  Fremanezumab quarterly</w:t>
      </w:r>
    </w:p>
    <w:p w14:paraId="37685B40" w14:textId="2F53A7EA" w:rsidR="00753E7C" w:rsidRDefault="00753E7C" w:rsidP="00753E7C">
      <w:pPr>
        <w:pStyle w:val="Caption"/>
        <w:keepNext/>
      </w:pPr>
      <w:bookmarkStart w:id="18" w:name="_Ref130539263"/>
      <w:bookmarkStart w:id="19" w:name="_Toc129946386"/>
      <w:bookmarkStart w:id="20" w:name="_Toc133322643"/>
      <w:r>
        <w:t xml:space="preserve">Table </w:t>
      </w:r>
      <w:bookmarkEnd w:id="18"/>
      <w:r w:rsidR="00047048">
        <w:t>6</w:t>
      </w:r>
      <w:r>
        <w:t xml:space="preserve">: </w:t>
      </w:r>
      <w:r w:rsidRPr="004B616F">
        <w:t>The model fit result for mean change in MSQ-RR from baseline</w:t>
      </w:r>
      <w:bookmarkEnd w:id="19"/>
      <w:bookmarkEnd w:id="20"/>
    </w:p>
    <w:tbl>
      <w:tblPr>
        <w:tblStyle w:val="TableGrid"/>
        <w:tblW w:w="0" w:type="auto"/>
        <w:tblInd w:w="5" w:type="dxa"/>
        <w:tblLook w:val="04A0" w:firstRow="1" w:lastRow="0" w:firstColumn="1" w:lastColumn="0" w:noHBand="0" w:noVBand="1"/>
      </w:tblPr>
      <w:tblGrid>
        <w:gridCol w:w="2253"/>
        <w:gridCol w:w="2253"/>
        <w:gridCol w:w="2253"/>
        <w:gridCol w:w="2253"/>
      </w:tblGrid>
      <w:tr w:rsidR="00753E7C" w:rsidRPr="00E12582" w14:paraId="3B03A914" w14:textId="77777777" w:rsidTr="00611803">
        <w:tc>
          <w:tcPr>
            <w:tcW w:w="2253" w:type="dxa"/>
            <w:tcBorders>
              <w:top w:val="single" w:sz="4" w:space="0" w:color="auto"/>
              <w:left w:val="single" w:sz="4" w:space="0" w:color="auto"/>
            </w:tcBorders>
          </w:tcPr>
          <w:p w14:paraId="398189C1" w14:textId="77777777" w:rsidR="00753E7C" w:rsidRPr="00F16733" w:rsidRDefault="00753E7C" w:rsidP="00611803">
            <w:pPr>
              <w:tabs>
                <w:tab w:val="left" w:pos="1020"/>
              </w:tabs>
              <w:rPr>
                <w:rFonts w:eastAsia="Calibri" w:cs="Arial"/>
                <w:sz w:val="20"/>
                <w:szCs w:val="20"/>
              </w:rPr>
            </w:pPr>
          </w:p>
        </w:tc>
        <w:tc>
          <w:tcPr>
            <w:tcW w:w="2253" w:type="dxa"/>
          </w:tcPr>
          <w:p w14:paraId="398E9358" w14:textId="77777777" w:rsidR="00753E7C" w:rsidRPr="00F16733" w:rsidRDefault="00753E7C" w:rsidP="00611803">
            <w:pPr>
              <w:tabs>
                <w:tab w:val="left" w:pos="1020"/>
              </w:tabs>
              <w:jc w:val="center"/>
              <w:rPr>
                <w:rFonts w:eastAsia="Calibri" w:cs="Arial"/>
                <w:sz w:val="20"/>
                <w:szCs w:val="20"/>
              </w:rPr>
            </w:pPr>
            <w:r w:rsidRPr="00F16733">
              <w:rPr>
                <w:rFonts w:eastAsia="Calibri" w:cs="Arial"/>
                <w:sz w:val="20"/>
                <w:szCs w:val="20"/>
              </w:rPr>
              <w:t>Residual deviance (</w:t>
            </w:r>
            <w:r>
              <w:rPr>
                <w:rFonts w:eastAsia="Calibri" w:cs="Arial"/>
                <w:sz w:val="20"/>
                <w:szCs w:val="20"/>
              </w:rPr>
              <w:t>13</w:t>
            </w:r>
            <w:r w:rsidRPr="00F16733">
              <w:rPr>
                <w:rFonts w:eastAsia="Calibri" w:cs="Arial"/>
                <w:sz w:val="20"/>
                <w:szCs w:val="20"/>
              </w:rPr>
              <w:t xml:space="preserve"> data points)</w:t>
            </w:r>
          </w:p>
        </w:tc>
        <w:tc>
          <w:tcPr>
            <w:tcW w:w="2253" w:type="dxa"/>
          </w:tcPr>
          <w:p w14:paraId="2DB775D4" w14:textId="77777777" w:rsidR="00753E7C" w:rsidRPr="00F16733" w:rsidRDefault="00753E7C" w:rsidP="00611803">
            <w:pPr>
              <w:tabs>
                <w:tab w:val="left" w:pos="1020"/>
              </w:tabs>
              <w:jc w:val="center"/>
              <w:rPr>
                <w:rFonts w:eastAsia="Calibri" w:cs="Arial"/>
                <w:sz w:val="20"/>
                <w:szCs w:val="20"/>
              </w:rPr>
            </w:pPr>
            <w:r w:rsidRPr="00F16733">
              <w:rPr>
                <w:rFonts w:eastAsia="Calibri" w:cs="Arial"/>
                <w:sz w:val="20"/>
                <w:szCs w:val="20"/>
              </w:rPr>
              <w:t>pD*</w:t>
            </w:r>
          </w:p>
        </w:tc>
        <w:tc>
          <w:tcPr>
            <w:tcW w:w="2253" w:type="dxa"/>
          </w:tcPr>
          <w:p w14:paraId="72301E34" w14:textId="77777777" w:rsidR="00753E7C" w:rsidRPr="00F16733" w:rsidRDefault="00753E7C" w:rsidP="00611803">
            <w:pPr>
              <w:tabs>
                <w:tab w:val="left" w:pos="1020"/>
              </w:tabs>
              <w:jc w:val="center"/>
              <w:rPr>
                <w:rFonts w:eastAsia="Calibri" w:cs="Arial"/>
                <w:sz w:val="20"/>
                <w:szCs w:val="20"/>
              </w:rPr>
            </w:pPr>
            <w:r w:rsidRPr="00F16733">
              <w:rPr>
                <w:rFonts w:eastAsia="Calibri" w:cs="Arial"/>
                <w:sz w:val="20"/>
                <w:szCs w:val="20"/>
              </w:rPr>
              <w:t>DIC**</w:t>
            </w:r>
          </w:p>
        </w:tc>
      </w:tr>
      <w:tr w:rsidR="00753E7C" w:rsidRPr="00E12582" w14:paraId="6966913B" w14:textId="77777777" w:rsidTr="00611803">
        <w:tc>
          <w:tcPr>
            <w:tcW w:w="2253" w:type="dxa"/>
          </w:tcPr>
          <w:p w14:paraId="167A253B" w14:textId="77777777" w:rsidR="00753E7C" w:rsidRPr="00F16733" w:rsidRDefault="00753E7C" w:rsidP="00611803">
            <w:pPr>
              <w:tabs>
                <w:tab w:val="left" w:pos="1020"/>
              </w:tabs>
              <w:rPr>
                <w:rFonts w:eastAsia="Calibri" w:cs="Arial"/>
                <w:sz w:val="20"/>
                <w:szCs w:val="20"/>
              </w:rPr>
            </w:pPr>
            <w:r w:rsidRPr="00F16733">
              <w:rPr>
                <w:rFonts w:eastAsia="Calibri" w:cs="Arial"/>
                <w:sz w:val="20"/>
                <w:szCs w:val="20"/>
              </w:rPr>
              <w:t>Fixed model</w:t>
            </w:r>
          </w:p>
        </w:tc>
        <w:tc>
          <w:tcPr>
            <w:tcW w:w="2253" w:type="dxa"/>
            <w:vAlign w:val="center"/>
          </w:tcPr>
          <w:p w14:paraId="66F30E6A" w14:textId="77777777" w:rsidR="00753E7C" w:rsidRPr="00F16733" w:rsidRDefault="00753E7C" w:rsidP="00611803">
            <w:pPr>
              <w:tabs>
                <w:tab w:val="left" w:pos="1020"/>
              </w:tabs>
              <w:jc w:val="center"/>
              <w:rPr>
                <w:rFonts w:eastAsia="Calibri" w:cs="Arial"/>
                <w:sz w:val="20"/>
                <w:szCs w:val="20"/>
              </w:rPr>
            </w:pPr>
            <w:r w:rsidRPr="00F23F1A">
              <w:rPr>
                <w:rFonts w:eastAsia="Times New Roman" w:cs="Calibri"/>
                <w:color w:val="000000"/>
                <w:lang w:eastAsia="en-GB"/>
              </w:rPr>
              <w:t>12.9</w:t>
            </w:r>
          </w:p>
        </w:tc>
        <w:tc>
          <w:tcPr>
            <w:tcW w:w="2253" w:type="dxa"/>
            <w:vAlign w:val="center"/>
          </w:tcPr>
          <w:p w14:paraId="157CEB60" w14:textId="77777777" w:rsidR="00753E7C" w:rsidRPr="00F16733" w:rsidRDefault="00753E7C" w:rsidP="00611803">
            <w:pPr>
              <w:tabs>
                <w:tab w:val="left" w:pos="1020"/>
              </w:tabs>
              <w:jc w:val="center"/>
              <w:rPr>
                <w:rFonts w:eastAsia="Calibri" w:cs="Arial"/>
                <w:sz w:val="20"/>
                <w:szCs w:val="20"/>
              </w:rPr>
            </w:pPr>
            <w:r w:rsidRPr="00F23F1A">
              <w:rPr>
                <w:rFonts w:eastAsia="Times New Roman" w:cs="Calibri"/>
                <w:color w:val="000000"/>
                <w:lang w:eastAsia="en-GB"/>
              </w:rPr>
              <w:t>12.9</w:t>
            </w:r>
          </w:p>
        </w:tc>
        <w:tc>
          <w:tcPr>
            <w:tcW w:w="2253" w:type="dxa"/>
            <w:vAlign w:val="center"/>
          </w:tcPr>
          <w:p w14:paraId="745E86CE" w14:textId="77777777" w:rsidR="00753E7C" w:rsidRPr="00F16733" w:rsidRDefault="00753E7C" w:rsidP="00611803">
            <w:pPr>
              <w:tabs>
                <w:tab w:val="left" w:pos="1020"/>
              </w:tabs>
              <w:jc w:val="center"/>
              <w:rPr>
                <w:rFonts w:eastAsia="Calibri" w:cs="Arial"/>
                <w:sz w:val="20"/>
                <w:szCs w:val="20"/>
              </w:rPr>
            </w:pPr>
            <w:r w:rsidRPr="00F23F1A">
              <w:rPr>
                <w:rFonts w:eastAsia="Times New Roman" w:cs="Calibri"/>
                <w:color w:val="000000"/>
                <w:lang w:eastAsia="en-GB"/>
              </w:rPr>
              <w:t>25.8</w:t>
            </w:r>
          </w:p>
        </w:tc>
      </w:tr>
      <w:tr w:rsidR="00753E7C" w:rsidRPr="00E12582" w14:paraId="04AB5965" w14:textId="77777777" w:rsidTr="00611803">
        <w:tc>
          <w:tcPr>
            <w:tcW w:w="2253" w:type="dxa"/>
          </w:tcPr>
          <w:p w14:paraId="1EDE8324" w14:textId="77777777" w:rsidR="00753E7C" w:rsidRPr="00F16733" w:rsidRDefault="00753E7C" w:rsidP="00611803">
            <w:pPr>
              <w:tabs>
                <w:tab w:val="left" w:pos="1020"/>
              </w:tabs>
              <w:rPr>
                <w:rFonts w:eastAsia="Calibri" w:cs="Arial"/>
                <w:sz w:val="20"/>
                <w:szCs w:val="20"/>
              </w:rPr>
            </w:pPr>
            <w:r w:rsidRPr="00F16733">
              <w:rPr>
                <w:rFonts w:eastAsia="Calibri" w:cs="Arial"/>
                <w:sz w:val="20"/>
                <w:szCs w:val="20"/>
              </w:rPr>
              <w:t>Random model</w:t>
            </w:r>
          </w:p>
        </w:tc>
        <w:tc>
          <w:tcPr>
            <w:tcW w:w="2253" w:type="dxa"/>
            <w:vAlign w:val="center"/>
          </w:tcPr>
          <w:p w14:paraId="5959B579" w14:textId="77777777" w:rsidR="00753E7C" w:rsidRPr="00F16733" w:rsidRDefault="00753E7C" w:rsidP="00611803">
            <w:pPr>
              <w:tabs>
                <w:tab w:val="left" w:pos="1020"/>
              </w:tabs>
              <w:jc w:val="center"/>
              <w:rPr>
                <w:rFonts w:eastAsia="Calibri" w:cs="Arial"/>
                <w:sz w:val="20"/>
                <w:szCs w:val="20"/>
              </w:rPr>
            </w:pPr>
            <w:r w:rsidRPr="00F23F1A">
              <w:rPr>
                <w:rFonts w:eastAsia="Times New Roman" w:cs="Calibri"/>
                <w:color w:val="000000"/>
                <w:lang w:eastAsia="en-GB"/>
              </w:rPr>
              <w:t>13.1</w:t>
            </w:r>
          </w:p>
        </w:tc>
        <w:tc>
          <w:tcPr>
            <w:tcW w:w="2253" w:type="dxa"/>
            <w:vAlign w:val="center"/>
          </w:tcPr>
          <w:p w14:paraId="6193C20A" w14:textId="77777777" w:rsidR="00753E7C" w:rsidRPr="00F16733" w:rsidRDefault="00753E7C" w:rsidP="00611803">
            <w:pPr>
              <w:tabs>
                <w:tab w:val="left" w:pos="1020"/>
              </w:tabs>
              <w:jc w:val="center"/>
              <w:rPr>
                <w:rFonts w:eastAsia="Calibri" w:cs="Arial"/>
                <w:sz w:val="20"/>
                <w:szCs w:val="20"/>
              </w:rPr>
            </w:pPr>
            <w:r w:rsidRPr="00F23F1A">
              <w:rPr>
                <w:rFonts w:eastAsia="Times New Roman" w:cs="Calibri"/>
                <w:color w:val="000000"/>
                <w:lang w:eastAsia="en-GB"/>
              </w:rPr>
              <w:t>13.1</w:t>
            </w:r>
          </w:p>
        </w:tc>
        <w:tc>
          <w:tcPr>
            <w:tcW w:w="2253" w:type="dxa"/>
            <w:vAlign w:val="center"/>
          </w:tcPr>
          <w:p w14:paraId="7C87E6BA" w14:textId="77777777" w:rsidR="00753E7C" w:rsidRPr="00F16733" w:rsidRDefault="00753E7C" w:rsidP="00611803">
            <w:pPr>
              <w:tabs>
                <w:tab w:val="left" w:pos="1020"/>
              </w:tabs>
              <w:jc w:val="center"/>
              <w:rPr>
                <w:rFonts w:eastAsia="Calibri" w:cs="Arial"/>
                <w:sz w:val="20"/>
                <w:szCs w:val="20"/>
              </w:rPr>
            </w:pPr>
            <w:r w:rsidRPr="00F23F1A">
              <w:rPr>
                <w:rFonts w:eastAsia="Times New Roman" w:cs="Calibri"/>
                <w:color w:val="000000"/>
                <w:lang w:eastAsia="en-GB"/>
              </w:rPr>
              <w:t>26.3</w:t>
            </w:r>
          </w:p>
        </w:tc>
      </w:tr>
    </w:tbl>
    <w:p w14:paraId="3C9139DB" w14:textId="77777777" w:rsidR="00753E7C" w:rsidRPr="00E12582" w:rsidRDefault="00753E7C" w:rsidP="00753E7C">
      <w:pPr>
        <w:spacing w:line="240" w:lineRule="auto"/>
        <w:jc w:val="both"/>
        <w:rPr>
          <w:rFonts w:eastAsia="Calibri" w:cs="Calibri"/>
          <w:sz w:val="18"/>
          <w:szCs w:val="18"/>
          <w:lang w:eastAsia="en-GB"/>
        </w:rPr>
      </w:pPr>
      <w:r w:rsidRPr="00E12582">
        <w:rPr>
          <w:rFonts w:ascii="Times New Roman" w:eastAsia="Calibri" w:hAnsi="Times New Roman" w:cs="Times New Roman"/>
          <w:noProof/>
          <w:sz w:val="20"/>
          <w:szCs w:val="20"/>
          <w:lang w:val="en-US"/>
        </w:rPr>
        <w:t>*</w:t>
      </w:r>
      <w:r w:rsidRPr="00E12582">
        <w:rPr>
          <w:rFonts w:eastAsia="Calibri" w:cs="Calibri"/>
          <w:sz w:val="18"/>
          <w:szCs w:val="18"/>
          <w:lang w:eastAsia="en-GB"/>
        </w:rPr>
        <w:t>pD: sum of leverage, also known as the effective number of parameters and shows the model complexity.</w:t>
      </w:r>
    </w:p>
    <w:p w14:paraId="2A6548F2" w14:textId="77777777" w:rsidR="00753E7C" w:rsidRDefault="00753E7C" w:rsidP="00753E7C">
      <w:pPr>
        <w:spacing w:line="240" w:lineRule="auto"/>
        <w:rPr>
          <w:rFonts w:eastAsia="Calibri" w:cs="Calibri"/>
          <w:sz w:val="18"/>
          <w:szCs w:val="18"/>
          <w:lang w:eastAsia="en-GB"/>
        </w:rPr>
      </w:pPr>
      <w:r w:rsidRPr="00E12582">
        <w:rPr>
          <w:rFonts w:eastAsia="Calibri" w:cs="Calibri"/>
          <w:sz w:val="18"/>
          <w:szCs w:val="18"/>
          <w:lang w:eastAsia="en-GB"/>
        </w:rPr>
        <w:t xml:space="preserve">**DIC: Deviance Information Criteria (DIC provides a measure of goodness of model fit that penalises model complexity, the lower is more fitted. </w:t>
      </w:r>
      <w:r>
        <w:rPr>
          <w:rFonts w:eastAsia="Calibri" w:cs="Calibri"/>
          <w:sz w:val="18"/>
          <w:szCs w:val="18"/>
          <w:lang w:eastAsia="en-GB"/>
        </w:rPr>
        <w:t xml:space="preserve">More than three difference is meaningful. </w:t>
      </w:r>
    </w:p>
    <w:p w14:paraId="0AAC4336" w14:textId="19425A6D" w:rsidR="00753E7C" w:rsidRDefault="00753E7C" w:rsidP="00753E7C">
      <w:pPr>
        <w:pStyle w:val="Caption"/>
        <w:keepNext/>
      </w:pPr>
      <w:bookmarkStart w:id="21" w:name="_Ref130543290"/>
      <w:bookmarkStart w:id="22" w:name="_Toc129946389"/>
      <w:bookmarkStart w:id="23" w:name="_Toc133322646"/>
      <w:r>
        <w:t xml:space="preserve">Table </w:t>
      </w:r>
      <w:bookmarkEnd w:id="21"/>
      <w:r w:rsidR="00047048">
        <w:t>7</w:t>
      </w:r>
      <w:r>
        <w:t xml:space="preserve">: </w:t>
      </w:r>
      <w:r w:rsidRPr="00D74337">
        <w:t>Comparing fit of NMA and UME models for MSQ-RR</w:t>
      </w:r>
      <w:bookmarkEnd w:id="22"/>
      <w:bookmarkEnd w:id="23"/>
    </w:p>
    <w:tbl>
      <w:tblPr>
        <w:tblW w:w="3961" w:type="pct"/>
        <w:shd w:val="clear" w:color="auto" w:fill="FFFFFF"/>
        <w:tblLayout w:type="fixed"/>
        <w:tblLook w:val="04A0" w:firstRow="1" w:lastRow="0" w:firstColumn="1" w:lastColumn="0" w:noHBand="0" w:noVBand="1"/>
      </w:tblPr>
      <w:tblGrid>
        <w:gridCol w:w="4064"/>
        <w:gridCol w:w="1754"/>
        <w:gridCol w:w="753"/>
        <w:gridCol w:w="751"/>
      </w:tblGrid>
      <w:tr w:rsidR="00753E7C" w:rsidRPr="00E12582" w14:paraId="0EAB61DD" w14:textId="77777777" w:rsidTr="00753E7C">
        <w:trPr>
          <w:trHeight w:val="527"/>
        </w:trPr>
        <w:tc>
          <w:tcPr>
            <w:tcW w:w="2775" w:type="pct"/>
            <w:tcBorders>
              <w:top w:val="single" w:sz="4" w:space="0" w:color="auto"/>
              <w:left w:val="single" w:sz="4" w:space="0" w:color="auto"/>
              <w:bottom w:val="single" w:sz="4" w:space="0" w:color="auto"/>
              <w:right w:val="nil"/>
            </w:tcBorders>
            <w:shd w:val="clear" w:color="auto" w:fill="FFFFFF"/>
            <w:noWrap/>
            <w:vAlign w:val="bottom"/>
            <w:hideMark/>
          </w:tcPr>
          <w:p w14:paraId="0D9B1330" w14:textId="77777777" w:rsidR="00753E7C" w:rsidRPr="00951706" w:rsidRDefault="00753E7C" w:rsidP="00611803">
            <w:pPr>
              <w:spacing w:line="240" w:lineRule="auto"/>
              <w:jc w:val="center"/>
              <w:rPr>
                <w:rFonts w:eastAsia="Times New Roman" w:cs="Calibri"/>
                <w:color w:val="000000"/>
                <w:sz w:val="20"/>
                <w:szCs w:val="20"/>
                <w:lang w:eastAsia="en-GB"/>
              </w:rPr>
            </w:pPr>
          </w:p>
        </w:tc>
        <w:tc>
          <w:tcPr>
            <w:tcW w:w="1198"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3BBE21" w14:textId="77777777" w:rsidR="00753E7C" w:rsidRPr="00076FE6" w:rsidRDefault="00753E7C" w:rsidP="00611803">
            <w:pPr>
              <w:spacing w:line="240" w:lineRule="auto"/>
              <w:jc w:val="center"/>
              <w:rPr>
                <w:rFonts w:eastAsia="Times New Roman" w:cs="Calibri"/>
                <w:b/>
                <w:bCs/>
                <w:color w:val="000000"/>
                <w:sz w:val="20"/>
                <w:szCs w:val="20"/>
                <w:lang w:eastAsia="en-GB"/>
              </w:rPr>
            </w:pPr>
            <w:r w:rsidRPr="00076FE6">
              <w:rPr>
                <w:rFonts w:eastAsia="Times New Roman" w:cs="Calibri"/>
                <w:b/>
                <w:bCs/>
                <w:color w:val="000000"/>
                <w:sz w:val="20"/>
                <w:szCs w:val="20"/>
                <w:lang w:eastAsia="en-GB"/>
              </w:rPr>
              <w:t>Residual deviance (13 data points)</w:t>
            </w:r>
          </w:p>
        </w:tc>
        <w:tc>
          <w:tcPr>
            <w:tcW w:w="514" w:type="pct"/>
            <w:tcBorders>
              <w:top w:val="single" w:sz="4" w:space="0" w:color="auto"/>
              <w:left w:val="nil"/>
              <w:bottom w:val="single" w:sz="4" w:space="0" w:color="auto"/>
              <w:right w:val="single" w:sz="4" w:space="0" w:color="auto"/>
            </w:tcBorders>
            <w:shd w:val="clear" w:color="auto" w:fill="FFFFFF"/>
            <w:noWrap/>
            <w:vAlign w:val="bottom"/>
            <w:hideMark/>
          </w:tcPr>
          <w:p w14:paraId="3BF9B97A" w14:textId="77777777" w:rsidR="00753E7C" w:rsidRPr="00076FE6" w:rsidRDefault="00753E7C" w:rsidP="00611803">
            <w:pPr>
              <w:spacing w:line="240" w:lineRule="auto"/>
              <w:jc w:val="center"/>
              <w:rPr>
                <w:rFonts w:eastAsia="Times New Roman" w:cs="Calibri"/>
                <w:b/>
                <w:bCs/>
                <w:color w:val="000000"/>
                <w:sz w:val="20"/>
                <w:szCs w:val="20"/>
                <w:lang w:eastAsia="en-GB"/>
              </w:rPr>
            </w:pPr>
            <w:r w:rsidRPr="00076FE6">
              <w:rPr>
                <w:rFonts w:eastAsia="Times New Roman" w:cs="Calibri"/>
                <w:b/>
                <w:bCs/>
                <w:color w:val="000000"/>
                <w:sz w:val="20"/>
                <w:szCs w:val="20"/>
                <w:lang w:eastAsia="en-GB"/>
              </w:rPr>
              <w:t>pD*</w:t>
            </w:r>
          </w:p>
        </w:tc>
        <w:tc>
          <w:tcPr>
            <w:tcW w:w="513" w:type="pct"/>
            <w:tcBorders>
              <w:top w:val="single" w:sz="4" w:space="0" w:color="auto"/>
              <w:left w:val="nil"/>
              <w:bottom w:val="single" w:sz="4" w:space="0" w:color="auto"/>
              <w:right w:val="single" w:sz="4" w:space="0" w:color="auto"/>
            </w:tcBorders>
            <w:shd w:val="clear" w:color="auto" w:fill="FFFFFF"/>
            <w:vAlign w:val="bottom"/>
            <w:hideMark/>
          </w:tcPr>
          <w:p w14:paraId="764D4DB7" w14:textId="77777777" w:rsidR="00753E7C" w:rsidRPr="00076FE6" w:rsidRDefault="00753E7C" w:rsidP="00611803">
            <w:pPr>
              <w:spacing w:line="240" w:lineRule="auto"/>
              <w:jc w:val="center"/>
              <w:rPr>
                <w:rFonts w:eastAsia="Times New Roman" w:cs="Calibri"/>
                <w:b/>
                <w:bCs/>
                <w:color w:val="000000"/>
                <w:sz w:val="20"/>
                <w:szCs w:val="20"/>
                <w:lang w:eastAsia="en-GB"/>
              </w:rPr>
            </w:pPr>
            <w:r w:rsidRPr="00076FE6">
              <w:rPr>
                <w:rFonts w:eastAsia="Times New Roman" w:cs="Calibri"/>
                <w:b/>
                <w:bCs/>
                <w:color w:val="000000"/>
                <w:sz w:val="20"/>
                <w:szCs w:val="20"/>
                <w:lang w:eastAsia="en-GB"/>
              </w:rPr>
              <w:t>(DIC)**</w:t>
            </w:r>
          </w:p>
        </w:tc>
      </w:tr>
      <w:tr w:rsidR="00753E7C" w:rsidRPr="00E12582" w14:paraId="704847C9" w14:textId="77777777" w:rsidTr="00753E7C">
        <w:trPr>
          <w:trHeight w:val="20"/>
        </w:trPr>
        <w:tc>
          <w:tcPr>
            <w:tcW w:w="2775"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FD622D7" w14:textId="77777777" w:rsidR="00753E7C" w:rsidRPr="00951706" w:rsidRDefault="00753E7C" w:rsidP="00611803">
            <w:pPr>
              <w:spacing w:line="240" w:lineRule="auto"/>
              <w:jc w:val="center"/>
              <w:rPr>
                <w:rFonts w:eastAsia="Times New Roman" w:cs="Calibri"/>
                <w:color w:val="000000"/>
                <w:sz w:val="20"/>
                <w:szCs w:val="20"/>
                <w:lang w:eastAsia="en-GB"/>
              </w:rPr>
            </w:pPr>
            <w:r w:rsidRPr="00951706">
              <w:rPr>
                <w:rFonts w:eastAsia="Times New Roman" w:cs="Calibri"/>
                <w:color w:val="000000"/>
                <w:sz w:val="20"/>
                <w:szCs w:val="20"/>
                <w:lang w:eastAsia="en-GB"/>
              </w:rPr>
              <w:t>NMA (consistency) Model</w:t>
            </w:r>
          </w:p>
        </w:tc>
        <w:tc>
          <w:tcPr>
            <w:tcW w:w="1198" w:type="pct"/>
            <w:tcBorders>
              <w:top w:val="nil"/>
              <w:left w:val="nil"/>
              <w:bottom w:val="single" w:sz="4" w:space="0" w:color="auto"/>
              <w:right w:val="single" w:sz="4" w:space="0" w:color="auto"/>
            </w:tcBorders>
            <w:shd w:val="clear" w:color="auto" w:fill="FFFFFF"/>
            <w:noWrap/>
            <w:vAlign w:val="bottom"/>
            <w:hideMark/>
          </w:tcPr>
          <w:p w14:paraId="35037DDA" w14:textId="77777777" w:rsidR="00753E7C" w:rsidRPr="00951706" w:rsidRDefault="00753E7C" w:rsidP="00611803">
            <w:pPr>
              <w:spacing w:line="240" w:lineRule="auto"/>
              <w:jc w:val="center"/>
              <w:rPr>
                <w:rFonts w:eastAsia="Times New Roman" w:cs="Calibri"/>
                <w:color w:val="000000"/>
                <w:sz w:val="20"/>
                <w:szCs w:val="20"/>
                <w:lang w:eastAsia="en-GB"/>
              </w:rPr>
            </w:pPr>
            <w:r w:rsidRPr="00253340">
              <w:rPr>
                <w:rFonts w:cs="Calibri"/>
                <w:color w:val="000000"/>
                <w:sz w:val="20"/>
                <w:szCs w:val="20"/>
              </w:rPr>
              <w:t>12.9</w:t>
            </w:r>
          </w:p>
        </w:tc>
        <w:tc>
          <w:tcPr>
            <w:tcW w:w="514" w:type="pct"/>
            <w:tcBorders>
              <w:top w:val="nil"/>
              <w:left w:val="nil"/>
              <w:bottom w:val="single" w:sz="4" w:space="0" w:color="auto"/>
              <w:right w:val="single" w:sz="4" w:space="0" w:color="auto"/>
            </w:tcBorders>
            <w:shd w:val="clear" w:color="auto" w:fill="FFFFFF"/>
            <w:noWrap/>
            <w:vAlign w:val="bottom"/>
            <w:hideMark/>
          </w:tcPr>
          <w:p w14:paraId="61FFF5AD" w14:textId="77777777" w:rsidR="00753E7C" w:rsidRPr="00951706" w:rsidRDefault="00753E7C" w:rsidP="00611803">
            <w:pPr>
              <w:spacing w:line="240" w:lineRule="auto"/>
              <w:jc w:val="center"/>
              <w:rPr>
                <w:rFonts w:eastAsia="Times New Roman" w:cs="Calibri"/>
                <w:color w:val="000000"/>
                <w:sz w:val="20"/>
                <w:szCs w:val="20"/>
                <w:lang w:eastAsia="en-GB"/>
              </w:rPr>
            </w:pPr>
            <w:r w:rsidRPr="00253340">
              <w:rPr>
                <w:rFonts w:cs="Calibri"/>
                <w:color w:val="000000"/>
                <w:sz w:val="20"/>
                <w:szCs w:val="20"/>
              </w:rPr>
              <w:t>12.9</w:t>
            </w:r>
          </w:p>
        </w:tc>
        <w:tc>
          <w:tcPr>
            <w:tcW w:w="513" w:type="pct"/>
            <w:tcBorders>
              <w:top w:val="nil"/>
              <w:left w:val="nil"/>
              <w:bottom w:val="single" w:sz="4" w:space="0" w:color="auto"/>
              <w:right w:val="single" w:sz="4" w:space="0" w:color="auto"/>
            </w:tcBorders>
            <w:shd w:val="clear" w:color="auto" w:fill="FFFFFF"/>
            <w:noWrap/>
            <w:vAlign w:val="bottom"/>
            <w:hideMark/>
          </w:tcPr>
          <w:p w14:paraId="3380D3C0" w14:textId="77777777" w:rsidR="00753E7C" w:rsidRPr="00951706" w:rsidRDefault="00753E7C" w:rsidP="00611803">
            <w:pPr>
              <w:spacing w:line="240" w:lineRule="auto"/>
              <w:jc w:val="center"/>
              <w:rPr>
                <w:rFonts w:eastAsia="Times New Roman" w:cs="Calibri"/>
                <w:color w:val="000000"/>
                <w:sz w:val="20"/>
                <w:szCs w:val="20"/>
                <w:lang w:eastAsia="en-GB"/>
              </w:rPr>
            </w:pPr>
            <w:r w:rsidRPr="00253340">
              <w:rPr>
                <w:rFonts w:cs="Calibri"/>
                <w:color w:val="000000"/>
                <w:sz w:val="20"/>
                <w:szCs w:val="20"/>
              </w:rPr>
              <w:t>25.8</w:t>
            </w:r>
          </w:p>
        </w:tc>
      </w:tr>
      <w:tr w:rsidR="00753E7C" w:rsidRPr="00E12582" w14:paraId="42BB01C8" w14:textId="77777777" w:rsidTr="00753E7C">
        <w:trPr>
          <w:trHeight w:val="443"/>
        </w:trPr>
        <w:tc>
          <w:tcPr>
            <w:tcW w:w="2775" w:type="pct"/>
            <w:tcBorders>
              <w:top w:val="nil"/>
              <w:left w:val="single" w:sz="4" w:space="0" w:color="auto"/>
              <w:bottom w:val="single" w:sz="4" w:space="0" w:color="auto"/>
              <w:right w:val="single" w:sz="4" w:space="0" w:color="auto"/>
            </w:tcBorders>
            <w:shd w:val="clear" w:color="auto" w:fill="FFFFFF"/>
            <w:vAlign w:val="bottom"/>
            <w:hideMark/>
          </w:tcPr>
          <w:p w14:paraId="1FF6DE76" w14:textId="77777777" w:rsidR="00753E7C" w:rsidRPr="00951706" w:rsidRDefault="00753E7C" w:rsidP="00611803">
            <w:pPr>
              <w:spacing w:line="240" w:lineRule="auto"/>
              <w:jc w:val="center"/>
              <w:rPr>
                <w:rFonts w:eastAsia="Times New Roman" w:cs="Calibri"/>
                <w:color w:val="000000"/>
                <w:sz w:val="20"/>
                <w:szCs w:val="20"/>
                <w:lang w:eastAsia="en-GB"/>
              </w:rPr>
            </w:pPr>
            <w:r w:rsidRPr="00951706">
              <w:rPr>
                <w:rFonts w:eastAsia="Times New Roman" w:cs="Calibri"/>
                <w:color w:val="000000"/>
                <w:sz w:val="20"/>
                <w:szCs w:val="20"/>
                <w:lang w:eastAsia="en-GB"/>
              </w:rPr>
              <w:t>Unrelated Mean Effects (Inconsistency) Model</w:t>
            </w:r>
          </w:p>
        </w:tc>
        <w:tc>
          <w:tcPr>
            <w:tcW w:w="1198" w:type="pct"/>
            <w:tcBorders>
              <w:top w:val="nil"/>
              <w:left w:val="nil"/>
              <w:bottom w:val="single" w:sz="4" w:space="0" w:color="auto"/>
              <w:right w:val="single" w:sz="4" w:space="0" w:color="auto"/>
            </w:tcBorders>
            <w:shd w:val="clear" w:color="auto" w:fill="FFFFFF"/>
            <w:noWrap/>
            <w:vAlign w:val="bottom"/>
            <w:hideMark/>
          </w:tcPr>
          <w:p w14:paraId="5CC112D5" w14:textId="77777777" w:rsidR="00753E7C" w:rsidRPr="00951706" w:rsidRDefault="00753E7C" w:rsidP="00611803">
            <w:pPr>
              <w:spacing w:line="240" w:lineRule="auto"/>
              <w:jc w:val="center"/>
              <w:rPr>
                <w:rFonts w:eastAsia="Times New Roman" w:cs="Calibri"/>
                <w:color w:val="000000"/>
                <w:sz w:val="20"/>
                <w:szCs w:val="20"/>
                <w:lang w:eastAsia="en-GB"/>
              </w:rPr>
            </w:pPr>
            <w:r w:rsidRPr="00253340">
              <w:rPr>
                <w:rFonts w:cs="Calibri"/>
                <w:color w:val="000000"/>
                <w:sz w:val="20"/>
                <w:szCs w:val="20"/>
              </w:rPr>
              <w:t>13</w:t>
            </w:r>
          </w:p>
        </w:tc>
        <w:tc>
          <w:tcPr>
            <w:tcW w:w="514" w:type="pct"/>
            <w:tcBorders>
              <w:top w:val="nil"/>
              <w:left w:val="nil"/>
              <w:bottom w:val="single" w:sz="4" w:space="0" w:color="auto"/>
              <w:right w:val="single" w:sz="4" w:space="0" w:color="auto"/>
            </w:tcBorders>
            <w:shd w:val="clear" w:color="auto" w:fill="FFFFFF"/>
            <w:noWrap/>
            <w:vAlign w:val="bottom"/>
            <w:hideMark/>
          </w:tcPr>
          <w:p w14:paraId="75FC5788" w14:textId="77777777" w:rsidR="00753E7C" w:rsidRPr="00951706" w:rsidRDefault="00753E7C" w:rsidP="00611803">
            <w:pPr>
              <w:spacing w:line="240" w:lineRule="auto"/>
              <w:jc w:val="center"/>
              <w:rPr>
                <w:rFonts w:eastAsia="Times New Roman" w:cs="Calibri"/>
                <w:color w:val="000000"/>
                <w:sz w:val="20"/>
                <w:szCs w:val="20"/>
                <w:lang w:eastAsia="en-GB"/>
              </w:rPr>
            </w:pPr>
            <w:r w:rsidRPr="00253340">
              <w:rPr>
                <w:rFonts w:cs="Calibri"/>
                <w:color w:val="000000"/>
                <w:sz w:val="20"/>
                <w:szCs w:val="20"/>
              </w:rPr>
              <w:t>13</w:t>
            </w:r>
          </w:p>
        </w:tc>
        <w:tc>
          <w:tcPr>
            <w:tcW w:w="513" w:type="pct"/>
            <w:tcBorders>
              <w:top w:val="nil"/>
              <w:left w:val="nil"/>
              <w:bottom w:val="single" w:sz="4" w:space="0" w:color="auto"/>
              <w:right w:val="single" w:sz="4" w:space="0" w:color="auto"/>
            </w:tcBorders>
            <w:shd w:val="clear" w:color="auto" w:fill="FFFFFF"/>
            <w:noWrap/>
            <w:vAlign w:val="bottom"/>
            <w:hideMark/>
          </w:tcPr>
          <w:p w14:paraId="6CB6FAA8" w14:textId="77777777" w:rsidR="00753E7C" w:rsidRPr="00951706" w:rsidRDefault="00753E7C" w:rsidP="00611803">
            <w:pPr>
              <w:spacing w:line="240" w:lineRule="auto"/>
              <w:jc w:val="center"/>
              <w:rPr>
                <w:rFonts w:eastAsia="Times New Roman" w:cs="Calibri"/>
                <w:color w:val="000000"/>
                <w:sz w:val="20"/>
                <w:szCs w:val="20"/>
                <w:lang w:eastAsia="en-GB"/>
              </w:rPr>
            </w:pPr>
            <w:r w:rsidRPr="00253340">
              <w:rPr>
                <w:rFonts w:cs="Calibri"/>
                <w:color w:val="000000"/>
                <w:sz w:val="20"/>
                <w:szCs w:val="20"/>
              </w:rPr>
              <w:t>26</w:t>
            </w:r>
          </w:p>
        </w:tc>
      </w:tr>
    </w:tbl>
    <w:p w14:paraId="08372F24" w14:textId="347DA820" w:rsidR="00753E7C" w:rsidRDefault="00753E7C" w:rsidP="00753E7C">
      <w:pPr>
        <w:spacing w:line="240" w:lineRule="auto"/>
        <w:jc w:val="both"/>
        <w:rPr>
          <w:rFonts w:eastAsia="Calibri" w:cs="Calibri"/>
          <w:sz w:val="18"/>
          <w:szCs w:val="18"/>
          <w:lang w:eastAsia="en-GB"/>
        </w:rPr>
      </w:pPr>
      <w:r w:rsidRPr="00E12582">
        <w:rPr>
          <w:rFonts w:ascii="Times New Roman" w:eastAsia="Calibri" w:hAnsi="Times New Roman" w:cs="Times New Roman"/>
          <w:noProof/>
          <w:sz w:val="20"/>
          <w:szCs w:val="20"/>
          <w:lang w:val="en-US"/>
        </w:rPr>
        <w:lastRenderedPageBreak/>
        <w:t>*</w:t>
      </w:r>
      <w:r w:rsidRPr="00E12582">
        <w:rPr>
          <w:rFonts w:eastAsia="Calibri" w:cs="Calibri"/>
          <w:sz w:val="18"/>
          <w:szCs w:val="18"/>
          <w:lang w:eastAsia="en-GB"/>
        </w:rPr>
        <w:t>pD: sum of leverage, also known as the effective number of parameters and shows the model complexity.</w:t>
      </w:r>
      <w:r>
        <w:rPr>
          <w:rFonts w:eastAsia="Calibri" w:cs="Calibri"/>
          <w:sz w:val="18"/>
          <w:szCs w:val="18"/>
          <w:lang w:eastAsia="en-GB"/>
        </w:rPr>
        <w:t xml:space="preserve"> </w:t>
      </w:r>
      <w:r w:rsidRPr="00E12582">
        <w:rPr>
          <w:rFonts w:eastAsia="Calibri" w:cs="Calibri"/>
          <w:sz w:val="18"/>
          <w:szCs w:val="18"/>
          <w:lang w:eastAsia="en-GB"/>
        </w:rPr>
        <w:t xml:space="preserve">**DIC: Deviance Information Criteria (DIC provides a measure of goodness of model fit that penalises model complexity, the lower is more fitted. </w:t>
      </w:r>
      <w:r>
        <w:rPr>
          <w:rFonts w:eastAsia="Calibri" w:cs="Calibri"/>
          <w:sz w:val="18"/>
          <w:szCs w:val="18"/>
          <w:lang w:eastAsia="en-GB"/>
        </w:rPr>
        <w:t>More than three difference is meaningful.</w:t>
      </w:r>
    </w:p>
    <w:p w14:paraId="4818288E" w14:textId="77777777" w:rsidR="00753E7C" w:rsidRDefault="00753E7C" w:rsidP="00753E7C">
      <w:pPr>
        <w:spacing w:line="240" w:lineRule="auto"/>
        <w:jc w:val="both"/>
        <w:rPr>
          <w:rFonts w:eastAsia="Calibri" w:cs="Calibri"/>
          <w:noProof/>
          <w:lang w:val="en-US" w:eastAsia="en-GB"/>
        </w:rPr>
      </w:pPr>
      <w:r>
        <w:rPr>
          <w:noProof/>
          <w:lang w:val="en-US"/>
        </w:rPr>
        <w:drawing>
          <wp:inline distT="0" distB="0" distL="0" distR="0" wp14:anchorId="2ACA7D44" wp14:editId="353458DE">
            <wp:extent cx="3333750" cy="2044700"/>
            <wp:effectExtent l="0" t="0" r="0" b="0"/>
            <wp:docPr id="80" name="Picture 8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20"/>
                    <a:stretch>
                      <a:fillRect/>
                    </a:stretch>
                  </pic:blipFill>
                  <pic:spPr>
                    <a:xfrm>
                      <a:off x="0" y="0"/>
                      <a:ext cx="3379091" cy="2072509"/>
                    </a:xfrm>
                    <a:prstGeom prst="rect">
                      <a:avLst/>
                    </a:prstGeom>
                  </pic:spPr>
                </pic:pic>
              </a:graphicData>
            </a:graphic>
          </wp:inline>
        </w:drawing>
      </w:r>
    </w:p>
    <w:p w14:paraId="61D8BD6E" w14:textId="77777777" w:rsidR="00753E7C" w:rsidRDefault="00753E7C" w:rsidP="00753E7C">
      <w:pPr>
        <w:pStyle w:val="EndNoteBibliography"/>
        <w:keepNext/>
        <w:rPr>
          <w:sz w:val="20"/>
          <w:szCs w:val="20"/>
        </w:rPr>
      </w:pPr>
      <w:r w:rsidRPr="00F16733">
        <w:rPr>
          <w:sz w:val="20"/>
          <w:szCs w:val="20"/>
        </w:rPr>
        <w:t xml:space="preserve">Dev-Dev plot </w:t>
      </w:r>
      <w:r>
        <w:rPr>
          <w:sz w:val="20"/>
          <w:szCs w:val="20"/>
        </w:rPr>
        <w:t>to identify</w:t>
      </w:r>
      <w:r w:rsidRPr="006B53BE">
        <w:rPr>
          <w:sz w:val="20"/>
          <w:szCs w:val="20"/>
        </w:rPr>
        <w:t xml:space="preserve"> inconsistent data-points</w:t>
      </w:r>
      <w:r>
        <w:rPr>
          <w:sz w:val="20"/>
          <w:szCs w:val="20"/>
        </w:rPr>
        <w:t xml:space="preserve">, </w:t>
      </w:r>
      <w:r w:rsidRPr="00F16733">
        <w:rPr>
          <w:sz w:val="20"/>
          <w:szCs w:val="20"/>
        </w:rPr>
        <w:t>the data points are scattered in a further distance from the bivector form the origin, they</w:t>
      </w:r>
      <w:r>
        <w:rPr>
          <w:sz w:val="20"/>
          <w:szCs w:val="20"/>
        </w:rPr>
        <w:t xml:space="preserve"> shows being</w:t>
      </w:r>
      <w:r w:rsidRPr="00F16733">
        <w:rPr>
          <w:sz w:val="20"/>
          <w:szCs w:val="20"/>
        </w:rPr>
        <w:t xml:space="preserve"> source of inconsistency.</w:t>
      </w:r>
    </w:p>
    <w:p w14:paraId="5CBB155B" w14:textId="473F4A01" w:rsidR="00753E7C" w:rsidRDefault="00753E7C" w:rsidP="007E0C63">
      <w:pPr>
        <w:spacing w:line="240" w:lineRule="auto"/>
      </w:pPr>
      <w:bookmarkStart w:id="24" w:name="_Ref130541604"/>
      <w:bookmarkStart w:id="25" w:name="_Toc129946466"/>
      <w:bookmarkStart w:id="26" w:name="_Toc133322746"/>
      <w:r w:rsidRPr="00EF2777">
        <w:rPr>
          <w:rFonts w:ascii="Calibri" w:hAnsi="Calibri"/>
          <w:b/>
          <w:iCs/>
          <w:szCs w:val="18"/>
        </w:rPr>
        <w:t xml:space="preserve">Figure </w:t>
      </w:r>
      <w:bookmarkEnd w:id="24"/>
      <w:r>
        <w:rPr>
          <w:rFonts w:ascii="Calibri" w:hAnsi="Calibri"/>
          <w:b/>
          <w:iCs/>
          <w:szCs w:val="18"/>
        </w:rPr>
        <w:t>8</w:t>
      </w:r>
      <w:r w:rsidRPr="00EF2777">
        <w:rPr>
          <w:rFonts w:ascii="Calibri" w:hAnsi="Calibri"/>
          <w:b/>
          <w:iCs/>
          <w:szCs w:val="18"/>
        </w:rPr>
        <w:t>: Global Consistency Test for mean change in MSQ-RR from baseline (Unrelated Mean Effects (Inconsistency) Model and Fixed NMA model)</w:t>
      </w:r>
      <w:bookmarkEnd w:id="25"/>
      <w:bookmarkEnd w:id="26"/>
    </w:p>
    <w:tbl>
      <w:tblPr>
        <w:tblStyle w:val="TableGrid"/>
        <w:tblW w:w="0" w:type="auto"/>
        <w:tblLook w:val="04A0" w:firstRow="1" w:lastRow="0" w:firstColumn="1" w:lastColumn="0" w:noHBand="0" w:noVBand="1"/>
      </w:tblPr>
      <w:tblGrid>
        <w:gridCol w:w="9016"/>
      </w:tblGrid>
      <w:tr w:rsidR="00753E7C" w14:paraId="3D83A5D9" w14:textId="77777777" w:rsidTr="00611803">
        <w:tc>
          <w:tcPr>
            <w:tcW w:w="9016" w:type="dxa"/>
            <w:vAlign w:val="bottom"/>
          </w:tcPr>
          <w:bookmarkEnd w:id="14"/>
          <w:bookmarkEnd w:id="15"/>
          <w:p w14:paraId="102F32E1" w14:textId="05D31188" w:rsidR="00753E7C" w:rsidRDefault="00753E7C" w:rsidP="00611803">
            <w:pPr>
              <w:jc w:val="center"/>
              <w:rPr>
                <w:rFonts w:cs="Calibri"/>
                <w:noProof/>
                <w:lang w:val="en-US"/>
              </w:rPr>
            </w:pPr>
            <w:r w:rsidRPr="00C34F7A">
              <w:rPr>
                <w:rFonts w:asciiTheme="majorBidi" w:hAnsiTheme="majorBidi" w:cstheme="majorBidi"/>
                <w:noProof/>
                <w:sz w:val="24"/>
                <w:szCs w:val="24"/>
                <w:lang w:val="en-US"/>
              </w:rPr>
              <mc:AlternateContent>
                <mc:Choice Requires="wps">
                  <w:drawing>
                    <wp:anchor distT="0" distB="0" distL="114300" distR="114300" simplePos="0" relativeHeight="251685888" behindDoc="0" locked="0" layoutInCell="1" allowOverlap="1" wp14:anchorId="4E7989AC" wp14:editId="4EFAEE0B">
                      <wp:simplePos x="0" y="0"/>
                      <wp:positionH relativeFrom="column">
                        <wp:posOffset>-6350</wp:posOffset>
                      </wp:positionH>
                      <wp:positionV relativeFrom="paragraph">
                        <wp:posOffset>5715</wp:posOffset>
                      </wp:positionV>
                      <wp:extent cx="268414" cy="274960"/>
                      <wp:effectExtent l="0" t="0" r="17780" b="10795"/>
                      <wp:wrapNone/>
                      <wp:docPr id="49" name="Flowchart: Connector 49"/>
                      <wp:cNvGraphicFramePr/>
                      <a:graphic xmlns:a="http://schemas.openxmlformats.org/drawingml/2006/main">
                        <a:graphicData uri="http://schemas.microsoft.com/office/word/2010/wordprocessingShape">
                          <wps:wsp>
                            <wps:cNvSpPr/>
                            <wps:spPr>
                              <a:xfrm>
                                <a:off x="0" y="0"/>
                                <a:ext cx="268414" cy="274960"/>
                              </a:xfrm>
                              <a:prstGeom prst="flowChartConnector">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28E8FA61" w14:textId="77777777" w:rsidR="00753E7C" w:rsidRPr="00CB5AED" w:rsidRDefault="00753E7C" w:rsidP="00753E7C">
                                  <w:pPr>
                                    <w:jc w:val="center"/>
                                    <w:rPr>
                                      <w:rFonts w:cstheme="minorHAnsi"/>
                                      <w:b/>
                                      <w:bCs/>
                                      <w:sz w:val="6"/>
                                      <w:szCs w:val="6"/>
                                    </w:rPr>
                                  </w:pPr>
                                  <w:r w:rsidRPr="00CB5AED">
                                    <w:rPr>
                                      <w:rFonts w:cstheme="minorHAnsi"/>
                                      <w:b/>
                                      <w:bCs/>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7989AC" id="Flowchart: Connector 49" o:spid="_x0000_s1028" type="#_x0000_t120" style="position:absolute;left:0;text-align:left;margin-left:-.5pt;margin-top:.45pt;width:21.15pt;height:2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" fillcolor="#b1cbe9" strokecolor="#5b9bd5" strokeweight=".5pt">
                      <v:fill color2="#92b9e4" rotate="t" colors="0 #b1cbe9;.5 #a3c1e5;1 #92b9e4" focus="100%" type="gradient">
                        <o:fill v:ext="view" type="gradientUnscaled"/>
                      </v:fill>
                      <v:stroke joinstyle="miter"/>
                      <v:textbox>
                        <w:txbxContent>
                          <w:p w14:paraId="28E8FA61" w14:textId="77777777" w:rsidR="00753E7C" w:rsidRPr="00CB5AED" w:rsidRDefault="00753E7C" w:rsidP="00753E7C">
                            <w:pPr>
                              <w:jc w:val="center"/>
                              <w:rPr>
                                <w:rFonts w:cstheme="minorHAnsi"/>
                                <w:b/>
                                <w:bCs/>
                                <w:sz w:val="6"/>
                                <w:szCs w:val="6"/>
                              </w:rPr>
                            </w:pPr>
                            <w:r w:rsidRPr="00CB5AED">
                              <w:rPr>
                                <w:rFonts w:cstheme="minorHAnsi"/>
                                <w:b/>
                                <w:bCs/>
                                <w:sz w:val="16"/>
                                <w:szCs w:val="16"/>
                              </w:rPr>
                              <w:t>A</w:t>
                            </w:r>
                          </w:p>
                        </w:txbxContent>
                      </v:textbox>
                    </v:shape>
                  </w:pict>
                </mc:Fallback>
              </mc:AlternateContent>
            </w:r>
          </w:p>
          <w:p w14:paraId="7DBFAE03" w14:textId="0D5447E1" w:rsidR="00753E7C" w:rsidRDefault="00753E7C" w:rsidP="00611803">
            <w:pPr>
              <w:jc w:val="center"/>
              <w:rPr>
                <w:rFonts w:cs="Calibri"/>
                <w:noProof/>
                <w:lang w:val="en-US"/>
              </w:rPr>
            </w:pPr>
            <w:r w:rsidRPr="00C34F7A">
              <w:rPr>
                <w:rFonts w:asciiTheme="majorBidi" w:hAnsiTheme="majorBidi" w:cstheme="majorBidi"/>
                <w:noProof/>
                <w:sz w:val="24"/>
                <w:szCs w:val="24"/>
                <w:lang w:val="en-US"/>
              </w:rPr>
              <mc:AlternateContent>
                <mc:Choice Requires="wps">
                  <w:drawing>
                    <wp:anchor distT="0" distB="0" distL="114300" distR="114300" simplePos="0" relativeHeight="251686912" behindDoc="0" locked="0" layoutInCell="1" allowOverlap="1" wp14:anchorId="71210FFB" wp14:editId="29907341">
                      <wp:simplePos x="0" y="0"/>
                      <wp:positionH relativeFrom="column">
                        <wp:posOffset>-24765</wp:posOffset>
                      </wp:positionH>
                      <wp:positionV relativeFrom="paragraph">
                        <wp:posOffset>1818640</wp:posOffset>
                      </wp:positionV>
                      <wp:extent cx="254635" cy="292100"/>
                      <wp:effectExtent l="0" t="0" r="12065" b="12700"/>
                      <wp:wrapNone/>
                      <wp:docPr id="48" name="Flowchart: Connector 48"/>
                      <wp:cNvGraphicFramePr/>
                      <a:graphic xmlns:a="http://schemas.openxmlformats.org/drawingml/2006/main">
                        <a:graphicData uri="http://schemas.microsoft.com/office/word/2010/wordprocessingShape">
                          <wps:wsp>
                            <wps:cNvSpPr/>
                            <wps:spPr>
                              <a:xfrm>
                                <a:off x="0" y="0"/>
                                <a:ext cx="254635" cy="292100"/>
                              </a:xfrm>
                              <a:prstGeom prst="flowChartConnector">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2335149F" w14:textId="77777777" w:rsidR="00753E7C" w:rsidRPr="00CB5AED" w:rsidRDefault="00753E7C" w:rsidP="00753E7C">
                                  <w:pPr>
                                    <w:jc w:val="center"/>
                                    <w:rPr>
                                      <w:rFonts w:cstheme="minorHAnsi"/>
                                      <w:b/>
                                      <w:bCs/>
                                      <w:sz w:val="6"/>
                                      <w:szCs w:val="6"/>
                                    </w:rPr>
                                  </w:pPr>
                                  <w:r w:rsidRPr="00CB5AED">
                                    <w:rPr>
                                      <w:rFonts w:cstheme="minorHAnsi"/>
                                      <w:b/>
                                      <w:bCs/>
                                      <w:sz w:val="16"/>
                                      <w:szCs w:val="16"/>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210FFB" id="Flowchart: Connector 48" o:spid="_x0000_s1029" type="#_x0000_t120" style="position:absolute;left:0;text-align:left;margin-left:-1.95pt;margin-top:143.2pt;width:20.05pt;height:2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" fillcolor="#b1cbe9" strokecolor="#5b9bd5" strokeweight=".5pt">
                      <v:fill color2="#92b9e4" rotate="t" colors="0 #b1cbe9;.5 #a3c1e5;1 #92b9e4" focus="100%" type="gradient">
                        <o:fill v:ext="view" type="gradientUnscaled"/>
                      </v:fill>
                      <v:stroke joinstyle="miter"/>
                      <v:textbox>
                        <w:txbxContent>
                          <w:p w14:paraId="2335149F" w14:textId="77777777" w:rsidR="00753E7C" w:rsidRPr="00CB5AED" w:rsidRDefault="00753E7C" w:rsidP="00753E7C">
                            <w:pPr>
                              <w:jc w:val="center"/>
                              <w:rPr>
                                <w:rFonts w:cstheme="minorHAnsi"/>
                                <w:b/>
                                <w:bCs/>
                                <w:sz w:val="6"/>
                                <w:szCs w:val="6"/>
                              </w:rPr>
                            </w:pPr>
                            <w:r w:rsidRPr="00CB5AED">
                              <w:rPr>
                                <w:rFonts w:cstheme="minorHAnsi"/>
                                <w:b/>
                                <w:bCs/>
                                <w:sz w:val="16"/>
                                <w:szCs w:val="16"/>
                              </w:rPr>
                              <w:t>B</w:t>
                            </w:r>
                          </w:p>
                        </w:txbxContent>
                      </v:textbox>
                    </v:shape>
                  </w:pict>
                </mc:Fallback>
              </mc:AlternateContent>
            </w:r>
            <w:r w:rsidRPr="0000286A">
              <w:rPr>
                <w:noProof/>
                <w:lang w:val="en-US"/>
              </w:rPr>
              <w:drawing>
                <wp:inline distT="0" distB="0" distL="0" distR="0" wp14:anchorId="1F9F7523" wp14:editId="57D56B43">
                  <wp:extent cx="4787900" cy="1885950"/>
                  <wp:effectExtent l="0" t="0" r="0" b="0"/>
                  <wp:docPr id="3139" name="Picture 3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7900" cy="1885950"/>
                          </a:xfrm>
                          <a:prstGeom prst="rect">
                            <a:avLst/>
                          </a:prstGeom>
                          <a:noFill/>
                          <a:ln>
                            <a:noFill/>
                          </a:ln>
                        </pic:spPr>
                      </pic:pic>
                    </a:graphicData>
                  </a:graphic>
                </wp:inline>
              </w:drawing>
            </w:r>
            <w:r>
              <w:rPr>
                <w:noProof/>
                <w:lang w:val="en-US"/>
              </w:rPr>
              <w:drawing>
                <wp:inline distT="0" distB="0" distL="0" distR="0" wp14:anchorId="749A1F24" wp14:editId="57A998B2">
                  <wp:extent cx="5369560" cy="2063750"/>
                  <wp:effectExtent l="0" t="0" r="2540" b="0"/>
                  <wp:docPr id="3140" name="Picture 314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22"/>
                          <a:stretch>
                            <a:fillRect/>
                          </a:stretch>
                        </pic:blipFill>
                        <pic:spPr>
                          <a:xfrm>
                            <a:off x="0" y="0"/>
                            <a:ext cx="5369560" cy="2063750"/>
                          </a:xfrm>
                          <a:prstGeom prst="rect">
                            <a:avLst/>
                          </a:prstGeom>
                        </pic:spPr>
                      </pic:pic>
                    </a:graphicData>
                  </a:graphic>
                </wp:inline>
              </w:drawing>
            </w:r>
          </w:p>
        </w:tc>
      </w:tr>
      <w:tr w:rsidR="00753E7C" w14:paraId="20CD951D" w14:textId="77777777" w:rsidTr="00611803">
        <w:tc>
          <w:tcPr>
            <w:tcW w:w="9016" w:type="dxa"/>
          </w:tcPr>
          <w:p w14:paraId="4B81B0A9" w14:textId="60C39D2C" w:rsidR="00753E7C" w:rsidRPr="00B5738C" w:rsidRDefault="00753E7C" w:rsidP="00611803">
            <w:pPr>
              <w:pStyle w:val="EndNoteBibliography"/>
              <w:tabs>
                <w:tab w:val="left" w:pos="993"/>
              </w:tabs>
              <w:jc w:val="both"/>
              <w:rPr>
                <w:rFonts w:asciiTheme="minorHAnsi" w:hAnsiTheme="minorHAnsi" w:cstheme="minorHAnsi"/>
                <w:sz w:val="18"/>
                <w:szCs w:val="18"/>
              </w:rPr>
            </w:pPr>
            <w:r>
              <w:rPr>
                <w:rFonts w:asciiTheme="minorHAnsi" w:hAnsiTheme="minorHAnsi" w:cstheme="minorHAnsi"/>
                <w:sz w:val="18"/>
                <w:szCs w:val="18"/>
              </w:rPr>
              <w:t>A</w:t>
            </w:r>
            <w:r w:rsidRPr="00B5738C">
              <w:rPr>
                <w:rFonts w:asciiTheme="minorHAnsi" w:hAnsiTheme="minorHAnsi" w:cstheme="minorHAnsi"/>
                <w:sz w:val="18"/>
                <w:szCs w:val="18"/>
              </w:rPr>
              <w:t xml:space="preserve">  - The forest plot shows the mean difference (MDs) and 95% credible interval (CrI) compared with placebo as reference treatment. MDs lower than 0 indicate favoured results for the intervention.</w:t>
            </w:r>
          </w:p>
          <w:p w14:paraId="496322A1" w14:textId="5FFF8E98" w:rsidR="00753E7C" w:rsidRPr="00B5738C" w:rsidRDefault="00753E7C" w:rsidP="00611803">
            <w:pPr>
              <w:pStyle w:val="EndNoteBibliography"/>
              <w:tabs>
                <w:tab w:val="left" w:pos="993"/>
              </w:tabs>
              <w:jc w:val="both"/>
              <w:rPr>
                <w:rFonts w:asciiTheme="minorHAnsi" w:hAnsiTheme="minorHAnsi" w:cstheme="minorHAnsi"/>
                <w:sz w:val="18"/>
                <w:szCs w:val="18"/>
              </w:rPr>
            </w:pPr>
            <w:r>
              <w:rPr>
                <w:rFonts w:asciiTheme="minorHAnsi" w:hAnsiTheme="minorHAnsi" w:cstheme="minorHAnsi"/>
                <w:sz w:val="18"/>
                <w:szCs w:val="18"/>
              </w:rPr>
              <w:t>B</w:t>
            </w:r>
            <w:r w:rsidRPr="00B5738C">
              <w:rPr>
                <w:rFonts w:asciiTheme="minorHAnsi" w:hAnsiTheme="minorHAnsi" w:cstheme="minorHAnsi"/>
                <w:sz w:val="18"/>
                <w:szCs w:val="18"/>
              </w:rPr>
              <w:t xml:space="preserve"> - Ranking probabilities graph (hatching blue bars) of each treatment and red bars are the SUCRA values for each treatment. The probabilities ranking ranged from 0 to 1. Due to rounding in R software these do not equate to one.</w:t>
            </w:r>
          </w:p>
          <w:p w14:paraId="7B344F27" w14:textId="77777777" w:rsidR="00753E7C" w:rsidRDefault="00753E7C" w:rsidP="00611803">
            <w:pPr>
              <w:keepNext/>
              <w:jc w:val="both"/>
              <w:rPr>
                <w:rFonts w:cs="Calibri"/>
                <w:noProof/>
                <w:lang w:val="en-US"/>
              </w:rPr>
            </w:pPr>
            <w:r w:rsidRPr="00B5738C">
              <w:rPr>
                <w:rFonts w:cstheme="minorHAnsi"/>
                <w:noProof/>
                <w:sz w:val="18"/>
                <w:szCs w:val="18"/>
                <w:lang w:val="en-US"/>
              </w:rPr>
              <w:t xml:space="preserve">Abbreviations: </w:t>
            </w:r>
            <w:r w:rsidRPr="00B5738C">
              <w:rPr>
                <w:rFonts w:cstheme="minorHAnsi"/>
                <w:sz w:val="18"/>
                <w:szCs w:val="18"/>
              </w:rPr>
              <w:t xml:space="preserve">MSQ-PR, Migraine Specific Quality of Life - Preventative Role; SUCRA, surface under the cumulative ranking </w:t>
            </w:r>
            <w:r w:rsidRPr="00802A4B">
              <w:rPr>
                <w:rFonts w:cstheme="minorHAnsi"/>
                <w:sz w:val="18"/>
                <w:szCs w:val="18"/>
              </w:rPr>
              <w:t>curve.</w:t>
            </w:r>
          </w:p>
        </w:tc>
      </w:tr>
    </w:tbl>
    <w:p w14:paraId="09DE3C73" w14:textId="3B711A18" w:rsidR="00753E7C" w:rsidRDefault="00753E7C" w:rsidP="00753E7C">
      <w:pPr>
        <w:pStyle w:val="Caption"/>
      </w:pPr>
      <w:bookmarkStart w:id="27" w:name="_Ref116491086"/>
      <w:bookmarkStart w:id="28" w:name="_Toc133322725"/>
      <w:r>
        <w:t xml:space="preserve">Figure </w:t>
      </w:r>
      <w:bookmarkEnd w:id="27"/>
      <w:r w:rsidR="00047048">
        <w:t>9</w:t>
      </w:r>
      <w:r>
        <w:t xml:space="preserve">: </w:t>
      </w:r>
      <w:r w:rsidRPr="00766755">
        <w:t xml:space="preserve">Summary of the </w:t>
      </w:r>
      <w:r>
        <w:t>c</w:t>
      </w:r>
      <w:r w:rsidRPr="00766755">
        <w:t>hange in MSQ-PR from baseline</w:t>
      </w:r>
      <w:bookmarkEnd w:id="28"/>
    </w:p>
    <w:p w14:paraId="23D94D3A" w14:textId="77777777" w:rsidR="00AB4E57" w:rsidRDefault="00AB4E57" w:rsidP="00AB4E57">
      <w:pPr>
        <w:sectPr w:rsidR="00AB4E57" w:rsidSect="006958AC">
          <w:pgSz w:w="11907" w:h="16840" w:orient="landscape" w:code="9"/>
          <w:pgMar w:top="1440" w:right="1440" w:bottom="1440" w:left="1440" w:header="709" w:footer="709" w:gutter="0"/>
          <w:cols w:space="708"/>
          <w:docGrid w:linePitch="360"/>
        </w:sectPr>
      </w:pPr>
    </w:p>
    <w:p w14:paraId="5EA13213" w14:textId="6FAE7A28" w:rsidR="00AB4E57" w:rsidRDefault="00AB4E57" w:rsidP="00AB4E57">
      <w:pPr>
        <w:pStyle w:val="Caption"/>
        <w:keepNext/>
      </w:pPr>
      <w:bookmarkStart w:id="29" w:name="_Ref133320431"/>
      <w:bookmarkStart w:id="30" w:name="_Toc133322615"/>
      <w:r>
        <w:lastRenderedPageBreak/>
        <w:t xml:space="preserve">Table </w:t>
      </w:r>
      <w:bookmarkEnd w:id="29"/>
      <w:r w:rsidR="00047048">
        <w:t>8</w:t>
      </w:r>
      <w:r>
        <w:t xml:space="preserve">: </w:t>
      </w:r>
      <w:r w:rsidRPr="0052050D">
        <w:t>Head-to-head comparisons of treatments for mean change in MSQ-PR from baseline</w:t>
      </w:r>
      <w:bookmarkEnd w:id="30"/>
    </w:p>
    <w:tbl>
      <w:tblPr>
        <w:tblW w:w="15075" w:type="dxa"/>
        <w:tblLook w:val="04A0" w:firstRow="1" w:lastRow="0" w:firstColumn="1" w:lastColumn="0" w:noHBand="0" w:noVBand="1"/>
      </w:tblPr>
      <w:tblGrid>
        <w:gridCol w:w="1829"/>
        <w:gridCol w:w="1687"/>
        <w:gridCol w:w="1667"/>
        <w:gridCol w:w="1706"/>
        <w:gridCol w:w="1767"/>
        <w:gridCol w:w="1727"/>
        <w:gridCol w:w="1747"/>
        <w:gridCol w:w="1625"/>
        <w:gridCol w:w="1320"/>
      </w:tblGrid>
      <w:tr w:rsidR="00AB4E57" w:rsidRPr="0050551E" w14:paraId="1AF5FE7C" w14:textId="77777777" w:rsidTr="00611803">
        <w:trPr>
          <w:trHeight w:val="686"/>
        </w:trPr>
        <w:tc>
          <w:tcPr>
            <w:tcW w:w="1829"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690AF072" w14:textId="2C371FEA"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Galcanezumab 120</w:t>
            </w:r>
            <w:r w:rsidR="00070E7D">
              <w:rPr>
                <w:rFonts w:eastAsia="Times New Roman" w:cs="Calibri"/>
                <w:color w:val="000000"/>
                <w:sz w:val="20"/>
                <w:szCs w:val="20"/>
                <w:lang w:eastAsia="en-GB"/>
              </w:rPr>
              <w:t>mg</w:t>
            </w:r>
          </w:p>
        </w:tc>
        <w:tc>
          <w:tcPr>
            <w:tcW w:w="1687" w:type="dxa"/>
            <w:tcBorders>
              <w:top w:val="nil"/>
              <w:left w:val="nil"/>
              <w:bottom w:val="nil"/>
              <w:right w:val="nil"/>
            </w:tcBorders>
            <w:shd w:val="clear" w:color="auto" w:fill="auto"/>
            <w:noWrap/>
            <w:vAlign w:val="center"/>
            <w:hideMark/>
          </w:tcPr>
          <w:p w14:paraId="63B734AE" w14:textId="77777777" w:rsidR="00AB4E57" w:rsidRPr="0031702A" w:rsidRDefault="00AB4E57" w:rsidP="00611803">
            <w:pPr>
              <w:spacing w:line="240" w:lineRule="auto"/>
              <w:jc w:val="center"/>
              <w:rPr>
                <w:rFonts w:eastAsia="Times New Roman" w:cs="Calibri"/>
                <w:color w:val="000000"/>
                <w:sz w:val="20"/>
                <w:szCs w:val="20"/>
                <w:lang w:eastAsia="en-GB"/>
              </w:rPr>
            </w:pPr>
          </w:p>
        </w:tc>
        <w:tc>
          <w:tcPr>
            <w:tcW w:w="1667" w:type="dxa"/>
            <w:tcBorders>
              <w:top w:val="nil"/>
              <w:left w:val="nil"/>
              <w:bottom w:val="nil"/>
              <w:right w:val="nil"/>
            </w:tcBorders>
            <w:shd w:val="clear" w:color="auto" w:fill="auto"/>
            <w:noWrap/>
            <w:vAlign w:val="center"/>
            <w:hideMark/>
          </w:tcPr>
          <w:p w14:paraId="066CED4D"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706" w:type="dxa"/>
            <w:tcBorders>
              <w:top w:val="nil"/>
              <w:left w:val="nil"/>
              <w:bottom w:val="nil"/>
              <w:right w:val="nil"/>
            </w:tcBorders>
            <w:shd w:val="clear" w:color="auto" w:fill="auto"/>
            <w:noWrap/>
            <w:vAlign w:val="center"/>
            <w:hideMark/>
          </w:tcPr>
          <w:p w14:paraId="1BD860A4"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767" w:type="dxa"/>
            <w:tcBorders>
              <w:top w:val="nil"/>
              <w:left w:val="nil"/>
              <w:bottom w:val="nil"/>
              <w:right w:val="nil"/>
            </w:tcBorders>
            <w:shd w:val="clear" w:color="auto" w:fill="auto"/>
            <w:noWrap/>
            <w:vAlign w:val="center"/>
            <w:hideMark/>
          </w:tcPr>
          <w:p w14:paraId="570039DC"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727" w:type="dxa"/>
            <w:tcBorders>
              <w:top w:val="nil"/>
              <w:left w:val="nil"/>
              <w:bottom w:val="nil"/>
              <w:right w:val="nil"/>
            </w:tcBorders>
            <w:shd w:val="clear" w:color="auto" w:fill="auto"/>
            <w:noWrap/>
            <w:vAlign w:val="center"/>
            <w:hideMark/>
          </w:tcPr>
          <w:p w14:paraId="3EB8954C"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747" w:type="dxa"/>
            <w:tcBorders>
              <w:top w:val="nil"/>
              <w:left w:val="nil"/>
              <w:bottom w:val="nil"/>
              <w:right w:val="nil"/>
            </w:tcBorders>
            <w:shd w:val="clear" w:color="auto" w:fill="auto"/>
            <w:noWrap/>
            <w:vAlign w:val="center"/>
            <w:hideMark/>
          </w:tcPr>
          <w:p w14:paraId="4A445F6C"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625" w:type="dxa"/>
            <w:tcBorders>
              <w:top w:val="nil"/>
              <w:left w:val="nil"/>
              <w:bottom w:val="nil"/>
              <w:right w:val="nil"/>
            </w:tcBorders>
            <w:shd w:val="clear" w:color="auto" w:fill="auto"/>
            <w:noWrap/>
            <w:vAlign w:val="center"/>
            <w:hideMark/>
          </w:tcPr>
          <w:p w14:paraId="3C0D91C5"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320" w:type="dxa"/>
            <w:tcBorders>
              <w:top w:val="nil"/>
              <w:left w:val="nil"/>
              <w:bottom w:val="nil"/>
              <w:right w:val="nil"/>
            </w:tcBorders>
            <w:shd w:val="clear" w:color="auto" w:fill="auto"/>
            <w:noWrap/>
            <w:vAlign w:val="center"/>
            <w:hideMark/>
          </w:tcPr>
          <w:p w14:paraId="6F9DFCBE"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r>
      <w:tr w:rsidR="00AB4E57" w:rsidRPr="0050551E" w14:paraId="53470DAB" w14:textId="77777777" w:rsidTr="00611803">
        <w:trPr>
          <w:trHeight w:val="686"/>
        </w:trPr>
        <w:tc>
          <w:tcPr>
            <w:tcW w:w="1829" w:type="dxa"/>
            <w:tcBorders>
              <w:top w:val="nil"/>
              <w:left w:val="single" w:sz="4" w:space="0" w:color="auto"/>
              <w:bottom w:val="single" w:sz="4" w:space="0" w:color="auto"/>
              <w:right w:val="single" w:sz="4" w:space="0" w:color="auto"/>
            </w:tcBorders>
            <w:shd w:val="clear" w:color="auto" w:fill="auto"/>
            <w:noWrap/>
            <w:vAlign w:val="center"/>
            <w:hideMark/>
          </w:tcPr>
          <w:p w14:paraId="6A309F74"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-1.95 (-6.41, 2.37)</w:t>
            </w:r>
          </w:p>
        </w:tc>
        <w:tc>
          <w:tcPr>
            <w:tcW w:w="1687" w:type="dxa"/>
            <w:tcBorders>
              <w:top w:val="single" w:sz="4" w:space="0" w:color="auto"/>
              <w:left w:val="nil"/>
              <w:bottom w:val="single" w:sz="4" w:space="0" w:color="auto"/>
              <w:right w:val="single" w:sz="4" w:space="0" w:color="auto"/>
            </w:tcBorders>
            <w:shd w:val="clear" w:color="000000" w:fill="F8CBAD"/>
            <w:noWrap/>
            <w:vAlign w:val="center"/>
            <w:hideMark/>
          </w:tcPr>
          <w:p w14:paraId="66621F1F" w14:textId="07EE28AB" w:rsidR="00AB4E57" w:rsidRPr="0031702A" w:rsidRDefault="00AE38D5"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BTA</w:t>
            </w:r>
          </w:p>
        </w:tc>
        <w:tc>
          <w:tcPr>
            <w:tcW w:w="1667" w:type="dxa"/>
            <w:tcBorders>
              <w:top w:val="nil"/>
              <w:left w:val="nil"/>
              <w:bottom w:val="nil"/>
              <w:right w:val="nil"/>
            </w:tcBorders>
            <w:shd w:val="clear" w:color="auto" w:fill="auto"/>
            <w:noWrap/>
            <w:vAlign w:val="center"/>
            <w:hideMark/>
          </w:tcPr>
          <w:p w14:paraId="5D50DD60" w14:textId="77777777" w:rsidR="00AB4E57" w:rsidRPr="0031702A" w:rsidRDefault="00AB4E57" w:rsidP="00611803">
            <w:pPr>
              <w:spacing w:line="240" w:lineRule="auto"/>
              <w:jc w:val="center"/>
              <w:rPr>
                <w:rFonts w:eastAsia="Times New Roman" w:cs="Calibri"/>
                <w:color w:val="000000"/>
                <w:sz w:val="20"/>
                <w:szCs w:val="20"/>
                <w:lang w:eastAsia="en-GB"/>
              </w:rPr>
            </w:pPr>
          </w:p>
        </w:tc>
        <w:tc>
          <w:tcPr>
            <w:tcW w:w="1706" w:type="dxa"/>
            <w:tcBorders>
              <w:top w:val="nil"/>
              <w:left w:val="nil"/>
              <w:bottom w:val="nil"/>
              <w:right w:val="nil"/>
            </w:tcBorders>
            <w:shd w:val="clear" w:color="auto" w:fill="auto"/>
            <w:noWrap/>
            <w:vAlign w:val="center"/>
            <w:hideMark/>
          </w:tcPr>
          <w:p w14:paraId="0249820C"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767" w:type="dxa"/>
            <w:tcBorders>
              <w:top w:val="nil"/>
              <w:left w:val="nil"/>
              <w:bottom w:val="nil"/>
              <w:right w:val="nil"/>
            </w:tcBorders>
            <w:shd w:val="clear" w:color="auto" w:fill="auto"/>
            <w:noWrap/>
            <w:vAlign w:val="center"/>
            <w:hideMark/>
          </w:tcPr>
          <w:p w14:paraId="590EB57D"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727" w:type="dxa"/>
            <w:tcBorders>
              <w:top w:val="nil"/>
              <w:left w:val="nil"/>
              <w:bottom w:val="nil"/>
              <w:right w:val="nil"/>
            </w:tcBorders>
            <w:shd w:val="clear" w:color="auto" w:fill="auto"/>
            <w:noWrap/>
            <w:vAlign w:val="center"/>
            <w:hideMark/>
          </w:tcPr>
          <w:p w14:paraId="24555FEB"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747" w:type="dxa"/>
            <w:tcBorders>
              <w:top w:val="nil"/>
              <w:left w:val="nil"/>
              <w:bottom w:val="nil"/>
              <w:right w:val="nil"/>
            </w:tcBorders>
            <w:shd w:val="clear" w:color="auto" w:fill="auto"/>
            <w:noWrap/>
            <w:vAlign w:val="center"/>
            <w:hideMark/>
          </w:tcPr>
          <w:p w14:paraId="7A4D8D3D"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625" w:type="dxa"/>
            <w:tcBorders>
              <w:top w:val="nil"/>
              <w:left w:val="nil"/>
              <w:bottom w:val="nil"/>
              <w:right w:val="nil"/>
            </w:tcBorders>
            <w:shd w:val="clear" w:color="auto" w:fill="auto"/>
            <w:noWrap/>
            <w:vAlign w:val="center"/>
            <w:hideMark/>
          </w:tcPr>
          <w:p w14:paraId="0C305952"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320" w:type="dxa"/>
            <w:tcBorders>
              <w:top w:val="nil"/>
              <w:left w:val="nil"/>
              <w:bottom w:val="nil"/>
              <w:right w:val="nil"/>
            </w:tcBorders>
            <w:shd w:val="clear" w:color="auto" w:fill="auto"/>
            <w:noWrap/>
            <w:vAlign w:val="center"/>
            <w:hideMark/>
          </w:tcPr>
          <w:p w14:paraId="35DF5184"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r>
      <w:tr w:rsidR="00AB4E57" w:rsidRPr="0050551E" w14:paraId="17F1766A" w14:textId="77777777" w:rsidTr="00611803">
        <w:trPr>
          <w:trHeight w:val="686"/>
        </w:trPr>
        <w:tc>
          <w:tcPr>
            <w:tcW w:w="1829" w:type="dxa"/>
            <w:tcBorders>
              <w:top w:val="nil"/>
              <w:left w:val="single" w:sz="4" w:space="0" w:color="auto"/>
              <w:bottom w:val="single" w:sz="4" w:space="0" w:color="auto"/>
              <w:right w:val="single" w:sz="4" w:space="0" w:color="auto"/>
            </w:tcBorders>
            <w:shd w:val="clear" w:color="auto" w:fill="auto"/>
            <w:noWrap/>
            <w:vAlign w:val="center"/>
            <w:hideMark/>
          </w:tcPr>
          <w:p w14:paraId="67E4355B"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-1.89 (-5.15, 1.44)</w:t>
            </w:r>
          </w:p>
        </w:tc>
        <w:tc>
          <w:tcPr>
            <w:tcW w:w="1687" w:type="dxa"/>
            <w:tcBorders>
              <w:top w:val="nil"/>
              <w:left w:val="nil"/>
              <w:bottom w:val="single" w:sz="4" w:space="0" w:color="auto"/>
              <w:right w:val="single" w:sz="4" w:space="0" w:color="auto"/>
            </w:tcBorders>
            <w:shd w:val="clear" w:color="auto" w:fill="auto"/>
            <w:noWrap/>
            <w:vAlign w:val="center"/>
            <w:hideMark/>
          </w:tcPr>
          <w:p w14:paraId="38DFD4E7"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-0.07 (-4.56, 4.41)</w:t>
            </w:r>
          </w:p>
        </w:tc>
        <w:tc>
          <w:tcPr>
            <w:tcW w:w="1667" w:type="dxa"/>
            <w:tcBorders>
              <w:top w:val="single" w:sz="4" w:space="0" w:color="auto"/>
              <w:left w:val="nil"/>
              <w:bottom w:val="single" w:sz="4" w:space="0" w:color="auto"/>
              <w:right w:val="single" w:sz="4" w:space="0" w:color="auto"/>
            </w:tcBorders>
            <w:shd w:val="clear" w:color="000000" w:fill="F8CBAD"/>
            <w:noWrap/>
            <w:vAlign w:val="center"/>
            <w:hideMark/>
          </w:tcPr>
          <w:p w14:paraId="7DF76A85" w14:textId="21D21723"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Galcanezumab 240</w:t>
            </w:r>
            <w:r w:rsidR="00070E7D">
              <w:rPr>
                <w:rFonts w:eastAsia="Times New Roman" w:cs="Calibri"/>
                <w:color w:val="000000"/>
                <w:sz w:val="20"/>
                <w:szCs w:val="20"/>
                <w:lang w:eastAsia="en-GB"/>
              </w:rPr>
              <w:t>mg</w:t>
            </w:r>
          </w:p>
        </w:tc>
        <w:tc>
          <w:tcPr>
            <w:tcW w:w="1706" w:type="dxa"/>
            <w:tcBorders>
              <w:top w:val="nil"/>
              <w:left w:val="nil"/>
              <w:bottom w:val="nil"/>
              <w:right w:val="nil"/>
            </w:tcBorders>
            <w:shd w:val="clear" w:color="auto" w:fill="auto"/>
            <w:noWrap/>
            <w:vAlign w:val="center"/>
            <w:hideMark/>
          </w:tcPr>
          <w:p w14:paraId="17BE70E5" w14:textId="77777777" w:rsidR="00AB4E57" w:rsidRPr="0031702A" w:rsidRDefault="00AB4E57" w:rsidP="00611803">
            <w:pPr>
              <w:spacing w:line="240" w:lineRule="auto"/>
              <w:jc w:val="center"/>
              <w:rPr>
                <w:rFonts w:eastAsia="Times New Roman" w:cs="Calibri"/>
                <w:color w:val="000000"/>
                <w:sz w:val="20"/>
                <w:szCs w:val="20"/>
                <w:lang w:eastAsia="en-GB"/>
              </w:rPr>
            </w:pPr>
          </w:p>
        </w:tc>
        <w:tc>
          <w:tcPr>
            <w:tcW w:w="1767" w:type="dxa"/>
            <w:tcBorders>
              <w:top w:val="nil"/>
              <w:left w:val="nil"/>
              <w:bottom w:val="nil"/>
              <w:right w:val="nil"/>
            </w:tcBorders>
            <w:shd w:val="clear" w:color="auto" w:fill="auto"/>
            <w:noWrap/>
            <w:vAlign w:val="center"/>
            <w:hideMark/>
          </w:tcPr>
          <w:p w14:paraId="7FFDCF57"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727" w:type="dxa"/>
            <w:tcBorders>
              <w:top w:val="nil"/>
              <w:left w:val="nil"/>
              <w:bottom w:val="nil"/>
              <w:right w:val="nil"/>
            </w:tcBorders>
            <w:shd w:val="clear" w:color="auto" w:fill="auto"/>
            <w:noWrap/>
            <w:vAlign w:val="center"/>
            <w:hideMark/>
          </w:tcPr>
          <w:p w14:paraId="470827C1"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747" w:type="dxa"/>
            <w:tcBorders>
              <w:top w:val="nil"/>
              <w:left w:val="nil"/>
              <w:bottom w:val="nil"/>
              <w:right w:val="nil"/>
            </w:tcBorders>
            <w:shd w:val="clear" w:color="auto" w:fill="auto"/>
            <w:noWrap/>
            <w:vAlign w:val="center"/>
            <w:hideMark/>
          </w:tcPr>
          <w:p w14:paraId="1EE9E75D"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625" w:type="dxa"/>
            <w:tcBorders>
              <w:top w:val="nil"/>
              <w:left w:val="nil"/>
              <w:bottom w:val="nil"/>
              <w:right w:val="nil"/>
            </w:tcBorders>
            <w:shd w:val="clear" w:color="auto" w:fill="auto"/>
            <w:noWrap/>
            <w:vAlign w:val="center"/>
            <w:hideMark/>
          </w:tcPr>
          <w:p w14:paraId="0E5DA2DF"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320" w:type="dxa"/>
            <w:tcBorders>
              <w:top w:val="nil"/>
              <w:left w:val="nil"/>
              <w:bottom w:val="nil"/>
              <w:right w:val="nil"/>
            </w:tcBorders>
            <w:shd w:val="clear" w:color="auto" w:fill="auto"/>
            <w:noWrap/>
            <w:vAlign w:val="center"/>
            <w:hideMark/>
          </w:tcPr>
          <w:p w14:paraId="393DEE73"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r>
      <w:tr w:rsidR="00AB4E57" w:rsidRPr="0050551E" w14:paraId="784923E6" w14:textId="77777777" w:rsidTr="00611803">
        <w:trPr>
          <w:trHeight w:val="686"/>
        </w:trPr>
        <w:tc>
          <w:tcPr>
            <w:tcW w:w="1829" w:type="dxa"/>
            <w:tcBorders>
              <w:top w:val="nil"/>
              <w:left w:val="single" w:sz="4" w:space="0" w:color="auto"/>
              <w:bottom w:val="single" w:sz="4" w:space="0" w:color="auto"/>
              <w:right w:val="single" w:sz="4" w:space="0" w:color="auto"/>
            </w:tcBorders>
            <w:shd w:val="clear" w:color="auto" w:fill="auto"/>
            <w:noWrap/>
            <w:vAlign w:val="center"/>
            <w:hideMark/>
          </w:tcPr>
          <w:p w14:paraId="255882AC"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-2.04 (-6.59, 2.51)</w:t>
            </w:r>
          </w:p>
        </w:tc>
        <w:tc>
          <w:tcPr>
            <w:tcW w:w="1687" w:type="dxa"/>
            <w:tcBorders>
              <w:top w:val="nil"/>
              <w:left w:val="nil"/>
              <w:bottom w:val="single" w:sz="4" w:space="0" w:color="auto"/>
              <w:right w:val="single" w:sz="4" w:space="0" w:color="auto"/>
            </w:tcBorders>
            <w:shd w:val="clear" w:color="auto" w:fill="auto"/>
            <w:noWrap/>
            <w:vAlign w:val="center"/>
            <w:hideMark/>
          </w:tcPr>
          <w:p w14:paraId="4F99C2DF" w14:textId="77777777" w:rsidR="00AB4E57" w:rsidRPr="0031702A" w:rsidRDefault="00AB4E57" w:rsidP="00611803">
            <w:pPr>
              <w:spacing w:line="240" w:lineRule="auto"/>
              <w:jc w:val="center"/>
              <w:rPr>
                <w:rFonts w:eastAsia="Times New Roman" w:cs="Calibri"/>
                <w:sz w:val="20"/>
                <w:szCs w:val="20"/>
                <w:lang w:eastAsia="en-GB"/>
              </w:rPr>
            </w:pPr>
            <w:r w:rsidRPr="0031702A">
              <w:rPr>
                <w:rFonts w:eastAsia="Times New Roman" w:cs="Calibri"/>
                <w:sz w:val="20"/>
                <w:szCs w:val="20"/>
                <w:lang w:eastAsia="en-GB"/>
              </w:rPr>
              <w:t>0.09 (-4.32, 4.60)</w:t>
            </w:r>
          </w:p>
        </w:tc>
        <w:tc>
          <w:tcPr>
            <w:tcW w:w="1667" w:type="dxa"/>
            <w:tcBorders>
              <w:top w:val="nil"/>
              <w:left w:val="nil"/>
              <w:bottom w:val="single" w:sz="4" w:space="0" w:color="auto"/>
              <w:right w:val="single" w:sz="4" w:space="0" w:color="auto"/>
            </w:tcBorders>
            <w:shd w:val="clear" w:color="auto" w:fill="auto"/>
            <w:noWrap/>
            <w:vAlign w:val="center"/>
            <w:hideMark/>
          </w:tcPr>
          <w:p w14:paraId="58D5BC4D"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-0.15 (-4.26, 4.30)</w:t>
            </w:r>
          </w:p>
        </w:tc>
        <w:tc>
          <w:tcPr>
            <w:tcW w:w="1706" w:type="dxa"/>
            <w:tcBorders>
              <w:top w:val="single" w:sz="4" w:space="0" w:color="auto"/>
              <w:left w:val="nil"/>
              <w:bottom w:val="single" w:sz="4" w:space="0" w:color="auto"/>
              <w:right w:val="single" w:sz="4" w:space="0" w:color="auto"/>
            </w:tcBorders>
            <w:shd w:val="clear" w:color="000000" w:fill="F8CBAD"/>
            <w:noWrap/>
            <w:vAlign w:val="center"/>
            <w:hideMark/>
          </w:tcPr>
          <w:p w14:paraId="1AA5C744" w14:textId="13CE59B5" w:rsidR="00AB4E57" w:rsidRPr="0031702A" w:rsidRDefault="00AB4E57" w:rsidP="00611803">
            <w:pPr>
              <w:spacing w:line="240" w:lineRule="auto"/>
              <w:jc w:val="center"/>
              <w:rPr>
                <w:rFonts w:eastAsia="Times New Roman" w:cs="Calibri"/>
                <w:color w:val="000000"/>
                <w:sz w:val="20"/>
                <w:szCs w:val="20"/>
                <w:lang w:eastAsia="en-GB"/>
              </w:rPr>
            </w:pPr>
            <w:proofErr w:type="spellStart"/>
            <w:r w:rsidRPr="0031702A">
              <w:rPr>
                <w:rFonts w:eastAsia="Times New Roman" w:cs="Calibri"/>
                <w:color w:val="000000"/>
                <w:sz w:val="20"/>
                <w:szCs w:val="20"/>
                <w:lang w:eastAsia="en-GB"/>
              </w:rPr>
              <w:t>Erenumab</w:t>
            </w:r>
            <w:proofErr w:type="spellEnd"/>
            <w:r w:rsidRPr="0031702A">
              <w:rPr>
                <w:rFonts w:eastAsia="Times New Roman" w:cs="Calibri"/>
                <w:color w:val="000000"/>
                <w:sz w:val="20"/>
                <w:szCs w:val="20"/>
                <w:lang w:eastAsia="en-GB"/>
              </w:rPr>
              <w:t xml:space="preserve"> 140mg</w:t>
            </w:r>
          </w:p>
        </w:tc>
        <w:tc>
          <w:tcPr>
            <w:tcW w:w="1767" w:type="dxa"/>
            <w:tcBorders>
              <w:top w:val="nil"/>
              <w:left w:val="nil"/>
              <w:bottom w:val="nil"/>
              <w:right w:val="nil"/>
            </w:tcBorders>
            <w:shd w:val="clear" w:color="auto" w:fill="auto"/>
            <w:noWrap/>
            <w:vAlign w:val="center"/>
            <w:hideMark/>
          </w:tcPr>
          <w:p w14:paraId="64DA47C1" w14:textId="77777777" w:rsidR="00AB4E57" w:rsidRPr="0031702A" w:rsidRDefault="00AB4E57" w:rsidP="00611803">
            <w:pPr>
              <w:spacing w:line="240" w:lineRule="auto"/>
              <w:jc w:val="center"/>
              <w:rPr>
                <w:rFonts w:eastAsia="Times New Roman" w:cs="Calibri"/>
                <w:color w:val="000000"/>
                <w:sz w:val="20"/>
                <w:szCs w:val="20"/>
                <w:lang w:eastAsia="en-GB"/>
              </w:rPr>
            </w:pPr>
          </w:p>
        </w:tc>
        <w:tc>
          <w:tcPr>
            <w:tcW w:w="1727" w:type="dxa"/>
            <w:tcBorders>
              <w:top w:val="nil"/>
              <w:left w:val="nil"/>
              <w:bottom w:val="nil"/>
              <w:right w:val="nil"/>
            </w:tcBorders>
            <w:shd w:val="clear" w:color="auto" w:fill="auto"/>
            <w:noWrap/>
            <w:vAlign w:val="center"/>
            <w:hideMark/>
          </w:tcPr>
          <w:p w14:paraId="24FF9EF7"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747" w:type="dxa"/>
            <w:tcBorders>
              <w:top w:val="nil"/>
              <w:left w:val="nil"/>
              <w:bottom w:val="nil"/>
              <w:right w:val="nil"/>
            </w:tcBorders>
            <w:shd w:val="clear" w:color="auto" w:fill="auto"/>
            <w:noWrap/>
            <w:vAlign w:val="center"/>
            <w:hideMark/>
          </w:tcPr>
          <w:p w14:paraId="7D823A20"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625" w:type="dxa"/>
            <w:tcBorders>
              <w:top w:val="nil"/>
              <w:left w:val="nil"/>
              <w:bottom w:val="nil"/>
              <w:right w:val="nil"/>
            </w:tcBorders>
            <w:shd w:val="clear" w:color="auto" w:fill="auto"/>
            <w:noWrap/>
            <w:vAlign w:val="center"/>
            <w:hideMark/>
          </w:tcPr>
          <w:p w14:paraId="07FCDA02"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320" w:type="dxa"/>
            <w:tcBorders>
              <w:top w:val="nil"/>
              <w:left w:val="nil"/>
              <w:bottom w:val="nil"/>
              <w:right w:val="nil"/>
            </w:tcBorders>
            <w:shd w:val="clear" w:color="auto" w:fill="auto"/>
            <w:noWrap/>
            <w:vAlign w:val="center"/>
            <w:hideMark/>
          </w:tcPr>
          <w:p w14:paraId="0A444649"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r>
      <w:tr w:rsidR="00AB4E57" w:rsidRPr="0050551E" w14:paraId="13F8CC8B" w14:textId="77777777" w:rsidTr="00611803">
        <w:trPr>
          <w:trHeight w:val="686"/>
        </w:trPr>
        <w:tc>
          <w:tcPr>
            <w:tcW w:w="1829" w:type="dxa"/>
            <w:tcBorders>
              <w:top w:val="nil"/>
              <w:left w:val="single" w:sz="4" w:space="0" w:color="auto"/>
              <w:bottom w:val="single" w:sz="4" w:space="0" w:color="auto"/>
              <w:right w:val="single" w:sz="4" w:space="0" w:color="auto"/>
            </w:tcBorders>
            <w:shd w:val="clear" w:color="auto" w:fill="auto"/>
            <w:noWrap/>
            <w:vAlign w:val="center"/>
            <w:hideMark/>
          </w:tcPr>
          <w:p w14:paraId="28F33667"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2.68 (-1.42, 6.73)</w:t>
            </w:r>
          </w:p>
        </w:tc>
        <w:tc>
          <w:tcPr>
            <w:tcW w:w="1687" w:type="dxa"/>
            <w:tcBorders>
              <w:top w:val="nil"/>
              <w:left w:val="nil"/>
              <w:bottom w:val="single" w:sz="4" w:space="0" w:color="auto"/>
              <w:right w:val="single" w:sz="4" w:space="0" w:color="auto"/>
            </w:tcBorders>
            <w:shd w:val="clear" w:color="auto" w:fill="auto"/>
            <w:noWrap/>
            <w:vAlign w:val="center"/>
            <w:hideMark/>
          </w:tcPr>
          <w:p w14:paraId="157ACD09"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0.73 (-3.30, 4.55)</w:t>
            </w:r>
          </w:p>
        </w:tc>
        <w:tc>
          <w:tcPr>
            <w:tcW w:w="1667" w:type="dxa"/>
            <w:tcBorders>
              <w:top w:val="nil"/>
              <w:left w:val="nil"/>
              <w:bottom w:val="single" w:sz="4" w:space="0" w:color="auto"/>
              <w:right w:val="single" w:sz="4" w:space="0" w:color="auto"/>
            </w:tcBorders>
            <w:shd w:val="clear" w:color="auto" w:fill="auto"/>
            <w:noWrap/>
            <w:vAlign w:val="center"/>
            <w:hideMark/>
          </w:tcPr>
          <w:p w14:paraId="23188DEA"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0.79 (-3.28, 4.87)</w:t>
            </w:r>
          </w:p>
        </w:tc>
        <w:tc>
          <w:tcPr>
            <w:tcW w:w="1706" w:type="dxa"/>
            <w:tcBorders>
              <w:top w:val="nil"/>
              <w:left w:val="nil"/>
              <w:bottom w:val="single" w:sz="4" w:space="0" w:color="auto"/>
              <w:right w:val="single" w:sz="4" w:space="0" w:color="auto"/>
            </w:tcBorders>
            <w:shd w:val="clear" w:color="auto" w:fill="auto"/>
            <w:noWrap/>
            <w:vAlign w:val="center"/>
            <w:hideMark/>
          </w:tcPr>
          <w:p w14:paraId="000913F7"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0.64 (-3.44, 4.63)</w:t>
            </w:r>
          </w:p>
        </w:tc>
        <w:tc>
          <w:tcPr>
            <w:tcW w:w="1767" w:type="dxa"/>
            <w:tcBorders>
              <w:top w:val="single" w:sz="4" w:space="0" w:color="auto"/>
              <w:left w:val="nil"/>
              <w:bottom w:val="single" w:sz="4" w:space="0" w:color="auto"/>
              <w:right w:val="single" w:sz="4" w:space="0" w:color="auto"/>
            </w:tcBorders>
            <w:shd w:val="clear" w:color="000000" w:fill="F8CBAD"/>
            <w:noWrap/>
            <w:vAlign w:val="center"/>
            <w:hideMark/>
          </w:tcPr>
          <w:p w14:paraId="774FA8EB"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Fremanezumab-Q</w:t>
            </w:r>
          </w:p>
        </w:tc>
        <w:tc>
          <w:tcPr>
            <w:tcW w:w="1727" w:type="dxa"/>
            <w:tcBorders>
              <w:top w:val="nil"/>
              <w:left w:val="nil"/>
              <w:bottom w:val="nil"/>
              <w:right w:val="nil"/>
            </w:tcBorders>
            <w:shd w:val="clear" w:color="auto" w:fill="auto"/>
            <w:noWrap/>
            <w:vAlign w:val="center"/>
            <w:hideMark/>
          </w:tcPr>
          <w:p w14:paraId="4610366F" w14:textId="77777777" w:rsidR="00AB4E57" w:rsidRPr="0031702A" w:rsidRDefault="00AB4E57" w:rsidP="00611803">
            <w:pPr>
              <w:spacing w:line="240" w:lineRule="auto"/>
              <w:jc w:val="center"/>
              <w:rPr>
                <w:rFonts w:eastAsia="Times New Roman" w:cs="Calibri"/>
                <w:color w:val="000000"/>
                <w:sz w:val="20"/>
                <w:szCs w:val="20"/>
                <w:lang w:eastAsia="en-GB"/>
              </w:rPr>
            </w:pPr>
          </w:p>
        </w:tc>
        <w:tc>
          <w:tcPr>
            <w:tcW w:w="1747" w:type="dxa"/>
            <w:tcBorders>
              <w:top w:val="nil"/>
              <w:left w:val="nil"/>
              <w:bottom w:val="nil"/>
              <w:right w:val="nil"/>
            </w:tcBorders>
            <w:shd w:val="clear" w:color="auto" w:fill="auto"/>
            <w:noWrap/>
            <w:vAlign w:val="center"/>
            <w:hideMark/>
          </w:tcPr>
          <w:p w14:paraId="77051990"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625" w:type="dxa"/>
            <w:tcBorders>
              <w:top w:val="nil"/>
              <w:left w:val="nil"/>
              <w:bottom w:val="nil"/>
              <w:right w:val="nil"/>
            </w:tcBorders>
            <w:shd w:val="clear" w:color="auto" w:fill="auto"/>
            <w:noWrap/>
            <w:vAlign w:val="center"/>
            <w:hideMark/>
          </w:tcPr>
          <w:p w14:paraId="19B28FF8"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320" w:type="dxa"/>
            <w:tcBorders>
              <w:top w:val="nil"/>
              <w:left w:val="nil"/>
              <w:bottom w:val="nil"/>
              <w:right w:val="nil"/>
            </w:tcBorders>
            <w:shd w:val="clear" w:color="auto" w:fill="auto"/>
            <w:noWrap/>
            <w:vAlign w:val="center"/>
            <w:hideMark/>
          </w:tcPr>
          <w:p w14:paraId="7249CADF"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r>
      <w:tr w:rsidR="00AB4E57" w:rsidRPr="0050551E" w14:paraId="1BAE5F92" w14:textId="77777777" w:rsidTr="00611803">
        <w:trPr>
          <w:trHeight w:val="686"/>
        </w:trPr>
        <w:tc>
          <w:tcPr>
            <w:tcW w:w="1829" w:type="dxa"/>
            <w:tcBorders>
              <w:top w:val="nil"/>
              <w:left w:val="single" w:sz="4" w:space="0" w:color="auto"/>
              <w:bottom w:val="single" w:sz="4" w:space="0" w:color="auto"/>
              <w:right w:val="single" w:sz="4" w:space="0" w:color="auto"/>
            </w:tcBorders>
            <w:shd w:val="clear" w:color="auto" w:fill="auto"/>
            <w:noWrap/>
            <w:vAlign w:val="center"/>
            <w:hideMark/>
          </w:tcPr>
          <w:p w14:paraId="4ACBA9F7"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-2.88 (-7.34, 1.49)</w:t>
            </w:r>
          </w:p>
        </w:tc>
        <w:tc>
          <w:tcPr>
            <w:tcW w:w="1687" w:type="dxa"/>
            <w:tcBorders>
              <w:top w:val="nil"/>
              <w:left w:val="nil"/>
              <w:bottom w:val="single" w:sz="4" w:space="0" w:color="auto"/>
              <w:right w:val="single" w:sz="4" w:space="0" w:color="auto"/>
            </w:tcBorders>
            <w:shd w:val="clear" w:color="auto" w:fill="auto"/>
            <w:noWrap/>
            <w:vAlign w:val="center"/>
            <w:hideMark/>
          </w:tcPr>
          <w:p w14:paraId="02444EC9" w14:textId="77777777" w:rsidR="00AB4E57" w:rsidRPr="0031702A" w:rsidRDefault="00AB4E57" w:rsidP="00611803">
            <w:pPr>
              <w:spacing w:line="240" w:lineRule="auto"/>
              <w:jc w:val="center"/>
              <w:rPr>
                <w:rFonts w:eastAsia="Times New Roman" w:cs="Calibri"/>
                <w:sz w:val="20"/>
                <w:szCs w:val="20"/>
                <w:lang w:eastAsia="en-GB"/>
              </w:rPr>
            </w:pPr>
            <w:r w:rsidRPr="0031702A">
              <w:rPr>
                <w:rFonts w:eastAsia="Times New Roman" w:cs="Calibri"/>
                <w:sz w:val="20"/>
                <w:szCs w:val="20"/>
                <w:lang w:eastAsia="en-GB"/>
              </w:rPr>
              <w:t>0.93 (-3.51, 5.37)</w:t>
            </w:r>
          </w:p>
        </w:tc>
        <w:tc>
          <w:tcPr>
            <w:tcW w:w="1667" w:type="dxa"/>
            <w:tcBorders>
              <w:top w:val="nil"/>
              <w:left w:val="nil"/>
              <w:bottom w:val="single" w:sz="4" w:space="0" w:color="auto"/>
              <w:right w:val="single" w:sz="4" w:space="0" w:color="auto"/>
            </w:tcBorders>
            <w:shd w:val="clear" w:color="auto" w:fill="auto"/>
            <w:noWrap/>
            <w:vAlign w:val="center"/>
            <w:hideMark/>
          </w:tcPr>
          <w:p w14:paraId="118F37A2"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-0.99 (-5.57, 3.64)</w:t>
            </w:r>
          </w:p>
        </w:tc>
        <w:tc>
          <w:tcPr>
            <w:tcW w:w="1706" w:type="dxa"/>
            <w:tcBorders>
              <w:top w:val="nil"/>
              <w:left w:val="nil"/>
              <w:bottom w:val="single" w:sz="4" w:space="0" w:color="auto"/>
              <w:right w:val="single" w:sz="4" w:space="0" w:color="auto"/>
            </w:tcBorders>
            <w:shd w:val="clear" w:color="auto" w:fill="auto"/>
            <w:noWrap/>
            <w:vAlign w:val="center"/>
            <w:hideMark/>
          </w:tcPr>
          <w:p w14:paraId="3E5607B0"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0.84 (-2.69, 4.29)</w:t>
            </w:r>
          </w:p>
        </w:tc>
        <w:tc>
          <w:tcPr>
            <w:tcW w:w="1767" w:type="dxa"/>
            <w:tcBorders>
              <w:top w:val="nil"/>
              <w:left w:val="nil"/>
              <w:bottom w:val="single" w:sz="4" w:space="0" w:color="auto"/>
              <w:right w:val="single" w:sz="4" w:space="0" w:color="auto"/>
            </w:tcBorders>
            <w:shd w:val="clear" w:color="auto" w:fill="auto"/>
            <w:noWrap/>
            <w:vAlign w:val="center"/>
            <w:hideMark/>
          </w:tcPr>
          <w:p w14:paraId="0571C082"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-0.20 (-4.47, 3.81)</w:t>
            </w:r>
          </w:p>
        </w:tc>
        <w:tc>
          <w:tcPr>
            <w:tcW w:w="1727" w:type="dxa"/>
            <w:tcBorders>
              <w:top w:val="single" w:sz="4" w:space="0" w:color="auto"/>
              <w:left w:val="nil"/>
              <w:bottom w:val="single" w:sz="4" w:space="0" w:color="auto"/>
              <w:right w:val="single" w:sz="4" w:space="0" w:color="auto"/>
            </w:tcBorders>
            <w:shd w:val="clear" w:color="000000" w:fill="F8CBAD"/>
            <w:noWrap/>
            <w:vAlign w:val="center"/>
            <w:hideMark/>
          </w:tcPr>
          <w:p w14:paraId="77F2FF55" w14:textId="6E542CDF"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Erenumab 70mg</w:t>
            </w:r>
          </w:p>
        </w:tc>
        <w:tc>
          <w:tcPr>
            <w:tcW w:w="1747" w:type="dxa"/>
            <w:tcBorders>
              <w:top w:val="nil"/>
              <w:left w:val="nil"/>
              <w:bottom w:val="nil"/>
              <w:right w:val="nil"/>
            </w:tcBorders>
            <w:shd w:val="clear" w:color="auto" w:fill="auto"/>
            <w:noWrap/>
            <w:vAlign w:val="center"/>
            <w:hideMark/>
          </w:tcPr>
          <w:p w14:paraId="403A645A" w14:textId="77777777" w:rsidR="00AB4E57" w:rsidRPr="0031702A" w:rsidRDefault="00AB4E57" w:rsidP="00611803">
            <w:pPr>
              <w:spacing w:line="240" w:lineRule="auto"/>
              <w:jc w:val="center"/>
              <w:rPr>
                <w:rFonts w:eastAsia="Times New Roman" w:cs="Calibri"/>
                <w:color w:val="000000"/>
                <w:sz w:val="20"/>
                <w:szCs w:val="20"/>
                <w:lang w:eastAsia="en-GB"/>
              </w:rPr>
            </w:pPr>
          </w:p>
        </w:tc>
        <w:tc>
          <w:tcPr>
            <w:tcW w:w="1625" w:type="dxa"/>
            <w:tcBorders>
              <w:top w:val="nil"/>
              <w:left w:val="nil"/>
              <w:bottom w:val="nil"/>
              <w:right w:val="nil"/>
            </w:tcBorders>
            <w:shd w:val="clear" w:color="auto" w:fill="auto"/>
            <w:noWrap/>
            <w:vAlign w:val="center"/>
            <w:hideMark/>
          </w:tcPr>
          <w:p w14:paraId="1B28AFEF"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c>
          <w:tcPr>
            <w:tcW w:w="1320" w:type="dxa"/>
            <w:tcBorders>
              <w:top w:val="nil"/>
              <w:left w:val="nil"/>
              <w:bottom w:val="nil"/>
              <w:right w:val="nil"/>
            </w:tcBorders>
            <w:shd w:val="clear" w:color="auto" w:fill="auto"/>
            <w:noWrap/>
            <w:vAlign w:val="center"/>
            <w:hideMark/>
          </w:tcPr>
          <w:p w14:paraId="02F21222"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r>
      <w:tr w:rsidR="00AB4E57" w:rsidRPr="0050551E" w14:paraId="1E135BF4" w14:textId="77777777" w:rsidTr="00611803">
        <w:trPr>
          <w:trHeight w:val="756"/>
        </w:trPr>
        <w:tc>
          <w:tcPr>
            <w:tcW w:w="1829" w:type="dxa"/>
            <w:tcBorders>
              <w:top w:val="nil"/>
              <w:left w:val="single" w:sz="4" w:space="0" w:color="auto"/>
              <w:bottom w:val="single" w:sz="4" w:space="0" w:color="auto"/>
              <w:right w:val="single" w:sz="4" w:space="0" w:color="auto"/>
            </w:tcBorders>
            <w:shd w:val="clear" w:color="auto" w:fill="auto"/>
            <w:noWrap/>
            <w:vAlign w:val="center"/>
            <w:hideMark/>
          </w:tcPr>
          <w:p w14:paraId="0B9526E2"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-3.19 (-10.04, 3.51)</w:t>
            </w:r>
          </w:p>
        </w:tc>
        <w:tc>
          <w:tcPr>
            <w:tcW w:w="1687" w:type="dxa"/>
            <w:tcBorders>
              <w:top w:val="nil"/>
              <w:left w:val="nil"/>
              <w:bottom w:val="single" w:sz="4" w:space="0" w:color="auto"/>
              <w:right w:val="single" w:sz="4" w:space="0" w:color="auto"/>
            </w:tcBorders>
            <w:shd w:val="clear" w:color="auto" w:fill="auto"/>
            <w:noWrap/>
            <w:vAlign w:val="center"/>
            <w:hideMark/>
          </w:tcPr>
          <w:p w14:paraId="7401511D" w14:textId="77777777" w:rsidR="00AB4E57" w:rsidRPr="0031702A" w:rsidRDefault="00AB4E57" w:rsidP="00611803">
            <w:pPr>
              <w:spacing w:line="240" w:lineRule="auto"/>
              <w:jc w:val="center"/>
              <w:rPr>
                <w:rFonts w:eastAsia="Times New Roman" w:cs="Calibri"/>
                <w:sz w:val="20"/>
                <w:szCs w:val="20"/>
                <w:lang w:eastAsia="en-GB"/>
              </w:rPr>
            </w:pPr>
            <w:r w:rsidRPr="0031702A">
              <w:rPr>
                <w:rFonts w:eastAsia="Times New Roman" w:cs="Calibri"/>
                <w:sz w:val="20"/>
                <w:szCs w:val="20"/>
                <w:lang w:eastAsia="en-GB"/>
              </w:rPr>
              <w:t>1.24 (-5.50, 8.32)</w:t>
            </w:r>
          </w:p>
        </w:tc>
        <w:tc>
          <w:tcPr>
            <w:tcW w:w="1667" w:type="dxa"/>
            <w:tcBorders>
              <w:top w:val="nil"/>
              <w:left w:val="nil"/>
              <w:bottom w:val="single" w:sz="4" w:space="0" w:color="auto"/>
              <w:right w:val="single" w:sz="4" w:space="0" w:color="auto"/>
            </w:tcBorders>
            <w:shd w:val="clear" w:color="auto" w:fill="auto"/>
            <w:noWrap/>
            <w:vAlign w:val="center"/>
            <w:hideMark/>
          </w:tcPr>
          <w:p w14:paraId="7191BB65"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-1.30 (-8.06, 5.64)</w:t>
            </w:r>
          </w:p>
        </w:tc>
        <w:tc>
          <w:tcPr>
            <w:tcW w:w="1706" w:type="dxa"/>
            <w:tcBorders>
              <w:top w:val="nil"/>
              <w:left w:val="nil"/>
              <w:bottom w:val="single" w:sz="4" w:space="0" w:color="auto"/>
              <w:right w:val="single" w:sz="4" w:space="0" w:color="auto"/>
            </w:tcBorders>
            <w:shd w:val="clear" w:color="auto" w:fill="auto"/>
            <w:noWrap/>
            <w:vAlign w:val="center"/>
            <w:hideMark/>
          </w:tcPr>
          <w:p w14:paraId="7ECF0740"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-1.15 (-8.18, 5.69)</w:t>
            </w:r>
          </w:p>
        </w:tc>
        <w:tc>
          <w:tcPr>
            <w:tcW w:w="1767" w:type="dxa"/>
            <w:tcBorders>
              <w:top w:val="nil"/>
              <w:left w:val="nil"/>
              <w:bottom w:val="single" w:sz="4" w:space="0" w:color="auto"/>
              <w:right w:val="single" w:sz="4" w:space="0" w:color="auto"/>
            </w:tcBorders>
            <w:shd w:val="clear" w:color="auto" w:fill="auto"/>
            <w:noWrap/>
            <w:vAlign w:val="center"/>
            <w:hideMark/>
          </w:tcPr>
          <w:p w14:paraId="6756224D"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-0.51 (-7.05, 6.02)</w:t>
            </w:r>
          </w:p>
        </w:tc>
        <w:tc>
          <w:tcPr>
            <w:tcW w:w="1727" w:type="dxa"/>
            <w:tcBorders>
              <w:top w:val="nil"/>
              <w:left w:val="nil"/>
              <w:bottom w:val="single" w:sz="4" w:space="0" w:color="auto"/>
              <w:right w:val="single" w:sz="4" w:space="0" w:color="auto"/>
            </w:tcBorders>
            <w:shd w:val="clear" w:color="auto" w:fill="auto"/>
            <w:noWrap/>
            <w:vAlign w:val="center"/>
            <w:hideMark/>
          </w:tcPr>
          <w:p w14:paraId="6E6ECE25"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-0.31 (-7.11, 6.38)</w:t>
            </w:r>
          </w:p>
        </w:tc>
        <w:tc>
          <w:tcPr>
            <w:tcW w:w="1747" w:type="dxa"/>
            <w:tcBorders>
              <w:top w:val="single" w:sz="4" w:space="0" w:color="auto"/>
              <w:left w:val="nil"/>
              <w:bottom w:val="single" w:sz="4" w:space="0" w:color="auto"/>
              <w:right w:val="single" w:sz="4" w:space="0" w:color="auto"/>
            </w:tcBorders>
            <w:shd w:val="clear" w:color="000000" w:fill="F8CBAD"/>
            <w:noWrap/>
            <w:vAlign w:val="center"/>
            <w:hideMark/>
          </w:tcPr>
          <w:p w14:paraId="2BE74A0B" w14:textId="77AE576B"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Topiramate</w:t>
            </w:r>
            <w:r w:rsidR="004C22A2">
              <w:rPr>
                <w:rFonts w:eastAsia="Times New Roman" w:cs="Calibri"/>
                <w:color w:val="000000"/>
                <w:sz w:val="20"/>
                <w:szCs w:val="20"/>
                <w:lang w:eastAsia="en-GB"/>
              </w:rPr>
              <w:t xml:space="preserve"> </w:t>
            </w:r>
            <w:r w:rsidRPr="0031702A">
              <w:rPr>
                <w:rFonts w:eastAsia="Times New Roman" w:cs="Calibri"/>
                <w:color w:val="000000"/>
                <w:sz w:val="20"/>
                <w:szCs w:val="20"/>
                <w:lang w:eastAsia="en-GB"/>
              </w:rPr>
              <w:t>100</w:t>
            </w:r>
            <w:r w:rsidR="00070E7D">
              <w:rPr>
                <w:rFonts w:eastAsia="Times New Roman" w:cs="Calibri"/>
                <w:color w:val="000000"/>
                <w:sz w:val="20"/>
                <w:szCs w:val="20"/>
                <w:lang w:eastAsia="en-GB"/>
              </w:rPr>
              <w:t>mg</w:t>
            </w:r>
          </w:p>
        </w:tc>
        <w:tc>
          <w:tcPr>
            <w:tcW w:w="1625" w:type="dxa"/>
            <w:tcBorders>
              <w:top w:val="nil"/>
              <w:left w:val="nil"/>
              <w:bottom w:val="nil"/>
              <w:right w:val="nil"/>
            </w:tcBorders>
            <w:shd w:val="clear" w:color="auto" w:fill="auto"/>
            <w:noWrap/>
            <w:vAlign w:val="center"/>
            <w:hideMark/>
          </w:tcPr>
          <w:p w14:paraId="63105159" w14:textId="77777777" w:rsidR="00AB4E57" w:rsidRPr="0031702A" w:rsidRDefault="00AB4E57" w:rsidP="00611803">
            <w:pPr>
              <w:spacing w:line="240" w:lineRule="auto"/>
              <w:jc w:val="center"/>
              <w:rPr>
                <w:rFonts w:eastAsia="Times New Roman" w:cs="Calibri"/>
                <w:color w:val="000000"/>
                <w:sz w:val="20"/>
                <w:szCs w:val="20"/>
                <w:lang w:eastAsia="en-GB"/>
              </w:rPr>
            </w:pPr>
          </w:p>
        </w:tc>
        <w:tc>
          <w:tcPr>
            <w:tcW w:w="1320" w:type="dxa"/>
            <w:tcBorders>
              <w:top w:val="nil"/>
              <w:left w:val="nil"/>
              <w:bottom w:val="nil"/>
              <w:right w:val="nil"/>
            </w:tcBorders>
            <w:shd w:val="clear" w:color="auto" w:fill="auto"/>
            <w:noWrap/>
            <w:vAlign w:val="center"/>
            <w:hideMark/>
          </w:tcPr>
          <w:p w14:paraId="040DBCDF" w14:textId="77777777" w:rsidR="00AB4E57" w:rsidRPr="0031702A" w:rsidRDefault="00AB4E57" w:rsidP="00611803">
            <w:pPr>
              <w:spacing w:line="240" w:lineRule="auto"/>
              <w:jc w:val="center"/>
              <w:rPr>
                <w:rFonts w:ascii="Times New Roman" w:eastAsia="Times New Roman" w:hAnsi="Times New Roman" w:cs="Times New Roman"/>
                <w:sz w:val="20"/>
                <w:szCs w:val="20"/>
                <w:lang w:eastAsia="en-GB"/>
              </w:rPr>
            </w:pPr>
          </w:p>
        </w:tc>
      </w:tr>
      <w:tr w:rsidR="00AB4E57" w:rsidRPr="0050551E" w14:paraId="00FD2BEB" w14:textId="77777777" w:rsidTr="00611803">
        <w:trPr>
          <w:trHeight w:val="686"/>
        </w:trPr>
        <w:tc>
          <w:tcPr>
            <w:tcW w:w="1829" w:type="dxa"/>
            <w:tcBorders>
              <w:top w:val="nil"/>
              <w:left w:val="single" w:sz="4" w:space="0" w:color="auto"/>
              <w:bottom w:val="single" w:sz="4" w:space="0" w:color="auto"/>
              <w:right w:val="single" w:sz="4" w:space="0" w:color="auto"/>
            </w:tcBorders>
            <w:shd w:val="clear" w:color="auto" w:fill="auto"/>
            <w:noWrap/>
            <w:vAlign w:val="center"/>
            <w:hideMark/>
          </w:tcPr>
          <w:p w14:paraId="67BB682B"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3.08 (-1.06, 7.14)</w:t>
            </w:r>
          </w:p>
        </w:tc>
        <w:tc>
          <w:tcPr>
            <w:tcW w:w="1687" w:type="dxa"/>
            <w:tcBorders>
              <w:top w:val="nil"/>
              <w:left w:val="nil"/>
              <w:bottom w:val="single" w:sz="4" w:space="0" w:color="auto"/>
              <w:right w:val="single" w:sz="4" w:space="0" w:color="auto"/>
            </w:tcBorders>
            <w:shd w:val="clear" w:color="auto" w:fill="auto"/>
            <w:noWrap/>
            <w:vAlign w:val="center"/>
            <w:hideMark/>
          </w:tcPr>
          <w:p w14:paraId="1B98333B"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1.12 (-2.71, 5.08)</w:t>
            </w:r>
          </w:p>
        </w:tc>
        <w:tc>
          <w:tcPr>
            <w:tcW w:w="1667" w:type="dxa"/>
            <w:tcBorders>
              <w:top w:val="nil"/>
              <w:left w:val="nil"/>
              <w:bottom w:val="single" w:sz="4" w:space="0" w:color="auto"/>
              <w:right w:val="single" w:sz="4" w:space="0" w:color="auto"/>
            </w:tcBorders>
            <w:shd w:val="clear" w:color="auto" w:fill="auto"/>
            <w:noWrap/>
            <w:vAlign w:val="center"/>
            <w:hideMark/>
          </w:tcPr>
          <w:p w14:paraId="38F230B5"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1.19 (-2.87, 5.17)</w:t>
            </w:r>
          </w:p>
        </w:tc>
        <w:tc>
          <w:tcPr>
            <w:tcW w:w="1706" w:type="dxa"/>
            <w:tcBorders>
              <w:top w:val="nil"/>
              <w:left w:val="nil"/>
              <w:bottom w:val="single" w:sz="4" w:space="0" w:color="auto"/>
              <w:right w:val="single" w:sz="4" w:space="0" w:color="auto"/>
            </w:tcBorders>
            <w:shd w:val="clear" w:color="auto" w:fill="auto"/>
            <w:noWrap/>
            <w:vAlign w:val="center"/>
            <w:hideMark/>
          </w:tcPr>
          <w:p w14:paraId="3E43542A"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1.03 (-3.08, 5.21)</w:t>
            </w:r>
          </w:p>
        </w:tc>
        <w:tc>
          <w:tcPr>
            <w:tcW w:w="1767" w:type="dxa"/>
            <w:tcBorders>
              <w:top w:val="nil"/>
              <w:left w:val="nil"/>
              <w:bottom w:val="single" w:sz="4" w:space="0" w:color="auto"/>
              <w:right w:val="single" w:sz="4" w:space="0" w:color="auto"/>
            </w:tcBorders>
            <w:shd w:val="clear" w:color="auto" w:fill="auto"/>
            <w:vAlign w:val="center"/>
            <w:hideMark/>
          </w:tcPr>
          <w:p w14:paraId="3800A2E1"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-0.39 (-2.81, 1.96)</w:t>
            </w:r>
          </w:p>
        </w:tc>
        <w:tc>
          <w:tcPr>
            <w:tcW w:w="1727" w:type="dxa"/>
            <w:tcBorders>
              <w:top w:val="nil"/>
              <w:left w:val="nil"/>
              <w:bottom w:val="single" w:sz="4" w:space="0" w:color="auto"/>
              <w:right w:val="single" w:sz="4" w:space="0" w:color="auto"/>
            </w:tcBorders>
            <w:shd w:val="clear" w:color="auto" w:fill="auto"/>
            <w:noWrap/>
            <w:vAlign w:val="center"/>
            <w:hideMark/>
          </w:tcPr>
          <w:p w14:paraId="0B75607E"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0.20 (-3.88, 4.30)</w:t>
            </w:r>
          </w:p>
        </w:tc>
        <w:tc>
          <w:tcPr>
            <w:tcW w:w="1747" w:type="dxa"/>
            <w:tcBorders>
              <w:top w:val="nil"/>
              <w:left w:val="nil"/>
              <w:bottom w:val="single" w:sz="4" w:space="0" w:color="auto"/>
              <w:right w:val="single" w:sz="4" w:space="0" w:color="auto"/>
            </w:tcBorders>
            <w:shd w:val="clear" w:color="auto" w:fill="auto"/>
            <w:noWrap/>
            <w:vAlign w:val="center"/>
            <w:hideMark/>
          </w:tcPr>
          <w:p w14:paraId="31037194"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-0.11 (-6.76, 6.27)</w:t>
            </w:r>
          </w:p>
        </w:tc>
        <w:tc>
          <w:tcPr>
            <w:tcW w:w="1625" w:type="dxa"/>
            <w:tcBorders>
              <w:top w:val="single" w:sz="4" w:space="0" w:color="auto"/>
              <w:left w:val="nil"/>
              <w:bottom w:val="single" w:sz="4" w:space="0" w:color="auto"/>
              <w:right w:val="single" w:sz="4" w:space="0" w:color="auto"/>
            </w:tcBorders>
            <w:shd w:val="clear" w:color="000000" w:fill="F8CBAD"/>
            <w:noWrap/>
            <w:vAlign w:val="center"/>
            <w:hideMark/>
          </w:tcPr>
          <w:p w14:paraId="6C291042"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Fremanezumab-M</w:t>
            </w:r>
          </w:p>
        </w:tc>
        <w:tc>
          <w:tcPr>
            <w:tcW w:w="1320" w:type="dxa"/>
            <w:tcBorders>
              <w:top w:val="nil"/>
              <w:left w:val="nil"/>
              <w:bottom w:val="nil"/>
              <w:right w:val="nil"/>
            </w:tcBorders>
            <w:shd w:val="clear" w:color="auto" w:fill="auto"/>
            <w:noWrap/>
            <w:vAlign w:val="center"/>
            <w:hideMark/>
          </w:tcPr>
          <w:p w14:paraId="7E61977A" w14:textId="77777777" w:rsidR="00AB4E57" w:rsidRPr="0031702A" w:rsidRDefault="00AB4E57" w:rsidP="00611803">
            <w:pPr>
              <w:spacing w:line="240" w:lineRule="auto"/>
              <w:jc w:val="center"/>
              <w:rPr>
                <w:rFonts w:eastAsia="Times New Roman" w:cs="Calibri"/>
                <w:color w:val="000000"/>
                <w:sz w:val="20"/>
                <w:szCs w:val="20"/>
                <w:lang w:eastAsia="en-GB"/>
              </w:rPr>
            </w:pPr>
          </w:p>
        </w:tc>
      </w:tr>
      <w:tr w:rsidR="00AB4E57" w:rsidRPr="0050551E" w14:paraId="3F23331B" w14:textId="77777777" w:rsidTr="00611803">
        <w:trPr>
          <w:trHeight w:val="686"/>
        </w:trPr>
        <w:tc>
          <w:tcPr>
            <w:tcW w:w="1829" w:type="dxa"/>
            <w:tcBorders>
              <w:top w:val="nil"/>
              <w:left w:val="single" w:sz="4" w:space="0" w:color="auto"/>
              <w:bottom w:val="single" w:sz="4" w:space="0" w:color="auto"/>
              <w:right w:val="single" w:sz="4" w:space="0" w:color="auto"/>
            </w:tcBorders>
            <w:shd w:val="clear" w:color="auto" w:fill="auto"/>
            <w:noWrap/>
            <w:vAlign w:val="center"/>
            <w:hideMark/>
          </w:tcPr>
          <w:p w14:paraId="0B8A8EF2" w14:textId="77777777" w:rsidR="00AB4E57" w:rsidRPr="0031702A" w:rsidRDefault="00AB4E57" w:rsidP="00611803">
            <w:pPr>
              <w:spacing w:line="240" w:lineRule="auto"/>
              <w:jc w:val="center"/>
              <w:rPr>
                <w:rFonts w:eastAsia="Times New Roman" w:cs="Calibri"/>
                <w:b/>
                <w:bCs/>
                <w:sz w:val="20"/>
                <w:szCs w:val="20"/>
                <w:lang w:eastAsia="en-GB"/>
              </w:rPr>
            </w:pPr>
            <w:r w:rsidRPr="0031702A">
              <w:rPr>
                <w:rFonts w:eastAsia="Times New Roman" w:cs="Calibri"/>
                <w:b/>
                <w:bCs/>
                <w:sz w:val="20"/>
                <w:szCs w:val="20"/>
                <w:lang w:eastAsia="en-GB"/>
              </w:rPr>
              <w:t>6.97 (3.79, 10.24)</w:t>
            </w:r>
          </w:p>
        </w:tc>
        <w:tc>
          <w:tcPr>
            <w:tcW w:w="1687" w:type="dxa"/>
            <w:tcBorders>
              <w:top w:val="nil"/>
              <w:left w:val="nil"/>
              <w:bottom w:val="single" w:sz="4" w:space="0" w:color="auto"/>
              <w:right w:val="single" w:sz="4" w:space="0" w:color="auto"/>
            </w:tcBorders>
            <w:shd w:val="clear" w:color="auto" w:fill="auto"/>
            <w:noWrap/>
            <w:vAlign w:val="center"/>
            <w:hideMark/>
          </w:tcPr>
          <w:p w14:paraId="5D9A92B6" w14:textId="77777777" w:rsidR="00AB4E57" w:rsidRPr="0031702A" w:rsidRDefault="00AB4E57" w:rsidP="00611803">
            <w:pPr>
              <w:spacing w:line="240" w:lineRule="auto"/>
              <w:jc w:val="center"/>
              <w:rPr>
                <w:rFonts w:eastAsia="Times New Roman" w:cs="Calibri"/>
                <w:b/>
                <w:bCs/>
                <w:sz w:val="20"/>
                <w:szCs w:val="20"/>
                <w:lang w:eastAsia="en-GB"/>
              </w:rPr>
            </w:pPr>
            <w:r w:rsidRPr="0031702A">
              <w:rPr>
                <w:rFonts w:eastAsia="Times New Roman" w:cs="Calibri"/>
                <w:b/>
                <w:bCs/>
                <w:sz w:val="20"/>
                <w:szCs w:val="20"/>
                <w:lang w:eastAsia="en-GB"/>
              </w:rPr>
              <w:t>5.01 (1.99, 8.01)</w:t>
            </w:r>
          </w:p>
        </w:tc>
        <w:tc>
          <w:tcPr>
            <w:tcW w:w="1667" w:type="dxa"/>
            <w:tcBorders>
              <w:top w:val="nil"/>
              <w:left w:val="nil"/>
              <w:bottom w:val="single" w:sz="4" w:space="0" w:color="auto"/>
              <w:right w:val="single" w:sz="4" w:space="0" w:color="auto"/>
            </w:tcBorders>
            <w:shd w:val="clear" w:color="auto" w:fill="auto"/>
            <w:noWrap/>
            <w:vAlign w:val="center"/>
            <w:hideMark/>
          </w:tcPr>
          <w:p w14:paraId="0DFB2953" w14:textId="77777777" w:rsidR="00AB4E57" w:rsidRPr="0031702A" w:rsidRDefault="00AB4E57" w:rsidP="00611803">
            <w:pPr>
              <w:spacing w:line="240" w:lineRule="auto"/>
              <w:jc w:val="center"/>
              <w:rPr>
                <w:rFonts w:eastAsia="Times New Roman" w:cs="Calibri"/>
                <w:b/>
                <w:bCs/>
                <w:sz w:val="20"/>
                <w:szCs w:val="20"/>
                <w:lang w:eastAsia="en-GB"/>
              </w:rPr>
            </w:pPr>
            <w:r w:rsidRPr="0031702A">
              <w:rPr>
                <w:rFonts w:eastAsia="Times New Roman" w:cs="Calibri"/>
                <w:b/>
                <w:bCs/>
                <w:sz w:val="20"/>
                <w:szCs w:val="20"/>
                <w:lang w:eastAsia="en-GB"/>
              </w:rPr>
              <w:t>5.08 (1.84, 8.35)</w:t>
            </w:r>
          </w:p>
        </w:tc>
        <w:tc>
          <w:tcPr>
            <w:tcW w:w="1706" w:type="dxa"/>
            <w:tcBorders>
              <w:top w:val="nil"/>
              <w:left w:val="nil"/>
              <w:bottom w:val="single" w:sz="4" w:space="0" w:color="auto"/>
              <w:right w:val="single" w:sz="4" w:space="0" w:color="auto"/>
            </w:tcBorders>
            <w:shd w:val="clear" w:color="auto" w:fill="auto"/>
            <w:noWrap/>
            <w:vAlign w:val="center"/>
            <w:hideMark/>
          </w:tcPr>
          <w:p w14:paraId="776CFECF" w14:textId="77777777" w:rsidR="00AB4E57" w:rsidRPr="0031702A" w:rsidRDefault="00AB4E57" w:rsidP="00611803">
            <w:pPr>
              <w:spacing w:line="240" w:lineRule="auto"/>
              <w:jc w:val="center"/>
              <w:rPr>
                <w:rFonts w:eastAsia="Times New Roman" w:cs="Calibri"/>
                <w:b/>
                <w:bCs/>
                <w:sz w:val="20"/>
                <w:szCs w:val="20"/>
                <w:lang w:eastAsia="en-GB"/>
              </w:rPr>
            </w:pPr>
            <w:r w:rsidRPr="0031702A">
              <w:rPr>
                <w:rFonts w:eastAsia="Times New Roman" w:cs="Calibri"/>
                <w:b/>
                <w:bCs/>
                <w:sz w:val="20"/>
                <w:szCs w:val="20"/>
                <w:lang w:eastAsia="en-GB"/>
              </w:rPr>
              <w:t>4.93 (1.70, 8.20)</w:t>
            </w:r>
          </w:p>
        </w:tc>
        <w:tc>
          <w:tcPr>
            <w:tcW w:w="1767" w:type="dxa"/>
            <w:tcBorders>
              <w:top w:val="nil"/>
              <w:left w:val="nil"/>
              <w:bottom w:val="single" w:sz="4" w:space="0" w:color="auto"/>
              <w:right w:val="single" w:sz="4" w:space="0" w:color="auto"/>
            </w:tcBorders>
            <w:shd w:val="clear" w:color="auto" w:fill="auto"/>
            <w:noWrap/>
            <w:vAlign w:val="center"/>
            <w:hideMark/>
          </w:tcPr>
          <w:p w14:paraId="2B784B1A" w14:textId="77777777" w:rsidR="00AB4E57" w:rsidRPr="0031702A" w:rsidRDefault="00AB4E57" w:rsidP="00611803">
            <w:pPr>
              <w:spacing w:line="240" w:lineRule="auto"/>
              <w:jc w:val="center"/>
              <w:rPr>
                <w:rFonts w:eastAsia="Times New Roman" w:cs="Calibri"/>
                <w:b/>
                <w:bCs/>
                <w:color w:val="000000"/>
                <w:sz w:val="20"/>
                <w:szCs w:val="20"/>
                <w:lang w:eastAsia="en-GB"/>
              </w:rPr>
            </w:pPr>
            <w:r w:rsidRPr="0031702A">
              <w:rPr>
                <w:rFonts w:eastAsia="Times New Roman" w:cs="Calibri"/>
                <w:b/>
                <w:bCs/>
                <w:color w:val="000000"/>
                <w:sz w:val="20"/>
                <w:szCs w:val="20"/>
                <w:lang w:eastAsia="en-GB"/>
              </w:rPr>
              <w:t>4.29 (1.90, 6.81)</w:t>
            </w:r>
          </w:p>
        </w:tc>
        <w:tc>
          <w:tcPr>
            <w:tcW w:w="1727" w:type="dxa"/>
            <w:tcBorders>
              <w:top w:val="nil"/>
              <w:left w:val="nil"/>
              <w:bottom w:val="single" w:sz="4" w:space="0" w:color="auto"/>
              <w:right w:val="single" w:sz="4" w:space="0" w:color="auto"/>
            </w:tcBorders>
            <w:shd w:val="clear" w:color="auto" w:fill="auto"/>
            <w:noWrap/>
            <w:vAlign w:val="center"/>
            <w:hideMark/>
          </w:tcPr>
          <w:p w14:paraId="40E600AF" w14:textId="77777777" w:rsidR="00AB4E57" w:rsidRPr="0031702A" w:rsidRDefault="00AB4E57" w:rsidP="00611803">
            <w:pPr>
              <w:spacing w:line="240" w:lineRule="auto"/>
              <w:jc w:val="center"/>
              <w:rPr>
                <w:rFonts w:eastAsia="Times New Roman" w:cs="Calibri"/>
                <w:b/>
                <w:bCs/>
                <w:sz w:val="20"/>
                <w:szCs w:val="20"/>
                <w:lang w:eastAsia="en-GB"/>
              </w:rPr>
            </w:pPr>
            <w:r w:rsidRPr="0031702A">
              <w:rPr>
                <w:rFonts w:eastAsia="Times New Roman" w:cs="Calibri"/>
                <w:b/>
                <w:bCs/>
                <w:sz w:val="20"/>
                <w:szCs w:val="20"/>
                <w:lang w:eastAsia="en-GB"/>
              </w:rPr>
              <w:t>4.09 (0.76, 7.31)</w:t>
            </w:r>
          </w:p>
        </w:tc>
        <w:tc>
          <w:tcPr>
            <w:tcW w:w="1747" w:type="dxa"/>
            <w:tcBorders>
              <w:top w:val="nil"/>
              <w:left w:val="nil"/>
              <w:bottom w:val="single" w:sz="4" w:space="0" w:color="auto"/>
              <w:right w:val="single" w:sz="4" w:space="0" w:color="auto"/>
            </w:tcBorders>
            <w:shd w:val="clear" w:color="auto" w:fill="auto"/>
            <w:noWrap/>
            <w:vAlign w:val="center"/>
            <w:hideMark/>
          </w:tcPr>
          <w:p w14:paraId="52B5040D" w14:textId="77777777" w:rsidR="00AB4E57" w:rsidRPr="0031702A" w:rsidRDefault="00AB4E57" w:rsidP="00611803">
            <w:pPr>
              <w:spacing w:line="240" w:lineRule="auto"/>
              <w:jc w:val="center"/>
              <w:rPr>
                <w:rFonts w:eastAsia="Times New Roman" w:cs="Calibri"/>
                <w:sz w:val="20"/>
                <w:szCs w:val="20"/>
                <w:lang w:eastAsia="en-GB"/>
              </w:rPr>
            </w:pPr>
            <w:r w:rsidRPr="0031702A">
              <w:rPr>
                <w:rFonts w:eastAsia="Times New Roman" w:cs="Calibri"/>
                <w:sz w:val="20"/>
                <w:szCs w:val="20"/>
                <w:lang w:eastAsia="en-GB"/>
              </w:rPr>
              <w:t>3.78 (-2.37, 9.80)</w:t>
            </w:r>
          </w:p>
        </w:tc>
        <w:tc>
          <w:tcPr>
            <w:tcW w:w="1625" w:type="dxa"/>
            <w:tcBorders>
              <w:top w:val="nil"/>
              <w:left w:val="nil"/>
              <w:bottom w:val="single" w:sz="4" w:space="0" w:color="auto"/>
              <w:right w:val="single" w:sz="4" w:space="0" w:color="auto"/>
            </w:tcBorders>
            <w:shd w:val="clear" w:color="auto" w:fill="auto"/>
            <w:noWrap/>
            <w:vAlign w:val="center"/>
            <w:hideMark/>
          </w:tcPr>
          <w:p w14:paraId="056955B2" w14:textId="77777777" w:rsidR="00AB4E57" w:rsidRPr="0031702A" w:rsidRDefault="00AB4E57" w:rsidP="00611803">
            <w:pPr>
              <w:spacing w:line="240" w:lineRule="auto"/>
              <w:jc w:val="center"/>
              <w:rPr>
                <w:rFonts w:eastAsia="Times New Roman" w:cs="Calibri"/>
                <w:b/>
                <w:bCs/>
                <w:sz w:val="20"/>
                <w:szCs w:val="20"/>
                <w:lang w:eastAsia="en-GB"/>
              </w:rPr>
            </w:pPr>
            <w:r w:rsidRPr="0031702A">
              <w:rPr>
                <w:rFonts w:eastAsia="Times New Roman" w:cs="Calibri"/>
                <w:b/>
                <w:bCs/>
                <w:sz w:val="20"/>
                <w:szCs w:val="20"/>
                <w:lang w:eastAsia="en-GB"/>
              </w:rPr>
              <w:t>3.89 (1.39, 6.41)</w:t>
            </w:r>
          </w:p>
        </w:tc>
        <w:tc>
          <w:tcPr>
            <w:tcW w:w="1320" w:type="dxa"/>
            <w:tcBorders>
              <w:top w:val="single" w:sz="4" w:space="0" w:color="auto"/>
              <w:left w:val="nil"/>
              <w:bottom w:val="single" w:sz="4" w:space="0" w:color="auto"/>
              <w:right w:val="single" w:sz="4" w:space="0" w:color="auto"/>
            </w:tcBorders>
            <w:shd w:val="clear" w:color="000000" w:fill="F8CBAD"/>
            <w:noWrap/>
            <w:vAlign w:val="center"/>
            <w:hideMark/>
          </w:tcPr>
          <w:p w14:paraId="35094184" w14:textId="77777777" w:rsidR="00AB4E57" w:rsidRPr="0031702A" w:rsidRDefault="00AB4E57"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Placebo</w:t>
            </w:r>
          </w:p>
        </w:tc>
      </w:tr>
    </w:tbl>
    <w:p w14:paraId="446C5798" w14:textId="77777777" w:rsidR="00AB4E57" w:rsidRPr="00C34F7A" w:rsidRDefault="00AB4E57" w:rsidP="00AB4E57">
      <w:pPr>
        <w:spacing w:line="240" w:lineRule="auto"/>
        <w:jc w:val="both"/>
        <w:rPr>
          <w:rFonts w:cstheme="minorHAnsi"/>
          <w:noProof/>
          <w:sz w:val="18"/>
          <w:szCs w:val="18"/>
          <w:lang w:val="en-US"/>
        </w:rPr>
      </w:pPr>
      <w:r w:rsidRPr="00C34F7A">
        <w:rPr>
          <w:rFonts w:cstheme="minorHAnsi"/>
          <w:noProof/>
          <w:sz w:val="18"/>
          <w:szCs w:val="18"/>
          <w:lang w:val="en-US"/>
        </w:rPr>
        <w:t>M</w:t>
      </w:r>
      <w:r>
        <w:rPr>
          <w:rFonts w:cstheme="minorHAnsi"/>
          <w:noProof/>
          <w:sz w:val="18"/>
          <w:szCs w:val="18"/>
          <w:lang w:val="en-US"/>
        </w:rPr>
        <w:t xml:space="preserve">ean differences more </w:t>
      </w:r>
      <w:r w:rsidRPr="00C34F7A">
        <w:rPr>
          <w:rFonts w:cstheme="minorHAnsi"/>
          <w:noProof/>
          <w:sz w:val="18"/>
          <w:szCs w:val="18"/>
          <w:lang w:val="en-US"/>
        </w:rPr>
        <w:t>than 0 favour the column-defining treatment</w:t>
      </w:r>
      <w:r>
        <w:rPr>
          <w:rFonts w:cstheme="minorHAnsi"/>
          <w:noProof/>
          <w:sz w:val="18"/>
          <w:szCs w:val="18"/>
          <w:lang w:val="en-US"/>
        </w:rPr>
        <w:t>;</w:t>
      </w:r>
      <w:r w:rsidRPr="00C34F7A">
        <w:rPr>
          <w:rFonts w:cstheme="minorHAnsi"/>
          <w:noProof/>
          <w:sz w:val="18"/>
          <w:szCs w:val="18"/>
          <w:lang w:val="en-US"/>
        </w:rPr>
        <w:t xml:space="preserve"> Credible Intervals not including 0 are highlighted in bold.</w:t>
      </w:r>
    </w:p>
    <w:p w14:paraId="652B8D8A" w14:textId="77777777" w:rsidR="00AB4E57" w:rsidRDefault="00AB4E57" w:rsidP="00AB4E57">
      <w:pPr>
        <w:rPr>
          <w:rFonts w:cstheme="minorHAnsi"/>
          <w:noProof/>
          <w:sz w:val="18"/>
          <w:szCs w:val="18"/>
          <w:lang w:val="en-US"/>
        </w:rPr>
        <w:sectPr w:rsidR="00AB4E57" w:rsidSect="00C05506">
          <w:pgSz w:w="16840" w:h="11907" w:code="9"/>
          <w:pgMar w:top="1440" w:right="1440" w:bottom="1440" w:left="1440" w:header="709" w:footer="709" w:gutter="0"/>
          <w:cols w:space="708"/>
          <w:docGrid w:linePitch="360"/>
        </w:sectPr>
      </w:pPr>
      <w:r w:rsidRPr="00C34F7A">
        <w:rPr>
          <w:rFonts w:cstheme="minorHAnsi"/>
          <w:noProof/>
          <w:sz w:val="18"/>
          <w:szCs w:val="18"/>
          <w:lang w:val="en-US"/>
        </w:rPr>
        <w:t>Abbr</w:t>
      </w:r>
      <w:r>
        <w:rPr>
          <w:rFonts w:cstheme="minorHAnsi"/>
          <w:noProof/>
          <w:sz w:val="18"/>
          <w:szCs w:val="18"/>
          <w:lang w:val="en-US"/>
        </w:rPr>
        <w:t>e</w:t>
      </w:r>
      <w:r w:rsidRPr="00C34F7A">
        <w:rPr>
          <w:rFonts w:cstheme="minorHAnsi"/>
          <w:noProof/>
          <w:sz w:val="18"/>
          <w:szCs w:val="18"/>
          <w:lang w:val="en-US"/>
        </w:rPr>
        <w:t>viations: Fremanezumab-M, Fremanezumab Monthly; Fremanezumab-</w:t>
      </w:r>
      <w:r>
        <w:rPr>
          <w:rFonts w:cstheme="minorHAnsi"/>
          <w:noProof/>
          <w:sz w:val="18"/>
          <w:szCs w:val="18"/>
          <w:lang w:val="en-US"/>
        </w:rPr>
        <w:t>Q</w:t>
      </w:r>
      <w:r w:rsidRPr="00C34F7A">
        <w:rPr>
          <w:rFonts w:cstheme="minorHAnsi"/>
          <w:noProof/>
          <w:sz w:val="18"/>
          <w:szCs w:val="18"/>
          <w:lang w:val="en-US"/>
        </w:rPr>
        <w:t>, Fremanezumab Quarterly.</w:t>
      </w:r>
    </w:p>
    <w:p w14:paraId="12D5DC87" w14:textId="48D30E0B" w:rsidR="00AB4E57" w:rsidRDefault="00AB4E57" w:rsidP="00AB4E57">
      <w:pPr>
        <w:pStyle w:val="Caption"/>
        <w:keepNext/>
      </w:pPr>
      <w:bookmarkStart w:id="31" w:name="_Ref130539084"/>
      <w:bookmarkStart w:id="32" w:name="_Toc129946390"/>
      <w:bookmarkStart w:id="33" w:name="_Toc133322647"/>
      <w:r>
        <w:lastRenderedPageBreak/>
        <w:t xml:space="preserve">Table </w:t>
      </w:r>
      <w:bookmarkEnd w:id="31"/>
      <w:r w:rsidR="00047048">
        <w:t>9</w:t>
      </w:r>
      <w:r>
        <w:t xml:space="preserve">: </w:t>
      </w:r>
      <w:r w:rsidRPr="005B70E2">
        <w:t>The model fit result for mean change in MSQ-PR from baseline</w:t>
      </w:r>
      <w:bookmarkEnd w:id="32"/>
      <w:bookmarkEnd w:id="33"/>
    </w:p>
    <w:tbl>
      <w:tblPr>
        <w:tblStyle w:val="TableGrid"/>
        <w:tblW w:w="0" w:type="auto"/>
        <w:tblInd w:w="5" w:type="dxa"/>
        <w:tblLook w:val="04A0" w:firstRow="1" w:lastRow="0" w:firstColumn="1" w:lastColumn="0" w:noHBand="0" w:noVBand="1"/>
      </w:tblPr>
      <w:tblGrid>
        <w:gridCol w:w="2253"/>
        <w:gridCol w:w="2253"/>
        <w:gridCol w:w="2253"/>
        <w:gridCol w:w="2253"/>
      </w:tblGrid>
      <w:tr w:rsidR="00AB4E57" w:rsidRPr="00E12582" w14:paraId="5001FB36" w14:textId="77777777" w:rsidTr="00611803">
        <w:tc>
          <w:tcPr>
            <w:tcW w:w="2253" w:type="dxa"/>
            <w:tcBorders>
              <w:top w:val="single" w:sz="4" w:space="0" w:color="auto"/>
              <w:left w:val="single" w:sz="4" w:space="0" w:color="auto"/>
            </w:tcBorders>
          </w:tcPr>
          <w:p w14:paraId="3179D846" w14:textId="77777777" w:rsidR="00AB4E57" w:rsidRPr="00F16733" w:rsidRDefault="00AB4E57" w:rsidP="00611803">
            <w:pPr>
              <w:tabs>
                <w:tab w:val="left" w:pos="1020"/>
              </w:tabs>
              <w:rPr>
                <w:rFonts w:eastAsia="Calibri" w:cs="Arial"/>
                <w:sz w:val="20"/>
                <w:szCs w:val="20"/>
              </w:rPr>
            </w:pPr>
          </w:p>
        </w:tc>
        <w:tc>
          <w:tcPr>
            <w:tcW w:w="2253" w:type="dxa"/>
          </w:tcPr>
          <w:p w14:paraId="2A6AB5DF" w14:textId="77777777" w:rsidR="00AB4E57" w:rsidRPr="00F16733" w:rsidRDefault="00AB4E57" w:rsidP="00611803">
            <w:pPr>
              <w:tabs>
                <w:tab w:val="left" w:pos="1020"/>
              </w:tabs>
              <w:jc w:val="center"/>
              <w:rPr>
                <w:rFonts w:eastAsia="Calibri" w:cs="Arial"/>
                <w:sz w:val="20"/>
                <w:szCs w:val="20"/>
              </w:rPr>
            </w:pPr>
            <w:r w:rsidRPr="00F16733">
              <w:rPr>
                <w:rFonts w:eastAsia="Calibri" w:cs="Arial"/>
                <w:sz w:val="20"/>
                <w:szCs w:val="20"/>
              </w:rPr>
              <w:t>Residual deviance (</w:t>
            </w:r>
            <w:r>
              <w:rPr>
                <w:rFonts w:eastAsia="Calibri" w:cs="Arial"/>
                <w:sz w:val="20"/>
                <w:szCs w:val="20"/>
              </w:rPr>
              <w:t>13</w:t>
            </w:r>
            <w:r w:rsidRPr="00F16733">
              <w:rPr>
                <w:rFonts w:eastAsia="Calibri" w:cs="Arial"/>
                <w:sz w:val="20"/>
                <w:szCs w:val="20"/>
              </w:rPr>
              <w:t xml:space="preserve"> data points)</w:t>
            </w:r>
          </w:p>
        </w:tc>
        <w:tc>
          <w:tcPr>
            <w:tcW w:w="2253" w:type="dxa"/>
          </w:tcPr>
          <w:p w14:paraId="5ACFE794" w14:textId="77777777" w:rsidR="00AB4E57" w:rsidRPr="00F16733" w:rsidRDefault="00AB4E57" w:rsidP="00611803">
            <w:pPr>
              <w:tabs>
                <w:tab w:val="left" w:pos="1020"/>
              </w:tabs>
              <w:jc w:val="center"/>
              <w:rPr>
                <w:rFonts w:eastAsia="Calibri" w:cs="Arial"/>
                <w:sz w:val="20"/>
                <w:szCs w:val="20"/>
              </w:rPr>
            </w:pPr>
            <w:r w:rsidRPr="00F16733">
              <w:rPr>
                <w:rFonts w:eastAsia="Calibri" w:cs="Arial"/>
                <w:sz w:val="20"/>
                <w:szCs w:val="20"/>
              </w:rPr>
              <w:t>pD*</w:t>
            </w:r>
          </w:p>
        </w:tc>
        <w:tc>
          <w:tcPr>
            <w:tcW w:w="2253" w:type="dxa"/>
          </w:tcPr>
          <w:p w14:paraId="74F4021D" w14:textId="77777777" w:rsidR="00AB4E57" w:rsidRPr="00F16733" w:rsidRDefault="00AB4E57" w:rsidP="00611803">
            <w:pPr>
              <w:tabs>
                <w:tab w:val="left" w:pos="1020"/>
              </w:tabs>
              <w:jc w:val="center"/>
              <w:rPr>
                <w:rFonts w:eastAsia="Calibri" w:cs="Arial"/>
                <w:sz w:val="20"/>
                <w:szCs w:val="20"/>
              </w:rPr>
            </w:pPr>
            <w:r w:rsidRPr="00F16733">
              <w:rPr>
                <w:rFonts w:eastAsia="Calibri" w:cs="Arial"/>
                <w:sz w:val="20"/>
                <w:szCs w:val="20"/>
              </w:rPr>
              <w:t>DIC**</w:t>
            </w:r>
          </w:p>
        </w:tc>
      </w:tr>
      <w:tr w:rsidR="00AB4E57" w:rsidRPr="00E12582" w14:paraId="67B2E0B9" w14:textId="77777777" w:rsidTr="00611803">
        <w:tc>
          <w:tcPr>
            <w:tcW w:w="2253" w:type="dxa"/>
          </w:tcPr>
          <w:p w14:paraId="770F1703" w14:textId="77777777" w:rsidR="00AB4E57" w:rsidRPr="00F16733" w:rsidRDefault="00AB4E57" w:rsidP="00611803">
            <w:pPr>
              <w:tabs>
                <w:tab w:val="left" w:pos="1020"/>
              </w:tabs>
              <w:rPr>
                <w:rFonts w:eastAsia="Calibri" w:cs="Arial"/>
                <w:sz w:val="20"/>
                <w:szCs w:val="20"/>
              </w:rPr>
            </w:pPr>
            <w:r w:rsidRPr="00F16733">
              <w:rPr>
                <w:rFonts w:eastAsia="Calibri" w:cs="Arial"/>
                <w:sz w:val="20"/>
                <w:szCs w:val="20"/>
              </w:rPr>
              <w:t>Fixed model</w:t>
            </w:r>
          </w:p>
        </w:tc>
        <w:tc>
          <w:tcPr>
            <w:tcW w:w="2253" w:type="dxa"/>
            <w:vAlign w:val="center"/>
          </w:tcPr>
          <w:p w14:paraId="18F2CA79" w14:textId="77777777" w:rsidR="00AB4E57" w:rsidRPr="00F16733" w:rsidRDefault="00AB4E57" w:rsidP="00611803">
            <w:pPr>
              <w:tabs>
                <w:tab w:val="left" w:pos="1020"/>
              </w:tabs>
              <w:jc w:val="center"/>
              <w:rPr>
                <w:rFonts w:eastAsia="Calibri" w:cs="Arial"/>
                <w:sz w:val="20"/>
                <w:szCs w:val="20"/>
              </w:rPr>
            </w:pPr>
            <w:r>
              <w:rPr>
                <w:rFonts w:cs="Calibri"/>
                <w:color w:val="000000"/>
              </w:rPr>
              <w:t>13.1</w:t>
            </w:r>
          </w:p>
        </w:tc>
        <w:tc>
          <w:tcPr>
            <w:tcW w:w="2253" w:type="dxa"/>
            <w:vAlign w:val="center"/>
          </w:tcPr>
          <w:p w14:paraId="354E4B84" w14:textId="77777777" w:rsidR="00AB4E57" w:rsidRPr="00F16733" w:rsidRDefault="00AB4E57" w:rsidP="00611803">
            <w:pPr>
              <w:tabs>
                <w:tab w:val="left" w:pos="1020"/>
              </w:tabs>
              <w:jc w:val="center"/>
              <w:rPr>
                <w:rFonts w:eastAsia="Calibri" w:cs="Arial"/>
                <w:sz w:val="20"/>
                <w:szCs w:val="20"/>
              </w:rPr>
            </w:pPr>
            <w:r>
              <w:rPr>
                <w:rFonts w:cs="Calibri"/>
                <w:color w:val="000000"/>
              </w:rPr>
              <w:t>13.1</w:t>
            </w:r>
          </w:p>
        </w:tc>
        <w:tc>
          <w:tcPr>
            <w:tcW w:w="2253" w:type="dxa"/>
            <w:vAlign w:val="center"/>
          </w:tcPr>
          <w:p w14:paraId="17B3CC57" w14:textId="77777777" w:rsidR="00AB4E57" w:rsidRPr="00F16733" w:rsidRDefault="00AB4E57" w:rsidP="00611803">
            <w:pPr>
              <w:tabs>
                <w:tab w:val="left" w:pos="1020"/>
              </w:tabs>
              <w:jc w:val="center"/>
              <w:rPr>
                <w:rFonts w:eastAsia="Calibri" w:cs="Arial"/>
                <w:sz w:val="20"/>
                <w:szCs w:val="20"/>
              </w:rPr>
            </w:pPr>
            <w:r>
              <w:rPr>
                <w:rFonts w:cs="Calibri"/>
                <w:color w:val="000000"/>
              </w:rPr>
              <w:t>26.2</w:t>
            </w:r>
          </w:p>
        </w:tc>
      </w:tr>
      <w:tr w:rsidR="00AB4E57" w:rsidRPr="00E12582" w14:paraId="6F5F01E7" w14:textId="77777777" w:rsidTr="00611803">
        <w:tc>
          <w:tcPr>
            <w:tcW w:w="2253" w:type="dxa"/>
          </w:tcPr>
          <w:p w14:paraId="5463FF1C" w14:textId="77777777" w:rsidR="00AB4E57" w:rsidRPr="00F16733" w:rsidRDefault="00AB4E57" w:rsidP="00611803">
            <w:pPr>
              <w:tabs>
                <w:tab w:val="left" w:pos="1020"/>
              </w:tabs>
              <w:rPr>
                <w:rFonts w:eastAsia="Calibri" w:cs="Arial"/>
                <w:sz w:val="20"/>
                <w:szCs w:val="20"/>
              </w:rPr>
            </w:pPr>
            <w:r w:rsidRPr="00F16733">
              <w:rPr>
                <w:rFonts w:eastAsia="Calibri" w:cs="Arial"/>
                <w:sz w:val="20"/>
                <w:szCs w:val="20"/>
              </w:rPr>
              <w:t>Random model</w:t>
            </w:r>
          </w:p>
        </w:tc>
        <w:tc>
          <w:tcPr>
            <w:tcW w:w="2253" w:type="dxa"/>
            <w:vAlign w:val="center"/>
          </w:tcPr>
          <w:p w14:paraId="1B3EB036" w14:textId="77777777" w:rsidR="00AB4E57" w:rsidRPr="00F16733" w:rsidRDefault="00AB4E57" w:rsidP="00611803">
            <w:pPr>
              <w:tabs>
                <w:tab w:val="left" w:pos="1020"/>
              </w:tabs>
              <w:jc w:val="center"/>
              <w:rPr>
                <w:rFonts w:eastAsia="Calibri" w:cs="Arial"/>
                <w:sz w:val="20"/>
                <w:szCs w:val="20"/>
              </w:rPr>
            </w:pPr>
            <w:r>
              <w:rPr>
                <w:rFonts w:cs="Calibri"/>
                <w:color w:val="000000"/>
              </w:rPr>
              <w:t>12.8</w:t>
            </w:r>
          </w:p>
        </w:tc>
        <w:tc>
          <w:tcPr>
            <w:tcW w:w="2253" w:type="dxa"/>
            <w:vAlign w:val="center"/>
          </w:tcPr>
          <w:p w14:paraId="4EFAD5B1" w14:textId="77777777" w:rsidR="00AB4E57" w:rsidRPr="00F16733" w:rsidRDefault="00AB4E57" w:rsidP="00611803">
            <w:pPr>
              <w:tabs>
                <w:tab w:val="left" w:pos="1020"/>
              </w:tabs>
              <w:jc w:val="center"/>
              <w:rPr>
                <w:rFonts w:eastAsia="Calibri" w:cs="Arial"/>
                <w:sz w:val="20"/>
                <w:szCs w:val="20"/>
              </w:rPr>
            </w:pPr>
            <w:r>
              <w:rPr>
                <w:rFonts w:cs="Calibri"/>
                <w:color w:val="000000"/>
              </w:rPr>
              <w:t>12.8</w:t>
            </w:r>
          </w:p>
        </w:tc>
        <w:tc>
          <w:tcPr>
            <w:tcW w:w="2253" w:type="dxa"/>
            <w:vAlign w:val="center"/>
          </w:tcPr>
          <w:p w14:paraId="07E4CB7C" w14:textId="77777777" w:rsidR="00AB4E57" w:rsidRPr="00F16733" w:rsidRDefault="00AB4E57" w:rsidP="00611803">
            <w:pPr>
              <w:tabs>
                <w:tab w:val="left" w:pos="1020"/>
              </w:tabs>
              <w:jc w:val="center"/>
              <w:rPr>
                <w:rFonts w:eastAsia="Calibri" w:cs="Arial"/>
                <w:sz w:val="20"/>
                <w:szCs w:val="20"/>
              </w:rPr>
            </w:pPr>
            <w:r>
              <w:rPr>
                <w:rFonts w:cs="Calibri"/>
                <w:color w:val="000000"/>
              </w:rPr>
              <w:t>25.7</w:t>
            </w:r>
          </w:p>
        </w:tc>
      </w:tr>
    </w:tbl>
    <w:p w14:paraId="2AD8DB0D" w14:textId="77777777" w:rsidR="00AB4E57" w:rsidRPr="00E12582" w:rsidRDefault="00AB4E57" w:rsidP="00AB4E57">
      <w:pPr>
        <w:spacing w:line="240" w:lineRule="auto"/>
        <w:jc w:val="both"/>
        <w:rPr>
          <w:rFonts w:eastAsia="Calibri" w:cs="Calibri"/>
          <w:sz w:val="18"/>
          <w:szCs w:val="18"/>
          <w:lang w:eastAsia="en-GB"/>
        </w:rPr>
      </w:pPr>
      <w:r w:rsidRPr="00E12582">
        <w:rPr>
          <w:rFonts w:ascii="Times New Roman" w:eastAsia="Calibri" w:hAnsi="Times New Roman" w:cs="Times New Roman"/>
          <w:noProof/>
          <w:sz w:val="20"/>
          <w:szCs w:val="20"/>
          <w:lang w:val="en-US"/>
        </w:rPr>
        <w:t>*</w:t>
      </w:r>
      <w:r w:rsidRPr="00E12582">
        <w:rPr>
          <w:rFonts w:eastAsia="Calibri" w:cs="Calibri"/>
          <w:sz w:val="18"/>
          <w:szCs w:val="18"/>
          <w:lang w:eastAsia="en-GB"/>
        </w:rPr>
        <w:t>pD: sum of leverage, also known as the effective number of parameters and shows the model complexity.</w:t>
      </w:r>
    </w:p>
    <w:p w14:paraId="5C585D5C" w14:textId="77777777" w:rsidR="00AB4E57" w:rsidRDefault="00AB4E57" w:rsidP="00AB4E57">
      <w:pPr>
        <w:spacing w:line="240" w:lineRule="auto"/>
        <w:rPr>
          <w:rFonts w:eastAsia="Calibri" w:cs="Calibri"/>
          <w:sz w:val="18"/>
          <w:szCs w:val="18"/>
          <w:lang w:eastAsia="en-GB"/>
        </w:rPr>
      </w:pPr>
      <w:r w:rsidRPr="00E12582">
        <w:rPr>
          <w:rFonts w:eastAsia="Calibri" w:cs="Calibri"/>
          <w:sz w:val="18"/>
          <w:szCs w:val="18"/>
          <w:lang w:eastAsia="en-GB"/>
        </w:rPr>
        <w:t xml:space="preserve">**DIC: Deviance Information Criteria (DIC provides a measure of goodness of model fit that penalises model complexity, the lower is more fitted. </w:t>
      </w:r>
      <w:r>
        <w:rPr>
          <w:rFonts w:eastAsia="Calibri" w:cs="Calibri"/>
          <w:sz w:val="18"/>
          <w:szCs w:val="18"/>
          <w:lang w:eastAsia="en-GB"/>
        </w:rPr>
        <w:t xml:space="preserve">More than three difference is meaningful. </w:t>
      </w:r>
    </w:p>
    <w:p w14:paraId="7300B923" w14:textId="77777777" w:rsidR="00AB4E57" w:rsidRDefault="00AB4E57" w:rsidP="00AB4E57">
      <w:pPr>
        <w:spacing w:line="240" w:lineRule="auto"/>
        <w:rPr>
          <w:rFonts w:eastAsia="Calibri" w:cs="Calibri"/>
          <w:sz w:val="18"/>
          <w:szCs w:val="18"/>
          <w:lang w:eastAsia="en-GB"/>
        </w:rPr>
      </w:pPr>
    </w:p>
    <w:p w14:paraId="450271E1" w14:textId="2A3F2C63" w:rsidR="00AB4E57" w:rsidRDefault="00AB4E57" w:rsidP="00AB4E57">
      <w:pPr>
        <w:pStyle w:val="Caption"/>
        <w:keepNext/>
      </w:pPr>
      <w:bookmarkStart w:id="34" w:name="_Ref130543408"/>
      <w:bookmarkStart w:id="35" w:name="_Toc129946393"/>
      <w:bookmarkStart w:id="36" w:name="_Toc133322650"/>
      <w:r>
        <w:t xml:space="preserve">Table </w:t>
      </w:r>
      <w:bookmarkEnd w:id="34"/>
      <w:r w:rsidR="00047048">
        <w:t>10</w:t>
      </w:r>
      <w:r>
        <w:t xml:space="preserve">: </w:t>
      </w:r>
      <w:r w:rsidRPr="00F2307A">
        <w:t>Comparing fit of NMA and UME models for MSQ-PR</w:t>
      </w:r>
      <w:bookmarkEnd w:id="35"/>
      <w:bookmarkEnd w:id="36"/>
    </w:p>
    <w:tbl>
      <w:tblPr>
        <w:tblW w:w="3555" w:type="pct"/>
        <w:shd w:val="clear" w:color="auto" w:fill="FFFFFF"/>
        <w:tblLayout w:type="fixed"/>
        <w:tblLook w:val="04A0" w:firstRow="1" w:lastRow="0" w:firstColumn="1" w:lastColumn="0" w:noHBand="0" w:noVBand="1"/>
      </w:tblPr>
      <w:tblGrid>
        <w:gridCol w:w="2814"/>
        <w:gridCol w:w="2348"/>
        <w:gridCol w:w="751"/>
        <w:gridCol w:w="659"/>
      </w:tblGrid>
      <w:tr w:rsidR="00AB4E57" w:rsidRPr="00E12582" w14:paraId="569AFD04" w14:textId="77777777" w:rsidTr="00611803">
        <w:trPr>
          <w:trHeight w:val="454"/>
        </w:trPr>
        <w:tc>
          <w:tcPr>
            <w:tcW w:w="2142" w:type="pct"/>
            <w:tcBorders>
              <w:top w:val="single" w:sz="4" w:space="0" w:color="auto"/>
              <w:left w:val="single" w:sz="4" w:space="0" w:color="auto"/>
              <w:bottom w:val="single" w:sz="4" w:space="0" w:color="auto"/>
              <w:right w:val="nil"/>
            </w:tcBorders>
            <w:shd w:val="clear" w:color="auto" w:fill="FFFFFF"/>
            <w:noWrap/>
            <w:vAlign w:val="bottom"/>
            <w:hideMark/>
          </w:tcPr>
          <w:p w14:paraId="09D7AE51" w14:textId="77777777" w:rsidR="00AB4E57" w:rsidRPr="00951706" w:rsidRDefault="00AB4E57" w:rsidP="00611803">
            <w:pPr>
              <w:spacing w:line="240" w:lineRule="auto"/>
              <w:jc w:val="center"/>
              <w:rPr>
                <w:rFonts w:eastAsia="Times New Roman" w:cs="Calibri"/>
                <w:color w:val="000000"/>
                <w:sz w:val="20"/>
                <w:szCs w:val="20"/>
                <w:lang w:eastAsia="en-GB"/>
              </w:rPr>
            </w:pPr>
          </w:p>
        </w:tc>
        <w:tc>
          <w:tcPr>
            <w:tcW w:w="1786"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2470A48" w14:textId="77777777" w:rsidR="00AB4E57" w:rsidRPr="002266A5" w:rsidRDefault="00AB4E57" w:rsidP="00611803">
            <w:pPr>
              <w:spacing w:line="240" w:lineRule="auto"/>
              <w:jc w:val="center"/>
              <w:rPr>
                <w:rFonts w:eastAsia="Times New Roman" w:cs="Calibri"/>
                <w:b/>
                <w:bCs/>
                <w:color w:val="000000"/>
                <w:sz w:val="20"/>
                <w:szCs w:val="20"/>
                <w:lang w:eastAsia="en-GB"/>
              </w:rPr>
            </w:pPr>
            <w:r w:rsidRPr="002266A5">
              <w:rPr>
                <w:rFonts w:eastAsia="Times New Roman" w:cs="Calibri"/>
                <w:b/>
                <w:bCs/>
                <w:color w:val="000000"/>
                <w:sz w:val="20"/>
                <w:szCs w:val="20"/>
                <w:lang w:eastAsia="en-GB"/>
              </w:rPr>
              <w:t>Residual deviance (13 data points)</w:t>
            </w:r>
          </w:p>
        </w:tc>
        <w:tc>
          <w:tcPr>
            <w:tcW w:w="571" w:type="pct"/>
            <w:tcBorders>
              <w:top w:val="single" w:sz="4" w:space="0" w:color="auto"/>
              <w:left w:val="nil"/>
              <w:bottom w:val="single" w:sz="4" w:space="0" w:color="auto"/>
              <w:right w:val="single" w:sz="4" w:space="0" w:color="auto"/>
            </w:tcBorders>
            <w:shd w:val="clear" w:color="auto" w:fill="FFFFFF"/>
            <w:noWrap/>
            <w:vAlign w:val="bottom"/>
            <w:hideMark/>
          </w:tcPr>
          <w:p w14:paraId="6A62301D" w14:textId="77777777" w:rsidR="00AB4E57" w:rsidRPr="002266A5" w:rsidRDefault="00AB4E57" w:rsidP="00611803">
            <w:pPr>
              <w:spacing w:line="240" w:lineRule="auto"/>
              <w:jc w:val="center"/>
              <w:rPr>
                <w:rFonts w:eastAsia="Times New Roman" w:cs="Calibri"/>
                <w:b/>
                <w:bCs/>
                <w:color w:val="000000"/>
                <w:sz w:val="20"/>
                <w:szCs w:val="20"/>
                <w:lang w:eastAsia="en-GB"/>
              </w:rPr>
            </w:pPr>
            <w:r w:rsidRPr="002266A5">
              <w:rPr>
                <w:rFonts w:eastAsia="Times New Roman" w:cs="Calibri"/>
                <w:b/>
                <w:bCs/>
                <w:color w:val="000000"/>
                <w:sz w:val="20"/>
                <w:szCs w:val="20"/>
                <w:lang w:eastAsia="en-GB"/>
              </w:rPr>
              <w:t>pD*</w:t>
            </w:r>
          </w:p>
        </w:tc>
        <w:tc>
          <w:tcPr>
            <w:tcW w:w="501" w:type="pct"/>
            <w:tcBorders>
              <w:top w:val="single" w:sz="4" w:space="0" w:color="auto"/>
              <w:left w:val="nil"/>
              <w:bottom w:val="single" w:sz="4" w:space="0" w:color="auto"/>
              <w:right w:val="single" w:sz="4" w:space="0" w:color="auto"/>
            </w:tcBorders>
            <w:shd w:val="clear" w:color="auto" w:fill="FFFFFF"/>
            <w:vAlign w:val="bottom"/>
            <w:hideMark/>
          </w:tcPr>
          <w:p w14:paraId="53DCBF12" w14:textId="77777777" w:rsidR="00AB4E57" w:rsidRPr="002266A5" w:rsidRDefault="00AB4E57" w:rsidP="00611803">
            <w:pPr>
              <w:spacing w:line="240" w:lineRule="auto"/>
              <w:jc w:val="center"/>
              <w:rPr>
                <w:rFonts w:eastAsia="Times New Roman" w:cs="Calibri"/>
                <w:b/>
                <w:bCs/>
                <w:color w:val="000000"/>
                <w:sz w:val="20"/>
                <w:szCs w:val="20"/>
                <w:lang w:eastAsia="en-GB"/>
              </w:rPr>
            </w:pPr>
            <w:r w:rsidRPr="002266A5">
              <w:rPr>
                <w:rFonts w:eastAsia="Times New Roman" w:cs="Calibri"/>
                <w:b/>
                <w:bCs/>
                <w:color w:val="000000"/>
                <w:sz w:val="20"/>
                <w:szCs w:val="20"/>
                <w:lang w:eastAsia="en-GB"/>
              </w:rPr>
              <w:t>(DIC)**</w:t>
            </w:r>
          </w:p>
        </w:tc>
      </w:tr>
      <w:tr w:rsidR="00AB4E57" w:rsidRPr="00E12582" w14:paraId="20385EC8" w14:textId="77777777" w:rsidTr="00611803">
        <w:trPr>
          <w:trHeight w:val="335"/>
        </w:trPr>
        <w:tc>
          <w:tcPr>
            <w:tcW w:w="2142"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E95660" w14:textId="77777777" w:rsidR="00AB4E57" w:rsidRPr="00951706" w:rsidRDefault="00AB4E57" w:rsidP="00611803">
            <w:pPr>
              <w:spacing w:line="240" w:lineRule="auto"/>
              <w:jc w:val="center"/>
              <w:rPr>
                <w:rFonts w:eastAsia="Times New Roman" w:cs="Calibri"/>
                <w:color w:val="000000"/>
                <w:sz w:val="20"/>
                <w:szCs w:val="20"/>
                <w:lang w:eastAsia="en-GB"/>
              </w:rPr>
            </w:pPr>
            <w:r w:rsidRPr="00951706">
              <w:rPr>
                <w:rFonts w:eastAsia="Times New Roman" w:cs="Calibri"/>
                <w:color w:val="000000"/>
                <w:sz w:val="20"/>
                <w:szCs w:val="20"/>
                <w:lang w:eastAsia="en-GB"/>
              </w:rPr>
              <w:t>NMA (consistency) Model</w:t>
            </w:r>
          </w:p>
        </w:tc>
        <w:tc>
          <w:tcPr>
            <w:tcW w:w="1786" w:type="pct"/>
            <w:tcBorders>
              <w:top w:val="nil"/>
              <w:left w:val="nil"/>
              <w:bottom w:val="single" w:sz="4" w:space="0" w:color="auto"/>
              <w:right w:val="single" w:sz="4" w:space="0" w:color="auto"/>
            </w:tcBorders>
            <w:shd w:val="clear" w:color="auto" w:fill="FFFFFF"/>
            <w:noWrap/>
            <w:vAlign w:val="bottom"/>
          </w:tcPr>
          <w:p w14:paraId="1CA36523" w14:textId="77777777" w:rsidR="00AB4E57" w:rsidRPr="00951706" w:rsidRDefault="00AB4E57" w:rsidP="00611803">
            <w:pPr>
              <w:spacing w:line="240" w:lineRule="auto"/>
              <w:jc w:val="center"/>
              <w:rPr>
                <w:rFonts w:eastAsia="Times New Roman" w:cs="Calibri"/>
                <w:color w:val="000000"/>
                <w:sz w:val="20"/>
                <w:szCs w:val="20"/>
                <w:lang w:eastAsia="en-GB"/>
              </w:rPr>
            </w:pPr>
            <w:r>
              <w:rPr>
                <w:rFonts w:cs="Calibri"/>
                <w:color w:val="000000"/>
              </w:rPr>
              <w:t>13.1</w:t>
            </w:r>
          </w:p>
        </w:tc>
        <w:tc>
          <w:tcPr>
            <w:tcW w:w="571" w:type="pct"/>
            <w:tcBorders>
              <w:top w:val="nil"/>
              <w:left w:val="nil"/>
              <w:bottom w:val="single" w:sz="4" w:space="0" w:color="auto"/>
              <w:right w:val="single" w:sz="4" w:space="0" w:color="auto"/>
            </w:tcBorders>
            <w:shd w:val="clear" w:color="auto" w:fill="FFFFFF"/>
            <w:noWrap/>
            <w:vAlign w:val="bottom"/>
          </w:tcPr>
          <w:p w14:paraId="436BB566" w14:textId="77777777" w:rsidR="00AB4E57" w:rsidRPr="00951706" w:rsidRDefault="00AB4E57" w:rsidP="00611803">
            <w:pPr>
              <w:spacing w:line="240" w:lineRule="auto"/>
              <w:jc w:val="center"/>
              <w:rPr>
                <w:rFonts w:eastAsia="Times New Roman" w:cs="Calibri"/>
                <w:color w:val="000000"/>
                <w:sz w:val="20"/>
                <w:szCs w:val="20"/>
                <w:lang w:eastAsia="en-GB"/>
              </w:rPr>
            </w:pPr>
            <w:r>
              <w:rPr>
                <w:rFonts w:cs="Calibri"/>
                <w:color w:val="000000"/>
              </w:rPr>
              <w:t>13.1</w:t>
            </w:r>
          </w:p>
        </w:tc>
        <w:tc>
          <w:tcPr>
            <w:tcW w:w="501" w:type="pct"/>
            <w:tcBorders>
              <w:top w:val="nil"/>
              <w:left w:val="nil"/>
              <w:bottom w:val="single" w:sz="4" w:space="0" w:color="auto"/>
              <w:right w:val="single" w:sz="4" w:space="0" w:color="auto"/>
            </w:tcBorders>
            <w:shd w:val="clear" w:color="auto" w:fill="FFFFFF"/>
            <w:noWrap/>
            <w:vAlign w:val="bottom"/>
          </w:tcPr>
          <w:p w14:paraId="161AE10D" w14:textId="77777777" w:rsidR="00AB4E57" w:rsidRPr="00951706" w:rsidRDefault="00AB4E57" w:rsidP="00611803">
            <w:pPr>
              <w:spacing w:line="240" w:lineRule="auto"/>
              <w:jc w:val="center"/>
              <w:rPr>
                <w:rFonts w:eastAsia="Times New Roman" w:cs="Calibri"/>
                <w:color w:val="000000"/>
                <w:sz w:val="20"/>
                <w:szCs w:val="20"/>
                <w:lang w:eastAsia="en-GB"/>
              </w:rPr>
            </w:pPr>
            <w:r>
              <w:rPr>
                <w:rFonts w:cs="Calibri"/>
                <w:color w:val="000000"/>
              </w:rPr>
              <w:t>26.2</w:t>
            </w:r>
          </w:p>
        </w:tc>
      </w:tr>
      <w:tr w:rsidR="00AB4E57" w:rsidRPr="00E12582" w14:paraId="4A81D3BD" w14:textId="77777777" w:rsidTr="00611803">
        <w:trPr>
          <w:trHeight w:val="341"/>
        </w:trPr>
        <w:tc>
          <w:tcPr>
            <w:tcW w:w="2142" w:type="pct"/>
            <w:tcBorders>
              <w:top w:val="nil"/>
              <w:left w:val="single" w:sz="4" w:space="0" w:color="auto"/>
              <w:bottom w:val="single" w:sz="4" w:space="0" w:color="auto"/>
              <w:right w:val="single" w:sz="4" w:space="0" w:color="auto"/>
            </w:tcBorders>
            <w:shd w:val="clear" w:color="auto" w:fill="FFFFFF"/>
            <w:vAlign w:val="center"/>
            <w:hideMark/>
          </w:tcPr>
          <w:p w14:paraId="2D98D4D5" w14:textId="77777777" w:rsidR="00AB4E57" w:rsidRPr="00951706" w:rsidRDefault="00AB4E57" w:rsidP="00611803">
            <w:pPr>
              <w:spacing w:line="240" w:lineRule="auto"/>
              <w:jc w:val="center"/>
              <w:rPr>
                <w:rFonts w:eastAsia="Times New Roman" w:cs="Calibri"/>
                <w:color w:val="000000"/>
                <w:sz w:val="20"/>
                <w:szCs w:val="20"/>
                <w:lang w:eastAsia="en-GB"/>
              </w:rPr>
            </w:pPr>
            <w:r w:rsidRPr="00951706">
              <w:rPr>
                <w:rFonts w:eastAsia="Times New Roman" w:cs="Calibri"/>
                <w:color w:val="000000"/>
                <w:sz w:val="20"/>
                <w:szCs w:val="20"/>
                <w:lang w:eastAsia="en-GB"/>
              </w:rPr>
              <w:t>Unrelated Mean Effects (Inconsistency) Model</w:t>
            </w:r>
          </w:p>
        </w:tc>
        <w:tc>
          <w:tcPr>
            <w:tcW w:w="1786" w:type="pct"/>
            <w:tcBorders>
              <w:top w:val="nil"/>
              <w:left w:val="nil"/>
              <w:bottom w:val="single" w:sz="4" w:space="0" w:color="auto"/>
              <w:right w:val="single" w:sz="4" w:space="0" w:color="auto"/>
            </w:tcBorders>
            <w:shd w:val="clear" w:color="auto" w:fill="FFFFFF"/>
            <w:noWrap/>
            <w:vAlign w:val="bottom"/>
          </w:tcPr>
          <w:p w14:paraId="5B29AF5E" w14:textId="77777777" w:rsidR="00AB4E57" w:rsidRPr="00951706" w:rsidRDefault="00AB4E57" w:rsidP="00611803">
            <w:pPr>
              <w:spacing w:line="240" w:lineRule="auto"/>
              <w:jc w:val="center"/>
              <w:rPr>
                <w:rFonts w:eastAsia="Times New Roman" w:cs="Calibri"/>
                <w:color w:val="000000"/>
                <w:sz w:val="20"/>
                <w:szCs w:val="20"/>
                <w:lang w:eastAsia="en-GB"/>
              </w:rPr>
            </w:pPr>
            <w:r>
              <w:rPr>
                <w:rFonts w:cs="Calibri"/>
                <w:color w:val="000000"/>
              </w:rPr>
              <w:t>12.9</w:t>
            </w:r>
          </w:p>
        </w:tc>
        <w:tc>
          <w:tcPr>
            <w:tcW w:w="571" w:type="pct"/>
            <w:tcBorders>
              <w:top w:val="nil"/>
              <w:left w:val="nil"/>
              <w:bottom w:val="single" w:sz="4" w:space="0" w:color="auto"/>
              <w:right w:val="single" w:sz="4" w:space="0" w:color="auto"/>
            </w:tcBorders>
            <w:shd w:val="clear" w:color="auto" w:fill="FFFFFF"/>
            <w:noWrap/>
            <w:vAlign w:val="bottom"/>
          </w:tcPr>
          <w:p w14:paraId="693987A1" w14:textId="77777777" w:rsidR="00AB4E57" w:rsidRPr="00951706" w:rsidRDefault="00AB4E57" w:rsidP="00611803">
            <w:pPr>
              <w:spacing w:line="240" w:lineRule="auto"/>
              <w:jc w:val="center"/>
              <w:rPr>
                <w:rFonts w:eastAsia="Times New Roman" w:cs="Calibri"/>
                <w:color w:val="000000"/>
                <w:sz w:val="20"/>
                <w:szCs w:val="20"/>
                <w:lang w:eastAsia="en-GB"/>
              </w:rPr>
            </w:pPr>
            <w:r>
              <w:rPr>
                <w:rFonts w:cs="Calibri"/>
                <w:color w:val="000000"/>
              </w:rPr>
              <w:t>12.9</w:t>
            </w:r>
          </w:p>
        </w:tc>
        <w:tc>
          <w:tcPr>
            <w:tcW w:w="501" w:type="pct"/>
            <w:tcBorders>
              <w:top w:val="nil"/>
              <w:left w:val="nil"/>
              <w:bottom w:val="single" w:sz="4" w:space="0" w:color="auto"/>
              <w:right w:val="single" w:sz="4" w:space="0" w:color="auto"/>
            </w:tcBorders>
            <w:shd w:val="clear" w:color="auto" w:fill="FFFFFF"/>
            <w:noWrap/>
            <w:vAlign w:val="bottom"/>
          </w:tcPr>
          <w:p w14:paraId="5F152D90" w14:textId="77777777" w:rsidR="00AB4E57" w:rsidRPr="00951706" w:rsidRDefault="00AB4E57" w:rsidP="00611803">
            <w:pPr>
              <w:spacing w:line="240" w:lineRule="auto"/>
              <w:jc w:val="center"/>
              <w:rPr>
                <w:rFonts w:eastAsia="Times New Roman" w:cs="Calibri"/>
                <w:color w:val="000000"/>
                <w:sz w:val="20"/>
                <w:szCs w:val="20"/>
                <w:lang w:eastAsia="en-GB"/>
              </w:rPr>
            </w:pPr>
            <w:r>
              <w:rPr>
                <w:rFonts w:cs="Calibri"/>
                <w:color w:val="000000"/>
              </w:rPr>
              <w:t>25.8</w:t>
            </w:r>
          </w:p>
        </w:tc>
      </w:tr>
    </w:tbl>
    <w:p w14:paraId="71A4DF1C" w14:textId="77777777" w:rsidR="00AB4E57" w:rsidRPr="00E12582" w:rsidRDefault="00AB4E57" w:rsidP="00AB4E57">
      <w:pPr>
        <w:spacing w:line="240" w:lineRule="auto"/>
        <w:jc w:val="both"/>
        <w:rPr>
          <w:rFonts w:eastAsia="Calibri" w:cs="Calibri"/>
          <w:sz w:val="18"/>
          <w:szCs w:val="18"/>
          <w:lang w:eastAsia="en-GB"/>
        </w:rPr>
      </w:pPr>
      <w:r w:rsidRPr="00E12582">
        <w:rPr>
          <w:rFonts w:ascii="Times New Roman" w:eastAsia="Calibri" w:hAnsi="Times New Roman" w:cs="Times New Roman"/>
          <w:noProof/>
          <w:sz w:val="20"/>
          <w:szCs w:val="20"/>
          <w:lang w:val="en-US"/>
        </w:rPr>
        <w:t>*</w:t>
      </w:r>
      <w:r w:rsidRPr="00E12582">
        <w:rPr>
          <w:rFonts w:eastAsia="Calibri" w:cs="Calibri"/>
          <w:sz w:val="18"/>
          <w:szCs w:val="18"/>
          <w:lang w:eastAsia="en-GB"/>
        </w:rPr>
        <w:t>pD: sum of leverage, also known as the effective number of parameters and shows the model complexity.</w:t>
      </w:r>
    </w:p>
    <w:p w14:paraId="456874BD" w14:textId="77777777" w:rsidR="00AB4E57" w:rsidRDefault="00AB4E57" w:rsidP="00AB4E57">
      <w:pPr>
        <w:spacing w:line="240" w:lineRule="auto"/>
        <w:rPr>
          <w:rFonts w:eastAsia="Calibri" w:cs="Calibri"/>
          <w:sz w:val="18"/>
          <w:szCs w:val="18"/>
          <w:lang w:eastAsia="en-GB"/>
        </w:rPr>
      </w:pPr>
      <w:r w:rsidRPr="00E12582">
        <w:rPr>
          <w:rFonts w:eastAsia="Calibri" w:cs="Calibri"/>
          <w:sz w:val="18"/>
          <w:szCs w:val="18"/>
          <w:lang w:eastAsia="en-GB"/>
        </w:rPr>
        <w:t xml:space="preserve">**DIC: Deviance Information Criteria (DIC provides a measure of goodness of model fit that penalises model complexity, the lower is more fitted. </w:t>
      </w:r>
      <w:r>
        <w:rPr>
          <w:rFonts w:eastAsia="Calibri" w:cs="Calibri"/>
          <w:sz w:val="18"/>
          <w:szCs w:val="18"/>
          <w:lang w:eastAsia="en-GB"/>
        </w:rPr>
        <w:t>More than three difference is meaningful.</w:t>
      </w:r>
    </w:p>
    <w:p w14:paraId="3F4104CB" w14:textId="77777777" w:rsidR="00AB4E57" w:rsidRDefault="00AB4E57" w:rsidP="00AB4E57">
      <w:pPr>
        <w:spacing w:line="240" w:lineRule="auto"/>
        <w:rPr>
          <w:rFonts w:eastAsia="Calibri" w:cs="Calibri"/>
          <w:sz w:val="18"/>
          <w:szCs w:val="18"/>
          <w:lang w:eastAsia="en-GB"/>
        </w:rPr>
      </w:pPr>
    </w:p>
    <w:p w14:paraId="096D5FF2" w14:textId="77777777" w:rsidR="00AB4E57" w:rsidRDefault="00AB4E57" w:rsidP="00AB4E57">
      <w:pPr>
        <w:spacing w:line="240" w:lineRule="auto"/>
        <w:rPr>
          <w:rFonts w:eastAsia="Calibri" w:cs="Calibri"/>
          <w:sz w:val="18"/>
          <w:szCs w:val="18"/>
          <w:lang w:eastAsia="en-GB"/>
        </w:rPr>
      </w:pPr>
    </w:p>
    <w:p w14:paraId="5D103320" w14:textId="3C61A7C1" w:rsidR="00AB4E57" w:rsidRPr="0033752A" w:rsidRDefault="00AB4E57" w:rsidP="00AB4E57">
      <w:pPr>
        <w:spacing w:line="240" w:lineRule="auto"/>
        <w:rPr>
          <w:rFonts w:eastAsia="Calibri" w:cs="Calibri"/>
          <w:sz w:val="18"/>
          <w:szCs w:val="18"/>
          <w:lang w:eastAsia="en-GB"/>
        </w:rPr>
      </w:pPr>
      <w:r>
        <w:rPr>
          <w:noProof/>
          <w:lang w:val="en-US"/>
        </w:rPr>
        <w:drawing>
          <wp:inline distT="0" distB="0" distL="0" distR="0" wp14:anchorId="5AA64A48" wp14:editId="387C9535">
            <wp:extent cx="3409950" cy="2108200"/>
            <wp:effectExtent l="0" t="0" r="0" b="6350"/>
            <wp:docPr id="83" name="Picture 83" descr="Chart, line 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 scatter chart&#10;&#10;Description automatically generated"/>
                    <pic:cNvPicPr/>
                  </pic:nvPicPr>
                  <pic:blipFill>
                    <a:blip r:embed="rId23"/>
                    <a:stretch>
                      <a:fillRect/>
                    </a:stretch>
                  </pic:blipFill>
                  <pic:spPr>
                    <a:xfrm>
                      <a:off x="0" y="0"/>
                      <a:ext cx="3426387" cy="2118362"/>
                    </a:xfrm>
                    <a:prstGeom prst="rect">
                      <a:avLst/>
                    </a:prstGeom>
                  </pic:spPr>
                </pic:pic>
              </a:graphicData>
            </a:graphic>
          </wp:inline>
        </w:drawing>
      </w:r>
    </w:p>
    <w:p w14:paraId="51863980" w14:textId="77777777" w:rsidR="00AB4E57" w:rsidRPr="00F16733" w:rsidRDefault="00AB4E57" w:rsidP="00AB4E57">
      <w:pPr>
        <w:pStyle w:val="EndNoteBibliography"/>
        <w:keepNext/>
        <w:rPr>
          <w:sz w:val="20"/>
          <w:szCs w:val="20"/>
        </w:rPr>
      </w:pPr>
      <w:r w:rsidRPr="00F16733">
        <w:rPr>
          <w:sz w:val="20"/>
          <w:szCs w:val="20"/>
        </w:rPr>
        <w:t xml:space="preserve">Dev-Dev plot </w:t>
      </w:r>
      <w:r>
        <w:rPr>
          <w:sz w:val="20"/>
          <w:szCs w:val="20"/>
        </w:rPr>
        <w:t>to identify</w:t>
      </w:r>
      <w:r w:rsidRPr="006B53BE">
        <w:rPr>
          <w:sz w:val="20"/>
          <w:szCs w:val="20"/>
        </w:rPr>
        <w:t xml:space="preserve"> inconsistent data-points</w:t>
      </w:r>
      <w:r>
        <w:rPr>
          <w:sz w:val="20"/>
          <w:szCs w:val="20"/>
        </w:rPr>
        <w:t xml:space="preserve">, </w:t>
      </w:r>
      <w:r w:rsidRPr="00F16733">
        <w:rPr>
          <w:sz w:val="20"/>
          <w:szCs w:val="20"/>
        </w:rPr>
        <w:t>the data points are scattered in a further distance from the bivector form the origin, they</w:t>
      </w:r>
      <w:r>
        <w:rPr>
          <w:sz w:val="20"/>
          <w:szCs w:val="20"/>
        </w:rPr>
        <w:t xml:space="preserve"> shows being</w:t>
      </w:r>
      <w:r w:rsidRPr="00F16733">
        <w:rPr>
          <w:sz w:val="20"/>
          <w:szCs w:val="20"/>
        </w:rPr>
        <w:t xml:space="preserve"> source of inconsistency.</w:t>
      </w:r>
    </w:p>
    <w:p w14:paraId="2558CC67" w14:textId="41DA90FB" w:rsidR="00AB4E57" w:rsidRDefault="00AB4E57" w:rsidP="00AB4E57">
      <w:pPr>
        <w:pStyle w:val="Caption"/>
      </w:pPr>
      <w:bookmarkStart w:id="37" w:name="_Ref130541630"/>
      <w:bookmarkStart w:id="38" w:name="_Toc129946469"/>
      <w:bookmarkStart w:id="39" w:name="_Toc133322749"/>
      <w:r>
        <w:t xml:space="preserve">Figure </w:t>
      </w:r>
      <w:bookmarkEnd w:id="37"/>
      <w:r w:rsidR="00047048">
        <w:t>10</w:t>
      </w:r>
      <w:r>
        <w:t xml:space="preserve">: </w:t>
      </w:r>
      <w:r w:rsidRPr="00080D89">
        <w:t>Global Consistency Test for mean change in MSQ-PR from baseline (Unrelated Mean Effects (Inconsistency) Model and Fixed NMA model)</w:t>
      </w:r>
      <w:bookmarkEnd w:id="38"/>
      <w:bookmarkEnd w:id="39"/>
    </w:p>
    <w:p w14:paraId="040357D4" w14:textId="77777777" w:rsidR="0096453D" w:rsidRDefault="0096453D" w:rsidP="00AB4E57">
      <w:pPr>
        <w:rPr>
          <w:rFonts w:cstheme="minorHAnsi"/>
          <w:noProof/>
          <w:sz w:val="18"/>
          <w:szCs w:val="18"/>
        </w:rPr>
      </w:pPr>
    </w:p>
    <w:p w14:paraId="5AF4EA0F" w14:textId="77777777" w:rsidR="0096453D" w:rsidRDefault="0096453D" w:rsidP="0096453D"/>
    <w:p w14:paraId="570D0CE4" w14:textId="77777777" w:rsidR="00070E7D" w:rsidRDefault="00070E7D" w:rsidP="0096453D"/>
    <w:p w14:paraId="7644B2A0" w14:textId="77777777" w:rsidR="0096453D" w:rsidRDefault="0096453D" w:rsidP="0096453D"/>
    <w:p w14:paraId="56AD544C" w14:textId="77777777" w:rsidR="0096453D" w:rsidRDefault="0096453D" w:rsidP="0096453D"/>
    <w:tbl>
      <w:tblPr>
        <w:tblStyle w:val="TableGrid"/>
        <w:tblW w:w="0" w:type="auto"/>
        <w:tblLook w:val="04A0" w:firstRow="1" w:lastRow="0" w:firstColumn="1" w:lastColumn="0" w:noHBand="0" w:noVBand="1"/>
      </w:tblPr>
      <w:tblGrid>
        <w:gridCol w:w="9017"/>
      </w:tblGrid>
      <w:tr w:rsidR="0096453D" w14:paraId="32C1E532" w14:textId="77777777" w:rsidTr="00611803">
        <w:tc>
          <w:tcPr>
            <w:tcW w:w="9017" w:type="dxa"/>
            <w:vAlign w:val="bottom"/>
          </w:tcPr>
          <w:p w14:paraId="00C4373E" w14:textId="77777777" w:rsidR="0096453D" w:rsidRDefault="0096453D" w:rsidP="00611803">
            <w:pPr>
              <w:jc w:val="center"/>
              <w:rPr>
                <w:rFonts w:cs="Calibri"/>
                <w:noProof/>
                <w:lang w:val="en-US"/>
              </w:rPr>
            </w:pPr>
            <w:r w:rsidRPr="00C34F7A">
              <w:rPr>
                <w:rFonts w:asciiTheme="majorBidi" w:hAnsiTheme="majorBidi" w:cstheme="majorBidi"/>
                <w:noProof/>
                <w:sz w:val="24"/>
                <w:szCs w:val="24"/>
                <w:lang w:val="en-US"/>
              </w:rPr>
              <w:lastRenderedPageBreak/>
              <mc:AlternateContent>
                <mc:Choice Requires="wps">
                  <w:drawing>
                    <wp:anchor distT="0" distB="0" distL="114300" distR="114300" simplePos="0" relativeHeight="251689984" behindDoc="0" locked="0" layoutInCell="1" allowOverlap="1" wp14:anchorId="0A903084" wp14:editId="58A1EC40">
                      <wp:simplePos x="0" y="0"/>
                      <wp:positionH relativeFrom="column">
                        <wp:posOffset>-6350</wp:posOffset>
                      </wp:positionH>
                      <wp:positionV relativeFrom="paragraph">
                        <wp:posOffset>5715</wp:posOffset>
                      </wp:positionV>
                      <wp:extent cx="268414" cy="274960"/>
                      <wp:effectExtent l="0" t="0" r="17780" b="10795"/>
                      <wp:wrapNone/>
                      <wp:docPr id="55" name="Flowchart: Connector 55"/>
                      <wp:cNvGraphicFramePr/>
                      <a:graphic xmlns:a="http://schemas.openxmlformats.org/drawingml/2006/main">
                        <a:graphicData uri="http://schemas.microsoft.com/office/word/2010/wordprocessingShape">
                          <wps:wsp>
                            <wps:cNvSpPr/>
                            <wps:spPr>
                              <a:xfrm>
                                <a:off x="0" y="0"/>
                                <a:ext cx="268414" cy="274960"/>
                              </a:xfrm>
                              <a:prstGeom prst="flowChartConnector">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0F4D2314" w14:textId="77777777" w:rsidR="0096453D" w:rsidRPr="00CB5AED" w:rsidRDefault="0096453D" w:rsidP="0096453D">
                                  <w:pPr>
                                    <w:jc w:val="center"/>
                                    <w:rPr>
                                      <w:rFonts w:cstheme="minorHAnsi"/>
                                      <w:b/>
                                      <w:bCs/>
                                      <w:sz w:val="6"/>
                                      <w:szCs w:val="6"/>
                                    </w:rPr>
                                  </w:pPr>
                                  <w:r w:rsidRPr="00CB5AED">
                                    <w:rPr>
                                      <w:rFonts w:cstheme="minorHAnsi"/>
                                      <w:b/>
                                      <w:bCs/>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903084" id="Flowchart: Connector 55" o:spid="_x0000_s1030" type="#_x0000_t120" style="position:absolute;left:0;text-align:left;margin-left:-.5pt;margin-top:.45pt;width:21.15pt;height:2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" fillcolor="#b1cbe9" strokecolor="#5b9bd5" strokeweight=".5pt">
                      <v:fill color2="#92b9e4" rotate="t" colors="0 #b1cbe9;.5 #a3c1e5;1 #92b9e4" focus="100%" type="gradient">
                        <o:fill v:ext="view" type="gradientUnscaled"/>
                      </v:fill>
                      <v:stroke joinstyle="miter"/>
                      <v:textbox>
                        <w:txbxContent>
                          <w:p w14:paraId="0F4D2314" w14:textId="77777777" w:rsidR="0096453D" w:rsidRPr="00CB5AED" w:rsidRDefault="0096453D" w:rsidP="0096453D">
                            <w:pPr>
                              <w:jc w:val="center"/>
                              <w:rPr>
                                <w:rFonts w:cstheme="minorHAnsi"/>
                                <w:b/>
                                <w:bCs/>
                                <w:sz w:val="6"/>
                                <w:szCs w:val="6"/>
                              </w:rPr>
                            </w:pPr>
                            <w:r w:rsidRPr="00CB5AED">
                              <w:rPr>
                                <w:rFonts w:cstheme="minorHAnsi"/>
                                <w:b/>
                                <w:bCs/>
                                <w:sz w:val="16"/>
                                <w:szCs w:val="16"/>
                              </w:rPr>
                              <w:t>A</w:t>
                            </w:r>
                          </w:p>
                        </w:txbxContent>
                      </v:textbox>
                    </v:shape>
                  </w:pict>
                </mc:Fallback>
              </mc:AlternateContent>
            </w:r>
          </w:p>
          <w:p w14:paraId="0287E752" w14:textId="77777777" w:rsidR="0096453D" w:rsidRDefault="0096453D" w:rsidP="00611803">
            <w:pPr>
              <w:jc w:val="center"/>
              <w:rPr>
                <w:rFonts w:cs="Calibri"/>
                <w:noProof/>
                <w:lang w:val="en-US"/>
              </w:rPr>
            </w:pPr>
            <w:r w:rsidRPr="00C34F7A">
              <w:rPr>
                <w:rFonts w:asciiTheme="majorBidi" w:hAnsiTheme="majorBidi" w:cstheme="majorBidi"/>
                <w:noProof/>
                <w:sz w:val="24"/>
                <w:szCs w:val="24"/>
                <w:lang w:val="en-US"/>
              </w:rPr>
              <mc:AlternateContent>
                <mc:Choice Requires="wps">
                  <w:drawing>
                    <wp:anchor distT="0" distB="0" distL="114300" distR="114300" simplePos="0" relativeHeight="251688960" behindDoc="0" locked="0" layoutInCell="1" allowOverlap="1" wp14:anchorId="56F14B36" wp14:editId="01DF290B">
                      <wp:simplePos x="0" y="0"/>
                      <wp:positionH relativeFrom="column">
                        <wp:posOffset>-28575</wp:posOffset>
                      </wp:positionH>
                      <wp:positionV relativeFrom="paragraph">
                        <wp:posOffset>1885950</wp:posOffset>
                      </wp:positionV>
                      <wp:extent cx="267970" cy="274955"/>
                      <wp:effectExtent l="0" t="0" r="17780" b="10795"/>
                      <wp:wrapNone/>
                      <wp:docPr id="62" name="Flowchart: Connector 62"/>
                      <wp:cNvGraphicFramePr/>
                      <a:graphic xmlns:a="http://schemas.openxmlformats.org/drawingml/2006/main">
                        <a:graphicData uri="http://schemas.microsoft.com/office/word/2010/wordprocessingShape">
                          <wps:wsp>
                            <wps:cNvSpPr/>
                            <wps:spPr>
                              <a:xfrm>
                                <a:off x="0" y="0"/>
                                <a:ext cx="267970" cy="274955"/>
                              </a:xfrm>
                              <a:prstGeom prst="flowChartConnector">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1D477F8C" w14:textId="77777777" w:rsidR="0096453D" w:rsidRPr="00CB5AED" w:rsidRDefault="0096453D" w:rsidP="0096453D">
                                  <w:pPr>
                                    <w:jc w:val="center"/>
                                    <w:rPr>
                                      <w:rFonts w:cstheme="minorHAnsi"/>
                                      <w:b/>
                                      <w:bCs/>
                                      <w:sz w:val="6"/>
                                      <w:szCs w:val="6"/>
                                    </w:rPr>
                                  </w:pPr>
                                  <w:r>
                                    <w:rPr>
                                      <w:rFonts w:cstheme="minorHAnsi"/>
                                      <w:b/>
                                      <w:bCs/>
                                      <w:sz w:val="16"/>
                                      <w:szCs w:val="16"/>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F14B36" id="Flowchart: Connector 62" o:spid="_x0000_s1031" type="#_x0000_t120" style="position:absolute;left:0;text-align:left;margin-left:-2.25pt;margin-top:148.5pt;width:21.1pt;height:21.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" fillcolor="#b1cbe9" strokecolor="#5b9bd5" strokeweight=".5pt">
                      <v:fill color2="#92b9e4" rotate="t" colors="0 #b1cbe9;.5 #a3c1e5;1 #92b9e4" focus="100%" type="gradient">
                        <o:fill v:ext="view" type="gradientUnscaled"/>
                      </v:fill>
                      <v:stroke joinstyle="miter"/>
                      <v:textbox>
                        <w:txbxContent>
                          <w:p w14:paraId="1D477F8C" w14:textId="77777777" w:rsidR="0096453D" w:rsidRPr="00CB5AED" w:rsidRDefault="0096453D" w:rsidP="0096453D">
                            <w:pPr>
                              <w:jc w:val="center"/>
                              <w:rPr>
                                <w:rFonts w:cstheme="minorHAnsi"/>
                                <w:b/>
                                <w:bCs/>
                                <w:sz w:val="6"/>
                                <w:szCs w:val="6"/>
                              </w:rPr>
                            </w:pPr>
                            <w:r>
                              <w:rPr>
                                <w:rFonts w:cstheme="minorHAnsi"/>
                                <w:b/>
                                <w:bCs/>
                                <w:sz w:val="16"/>
                                <w:szCs w:val="16"/>
                              </w:rPr>
                              <w:t>B</w:t>
                            </w:r>
                          </w:p>
                        </w:txbxContent>
                      </v:textbox>
                    </v:shape>
                  </w:pict>
                </mc:Fallback>
              </mc:AlternateContent>
            </w:r>
            <w:r>
              <w:rPr>
                <w:noProof/>
                <w:lang w:val="en-US"/>
              </w:rPr>
              <w:drawing>
                <wp:inline distT="0" distB="0" distL="0" distR="0" wp14:anchorId="693636FA" wp14:editId="5FE80690">
                  <wp:extent cx="5073650" cy="1956122"/>
                  <wp:effectExtent l="0" t="0" r="0" b="6350"/>
                  <wp:docPr id="3235" name="Picture 323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1" name="Picture 3231" descr="Chart, scatter chart&#10;&#10;Description automatically generated"/>
                          <pic:cNvPicPr/>
                        </pic:nvPicPr>
                        <pic:blipFill>
                          <a:blip r:embed="rId24"/>
                          <a:stretch>
                            <a:fillRect/>
                          </a:stretch>
                        </pic:blipFill>
                        <pic:spPr>
                          <a:xfrm>
                            <a:off x="0" y="0"/>
                            <a:ext cx="5077373" cy="1957557"/>
                          </a:xfrm>
                          <a:prstGeom prst="rect">
                            <a:avLst/>
                          </a:prstGeom>
                        </pic:spPr>
                      </pic:pic>
                    </a:graphicData>
                  </a:graphic>
                </wp:inline>
              </w:drawing>
            </w:r>
            <w:r>
              <w:rPr>
                <w:noProof/>
                <w:lang w:val="en-US"/>
              </w:rPr>
              <w:drawing>
                <wp:inline distT="0" distB="0" distL="0" distR="0" wp14:anchorId="6350A8D0" wp14:editId="28691FFC">
                  <wp:extent cx="5476875" cy="1770927"/>
                  <wp:effectExtent l="0" t="0" r="0" b="1270"/>
                  <wp:docPr id="3238" name="Picture 323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 name="Picture 3238" descr="Chart, bar chart&#10;&#10;Description automatically generated"/>
                          <pic:cNvPicPr/>
                        </pic:nvPicPr>
                        <pic:blipFill>
                          <a:blip r:embed="rId25"/>
                          <a:stretch>
                            <a:fillRect/>
                          </a:stretch>
                        </pic:blipFill>
                        <pic:spPr>
                          <a:xfrm>
                            <a:off x="0" y="0"/>
                            <a:ext cx="5489008" cy="1774850"/>
                          </a:xfrm>
                          <a:prstGeom prst="rect">
                            <a:avLst/>
                          </a:prstGeom>
                        </pic:spPr>
                      </pic:pic>
                    </a:graphicData>
                  </a:graphic>
                </wp:inline>
              </w:drawing>
            </w:r>
          </w:p>
        </w:tc>
      </w:tr>
      <w:tr w:rsidR="0096453D" w14:paraId="0BA656B7" w14:textId="77777777" w:rsidTr="00611803">
        <w:tc>
          <w:tcPr>
            <w:tcW w:w="9017" w:type="dxa"/>
          </w:tcPr>
          <w:p w14:paraId="53827B2D" w14:textId="77777777" w:rsidR="0096453D" w:rsidRPr="00B5738C" w:rsidRDefault="0096453D" w:rsidP="00611803">
            <w:pPr>
              <w:pStyle w:val="EndNoteBibliography"/>
              <w:tabs>
                <w:tab w:val="left" w:pos="993"/>
              </w:tabs>
              <w:jc w:val="both"/>
              <w:rPr>
                <w:rFonts w:asciiTheme="minorHAnsi" w:hAnsiTheme="minorHAnsi" w:cstheme="minorHAnsi"/>
                <w:sz w:val="18"/>
                <w:szCs w:val="18"/>
              </w:rPr>
            </w:pPr>
            <w:r>
              <w:rPr>
                <w:rFonts w:asciiTheme="minorHAnsi" w:hAnsiTheme="minorHAnsi" w:cstheme="minorHAnsi"/>
                <w:sz w:val="18"/>
                <w:szCs w:val="18"/>
              </w:rPr>
              <w:t>A</w:t>
            </w:r>
            <w:r w:rsidRPr="00B5738C">
              <w:rPr>
                <w:rFonts w:asciiTheme="minorHAnsi" w:hAnsiTheme="minorHAnsi" w:cstheme="minorHAnsi"/>
                <w:sz w:val="18"/>
                <w:szCs w:val="18"/>
              </w:rPr>
              <w:t xml:space="preserve">  - The forest plot shows the mean difference (MDs) and 95% credible interval (CrI) compared with placebo as reference treatment. MDs lower than 0 indicate favoured results for the intervention.</w:t>
            </w:r>
          </w:p>
          <w:p w14:paraId="4FBC4DE4" w14:textId="77777777" w:rsidR="0096453D" w:rsidRPr="00B5738C" w:rsidRDefault="0096453D" w:rsidP="00611803">
            <w:pPr>
              <w:pStyle w:val="EndNoteBibliography"/>
              <w:tabs>
                <w:tab w:val="left" w:pos="993"/>
              </w:tabs>
              <w:jc w:val="both"/>
              <w:rPr>
                <w:rFonts w:asciiTheme="minorHAnsi" w:hAnsiTheme="minorHAnsi" w:cstheme="minorHAnsi"/>
                <w:sz w:val="18"/>
                <w:szCs w:val="18"/>
              </w:rPr>
            </w:pPr>
            <w:r>
              <w:rPr>
                <w:rFonts w:asciiTheme="minorHAnsi" w:hAnsiTheme="minorHAnsi" w:cstheme="minorHAnsi"/>
                <w:sz w:val="18"/>
                <w:szCs w:val="18"/>
              </w:rPr>
              <w:t>B</w:t>
            </w:r>
            <w:r w:rsidRPr="00B5738C">
              <w:rPr>
                <w:rFonts w:asciiTheme="minorHAnsi" w:hAnsiTheme="minorHAnsi" w:cstheme="minorHAnsi"/>
                <w:sz w:val="18"/>
                <w:szCs w:val="18"/>
              </w:rPr>
              <w:t xml:space="preserve"> - Ranking probabilities graph (hatching blue bars) of each treatment and red bars are the SUCRA values for each treatment. The probabilities ranking ranged from 0 to 1. Due to rounding in R software these do not equate to one.</w:t>
            </w:r>
          </w:p>
          <w:p w14:paraId="06051293" w14:textId="77777777" w:rsidR="0096453D" w:rsidRPr="00023728" w:rsidRDefault="0096453D" w:rsidP="00611803">
            <w:pPr>
              <w:keepNext/>
              <w:jc w:val="both"/>
              <w:rPr>
                <w:rFonts w:cs="Calibri"/>
                <w:noProof/>
                <w:color w:val="FF0000"/>
                <w:lang w:val="en-US"/>
              </w:rPr>
            </w:pPr>
            <w:r w:rsidRPr="00B5738C">
              <w:rPr>
                <w:rFonts w:cstheme="minorHAnsi"/>
                <w:noProof/>
                <w:sz w:val="18"/>
                <w:szCs w:val="18"/>
                <w:lang w:val="en-US"/>
              </w:rPr>
              <w:t xml:space="preserve">Abbreviations: </w:t>
            </w:r>
            <w:r w:rsidRPr="00B5738C">
              <w:rPr>
                <w:rFonts w:cstheme="minorHAnsi"/>
                <w:sz w:val="18"/>
                <w:szCs w:val="18"/>
              </w:rPr>
              <w:t>MSQ-EF, Migraine Specific Quality of Life - Emotional Function; SUCRA, surface under the cumulative ranking curve.</w:t>
            </w:r>
          </w:p>
        </w:tc>
      </w:tr>
    </w:tbl>
    <w:p w14:paraId="77E061E0" w14:textId="7D734644" w:rsidR="0096453D" w:rsidRPr="0096453D" w:rsidRDefault="0096453D" w:rsidP="0096453D">
      <w:pPr>
        <w:rPr>
          <w:b/>
          <w:bCs/>
        </w:rPr>
      </w:pPr>
      <w:bookmarkStart w:id="40" w:name="_Ref116491088"/>
      <w:bookmarkStart w:id="41" w:name="_Toc133322726"/>
      <w:r w:rsidRPr="00753E7C">
        <w:rPr>
          <w:b/>
          <w:bCs/>
        </w:rPr>
        <w:t xml:space="preserve">Figure </w:t>
      </w:r>
      <w:bookmarkEnd w:id="40"/>
      <w:r>
        <w:rPr>
          <w:b/>
          <w:bCs/>
        </w:rPr>
        <w:t>1</w:t>
      </w:r>
      <w:r w:rsidR="00047048">
        <w:rPr>
          <w:b/>
          <w:bCs/>
        </w:rPr>
        <w:t>1</w:t>
      </w:r>
      <w:r w:rsidRPr="00753E7C">
        <w:rPr>
          <w:b/>
          <w:bCs/>
        </w:rPr>
        <w:t>: Summary of the Change in MSQ-EF from baseline</w:t>
      </w:r>
      <w:bookmarkEnd w:id="41"/>
    </w:p>
    <w:p w14:paraId="7617BA32" w14:textId="77777777" w:rsidR="0096453D" w:rsidRPr="00047048" w:rsidRDefault="0096453D" w:rsidP="0096453D">
      <w:pPr>
        <w:rPr>
          <w:rFonts w:cstheme="minorHAnsi"/>
          <w:noProof/>
          <w:sz w:val="18"/>
          <w:szCs w:val="18"/>
        </w:rPr>
      </w:pPr>
    </w:p>
    <w:p w14:paraId="074EF8B1" w14:textId="395BEB7A" w:rsidR="0096453D" w:rsidRDefault="0096453D" w:rsidP="0096453D">
      <w:pPr>
        <w:pStyle w:val="Caption"/>
        <w:keepNext/>
      </w:pPr>
      <w:bookmarkStart w:id="42" w:name="_Ref130539159"/>
      <w:bookmarkStart w:id="43" w:name="_Toc129946394"/>
      <w:bookmarkStart w:id="44" w:name="_Toc133322651"/>
      <w:r>
        <w:t xml:space="preserve">Table </w:t>
      </w:r>
      <w:bookmarkEnd w:id="42"/>
      <w:r>
        <w:t>1</w:t>
      </w:r>
      <w:r w:rsidR="00047048">
        <w:t>1</w:t>
      </w:r>
      <w:r>
        <w:t xml:space="preserve">: </w:t>
      </w:r>
      <w:r w:rsidRPr="00AD6D3F">
        <w:t>The model fit result for mean change in MSQ-EF from baseline</w:t>
      </w:r>
      <w:bookmarkEnd w:id="43"/>
      <w:bookmarkEnd w:id="44"/>
    </w:p>
    <w:tbl>
      <w:tblPr>
        <w:tblStyle w:val="TableGrid"/>
        <w:tblW w:w="0" w:type="auto"/>
        <w:tblInd w:w="5" w:type="dxa"/>
        <w:tblLook w:val="04A0" w:firstRow="1" w:lastRow="0" w:firstColumn="1" w:lastColumn="0" w:noHBand="0" w:noVBand="1"/>
      </w:tblPr>
      <w:tblGrid>
        <w:gridCol w:w="2253"/>
        <w:gridCol w:w="3407"/>
        <w:gridCol w:w="2127"/>
        <w:gridCol w:w="1225"/>
      </w:tblGrid>
      <w:tr w:rsidR="0096453D" w:rsidRPr="00E12582" w14:paraId="346A38BF" w14:textId="77777777" w:rsidTr="00611803">
        <w:tc>
          <w:tcPr>
            <w:tcW w:w="2253" w:type="dxa"/>
            <w:tcBorders>
              <w:top w:val="single" w:sz="4" w:space="0" w:color="auto"/>
              <w:left w:val="single" w:sz="4" w:space="0" w:color="auto"/>
            </w:tcBorders>
          </w:tcPr>
          <w:p w14:paraId="7BA760C2" w14:textId="77777777" w:rsidR="0096453D" w:rsidRPr="00F16733" w:rsidRDefault="0096453D" w:rsidP="00611803">
            <w:pPr>
              <w:tabs>
                <w:tab w:val="left" w:pos="1020"/>
              </w:tabs>
              <w:rPr>
                <w:rFonts w:eastAsia="Calibri" w:cs="Arial"/>
                <w:sz w:val="20"/>
                <w:szCs w:val="20"/>
              </w:rPr>
            </w:pPr>
          </w:p>
        </w:tc>
        <w:tc>
          <w:tcPr>
            <w:tcW w:w="3407" w:type="dxa"/>
          </w:tcPr>
          <w:p w14:paraId="5F37F719" w14:textId="77777777" w:rsidR="0096453D" w:rsidRPr="00F16733" w:rsidRDefault="0096453D" w:rsidP="00611803">
            <w:pPr>
              <w:tabs>
                <w:tab w:val="left" w:pos="1020"/>
              </w:tabs>
              <w:jc w:val="center"/>
              <w:rPr>
                <w:rFonts w:eastAsia="Calibri" w:cs="Arial"/>
                <w:sz w:val="20"/>
                <w:szCs w:val="20"/>
              </w:rPr>
            </w:pPr>
            <w:r w:rsidRPr="00F16733">
              <w:rPr>
                <w:rFonts w:eastAsia="Calibri" w:cs="Arial"/>
                <w:sz w:val="20"/>
                <w:szCs w:val="20"/>
              </w:rPr>
              <w:t>Residual deviance (</w:t>
            </w:r>
            <w:r>
              <w:rPr>
                <w:rFonts w:eastAsia="Calibri" w:cs="Arial"/>
                <w:sz w:val="20"/>
                <w:szCs w:val="20"/>
              </w:rPr>
              <w:t>13</w:t>
            </w:r>
            <w:r w:rsidRPr="00F16733">
              <w:rPr>
                <w:rFonts w:eastAsia="Calibri" w:cs="Arial"/>
                <w:sz w:val="20"/>
                <w:szCs w:val="20"/>
              </w:rPr>
              <w:t xml:space="preserve"> data points)</w:t>
            </w:r>
          </w:p>
        </w:tc>
        <w:tc>
          <w:tcPr>
            <w:tcW w:w="2127" w:type="dxa"/>
          </w:tcPr>
          <w:p w14:paraId="010F6768" w14:textId="77777777" w:rsidR="0096453D" w:rsidRPr="00F16733" w:rsidRDefault="0096453D" w:rsidP="00611803">
            <w:pPr>
              <w:tabs>
                <w:tab w:val="left" w:pos="1020"/>
              </w:tabs>
              <w:jc w:val="center"/>
              <w:rPr>
                <w:rFonts w:eastAsia="Calibri" w:cs="Arial"/>
                <w:sz w:val="20"/>
                <w:szCs w:val="20"/>
              </w:rPr>
            </w:pPr>
            <w:r w:rsidRPr="00F16733">
              <w:rPr>
                <w:rFonts w:eastAsia="Calibri" w:cs="Arial"/>
                <w:sz w:val="20"/>
                <w:szCs w:val="20"/>
              </w:rPr>
              <w:t>pD*</w:t>
            </w:r>
          </w:p>
        </w:tc>
        <w:tc>
          <w:tcPr>
            <w:tcW w:w="1225" w:type="dxa"/>
          </w:tcPr>
          <w:p w14:paraId="46FEB4C8" w14:textId="77777777" w:rsidR="0096453D" w:rsidRPr="00F16733" w:rsidRDefault="0096453D" w:rsidP="00611803">
            <w:pPr>
              <w:tabs>
                <w:tab w:val="left" w:pos="1020"/>
              </w:tabs>
              <w:jc w:val="center"/>
              <w:rPr>
                <w:rFonts w:eastAsia="Calibri" w:cs="Arial"/>
                <w:sz w:val="20"/>
                <w:szCs w:val="20"/>
              </w:rPr>
            </w:pPr>
            <w:r w:rsidRPr="00F16733">
              <w:rPr>
                <w:rFonts w:eastAsia="Calibri" w:cs="Arial"/>
                <w:sz w:val="20"/>
                <w:szCs w:val="20"/>
              </w:rPr>
              <w:t>DIC**</w:t>
            </w:r>
          </w:p>
        </w:tc>
      </w:tr>
      <w:tr w:rsidR="0096453D" w:rsidRPr="00E12582" w14:paraId="1F271B1A" w14:textId="77777777" w:rsidTr="00611803">
        <w:tc>
          <w:tcPr>
            <w:tcW w:w="2253" w:type="dxa"/>
          </w:tcPr>
          <w:p w14:paraId="6A0FBF64" w14:textId="77777777" w:rsidR="0096453D" w:rsidRPr="00F16733" w:rsidRDefault="0096453D" w:rsidP="00611803">
            <w:pPr>
              <w:tabs>
                <w:tab w:val="left" w:pos="1020"/>
              </w:tabs>
              <w:rPr>
                <w:rFonts w:eastAsia="Calibri" w:cs="Arial"/>
                <w:sz w:val="20"/>
                <w:szCs w:val="20"/>
              </w:rPr>
            </w:pPr>
            <w:r w:rsidRPr="00F16733">
              <w:rPr>
                <w:rFonts w:eastAsia="Calibri" w:cs="Arial"/>
                <w:sz w:val="20"/>
                <w:szCs w:val="20"/>
              </w:rPr>
              <w:t>Fixed model</w:t>
            </w:r>
          </w:p>
        </w:tc>
        <w:tc>
          <w:tcPr>
            <w:tcW w:w="3407" w:type="dxa"/>
            <w:vAlign w:val="center"/>
          </w:tcPr>
          <w:p w14:paraId="792E4E85" w14:textId="77777777" w:rsidR="0096453D" w:rsidRPr="00F16733" w:rsidRDefault="0096453D" w:rsidP="00611803">
            <w:pPr>
              <w:tabs>
                <w:tab w:val="left" w:pos="1020"/>
              </w:tabs>
              <w:jc w:val="center"/>
              <w:rPr>
                <w:rFonts w:eastAsia="Calibri" w:cs="Arial"/>
                <w:sz w:val="20"/>
                <w:szCs w:val="20"/>
              </w:rPr>
            </w:pPr>
            <w:r>
              <w:rPr>
                <w:rFonts w:cs="Calibri"/>
                <w:color w:val="000000"/>
              </w:rPr>
              <w:t>13</w:t>
            </w:r>
          </w:p>
        </w:tc>
        <w:tc>
          <w:tcPr>
            <w:tcW w:w="2127" w:type="dxa"/>
            <w:vAlign w:val="center"/>
          </w:tcPr>
          <w:p w14:paraId="00873370" w14:textId="77777777" w:rsidR="0096453D" w:rsidRPr="00F16733" w:rsidRDefault="0096453D" w:rsidP="00611803">
            <w:pPr>
              <w:tabs>
                <w:tab w:val="left" w:pos="1020"/>
              </w:tabs>
              <w:jc w:val="center"/>
              <w:rPr>
                <w:rFonts w:eastAsia="Calibri" w:cs="Arial"/>
                <w:sz w:val="20"/>
                <w:szCs w:val="20"/>
              </w:rPr>
            </w:pPr>
            <w:r>
              <w:rPr>
                <w:rFonts w:cs="Calibri"/>
                <w:color w:val="000000"/>
              </w:rPr>
              <w:t>13</w:t>
            </w:r>
          </w:p>
        </w:tc>
        <w:tc>
          <w:tcPr>
            <w:tcW w:w="1225" w:type="dxa"/>
            <w:vAlign w:val="center"/>
          </w:tcPr>
          <w:p w14:paraId="5DCD118C" w14:textId="77777777" w:rsidR="0096453D" w:rsidRPr="00F16733" w:rsidRDefault="0096453D" w:rsidP="00611803">
            <w:pPr>
              <w:tabs>
                <w:tab w:val="left" w:pos="1020"/>
              </w:tabs>
              <w:jc w:val="center"/>
              <w:rPr>
                <w:rFonts w:eastAsia="Calibri" w:cs="Arial"/>
                <w:sz w:val="20"/>
                <w:szCs w:val="20"/>
              </w:rPr>
            </w:pPr>
            <w:r>
              <w:rPr>
                <w:rFonts w:cs="Calibri"/>
                <w:color w:val="000000"/>
              </w:rPr>
              <w:t>26</w:t>
            </w:r>
          </w:p>
        </w:tc>
      </w:tr>
      <w:tr w:rsidR="0096453D" w:rsidRPr="00E12582" w14:paraId="49ED4C89" w14:textId="77777777" w:rsidTr="00611803">
        <w:tc>
          <w:tcPr>
            <w:tcW w:w="2253" w:type="dxa"/>
          </w:tcPr>
          <w:p w14:paraId="3A478153" w14:textId="77777777" w:rsidR="0096453D" w:rsidRPr="00F16733" w:rsidRDefault="0096453D" w:rsidP="00611803">
            <w:pPr>
              <w:tabs>
                <w:tab w:val="left" w:pos="1020"/>
              </w:tabs>
              <w:rPr>
                <w:rFonts w:eastAsia="Calibri" w:cs="Arial"/>
                <w:sz w:val="20"/>
                <w:szCs w:val="20"/>
              </w:rPr>
            </w:pPr>
            <w:r w:rsidRPr="00F16733">
              <w:rPr>
                <w:rFonts w:eastAsia="Calibri" w:cs="Arial"/>
                <w:sz w:val="20"/>
                <w:szCs w:val="20"/>
              </w:rPr>
              <w:t>Random model</w:t>
            </w:r>
          </w:p>
        </w:tc>
        <w:tc>
          <w:tcPr>
            <w:tcW w:w="3407" w:type="dxa"/>
            <w:vAlign w:val="center"/>
          </w:tcPr>
          <w:p w14:paraId="64390E90" w14:textId="77777777" w:rsidR="0096453D" w:rsidRPr="00F16733" w:rsidRDefault="0096453D" w:rsidP="00611803">
            <w:pPr>
              <w:tabs>
                <w:tab w:val="left" w:pos="1020"/>
              </w:tabs>
              <w:jc w:val="center"/>
              <w:rPr>
                <w:rFonts w:eastAsia="Calibri" w:cs="Arial"/>
                <w:sz w:val="20"/>
                <w:szCs w:val="20"/>
              </w:rPr>
            </w:pPr>
            <w:r>
              <w:rPr>
                <w:rFonts w:cs="Calibri"/>
                <w:color w:val="000000"/>
              </w:rPr>
              <w:t>12.8</w:t>
            </w:r>
          </w:p>
        </w:tc>
        <w:tc>
          <w:tcPr>
            <w:tcW w:w="2127" w:type="dxa"/>
            <w:vAlign w:val="center"/>
          </w:tcPr>
          <w:p w14:paraId="7BF09A1A" w14:textId="77777777" w:rsidR="0096453D" w:rsidRPr="00F16733" w:rsidRDefault="0096453D" w:rsidP="00611803">
            <w:pPr>
              <w:tabs>
                <w:tab w:val="left" w:pos="1020"/>
              </w:tabs>
              <w:jc w:val="center"/>
              <w:rPr>
                <w:rFonts w:eastAsia="Calibri" w:cs="Arial"/>
                <w:sz w:val="20"/>
                <w:szCs w:val="20"/>
              </w:rPr>
            </w:pPr>
            <w:r>
              <w:rPr>
                <w:rFonts w:cs="Calibri"/>
                <w:color w:val="000000"/>
              </w:rPr>
              <w:t>12.8</w:t>
            </w:r>
          </w:p>
        </w:tc>
        <w:tc>
          <w:tcPr>
            <w:tcW w:w="1225" w:type="dxa"/>
            <w:vAlign w:val="center"/>
          </w:tcPr>
          <w:p w14:paraId="5854D7F2" w14:textId="77777777" w:rsidR="0096453D" w:rsidRPr="00F16733" w:rsidRDefault="0096453D" w:rsidP="00611803">
            <w:pPr>
              <w:tabs>
                <w:tab w:val="left" w:pos="1020"/>
              </w:tabs>
              <w:jc w:val="center"/>
              <w:rPr>
                <w:rFonts w:eastAsia="Calibri" w:cs="Arial"/>
                <w:sz w:val="20"/>
                <w:szCs w:val="20"/>
              </w:rPr>
            </w:pPr>
            <w:r>
              <w:rPr>
                <w:rFonts w:cs="Calibri"/>
                <w:color w:val="000000"/>
              </w:rPr>
              <w:t>25.6</w:t>
            </w:r>
          </w:p>
        </w:tc>
      </w:tr>
    </w:tbl>
    <w:p w14:paraId="2F9DF3A5" w14:textId="77777777" w:rsidR="0096453D" w:rsidRPr="00E12582" w:rsidRDefault="0096453D" w:rsidP="0096453D">
      <w:pPr>
        <w:spacing w:line="240" w:lineRule="auto"/>
        <w:jc w:val="both"/>
        <w:rPr>
          <w:rFonts w:eastAsia="Calibri" w:cs="Calibri"/>
          <w:sz w:val="18"/>
          <w:szCs w:val="18"/>
          <w:lang w:eastAsia="en-GB"/>
        </w:rPr>
      </w:pPr>
      <w:r w:rsidRPr="00E12582">
        <w:rPr>
          <w:rFonts w:ascii="Times New Roman" w:eastAsia="Calibri" w:hAnsi="Times New Roman" w:cs="Times New Roman"/>
          <w:noProof/>
          <w:sz w:val="20"/>
          <w:szCs w:val="20"/>
          <w:lang w:val="en-US"/>
        </w:rPr>
        <w:t>*</w:t>
      </w:r>
      <w:r w:rsidRPr="00E12582">
        <w:rPr>
          <w:rFonts w:eastAsia="Calibri" w:cs="Calibri"/>
          <w:sz w:val="18"/>
          <w:szCs w:val="18"/>
          <w:lang w:eastAsia="en-GB"/>
        </w:rPr>
        <w:t>pD: sum of leverage, also known as the effective number of parameters and shows the model complexity.</w:t>
      </w:r>
    </w:p>
    <w:p w14:paraId="5998CC8B" w14:textId="77777777" w:rsidR="0096453D" w:rsidRDefault="0096453D" w:rsidP="0096453D">
      <w:pPr>
        <w:spacing w:line="240" w:lineRule="auto"/>
        <w:rPr>
          <w:rFonts w:eastAsia="Calibri" w:cs="Calibri"/>
          <w:sz w:val="18"/>
          <w:szCs w:val="18"/>
          <w:lang w:eastAsia="en-GB"/>
        </w:rPr>
      </w:pPr>
      <w:r w:rsidRPr="00E12582">
        <w:rPr>
          <w:rFonts w:eastAsia="Calibri" w:cs="Calibri"/>
          <w:sz w:val="18"/>
          <w:szCs w:val="18"/>
          <w:lang w:eastAsia="en-GB"/>
        </w:rPr>
        <w:t xml:space="preserve">**DIC: Deviance Information Criteria (DIC provides a measure of goodness of model fit that penalises model complexity, the lower is more fitted. </w:t>
      </w:r>
      <w:r>
        <w:rPr>
          <w:rFonts w:eastAsia="Calibri" w:cs="Calibri"/>
          <w:sz w:val="18"/>
          <w:szCs w:val="18"/>
          <w:lang w:eastAsia="en-GB"/>
        </w:rPr>
        <w:t xml:space="preserve">More than three difference is meaningful. </w:t>
      </w:r>
    </w:p>
    <w:p w14:paraId="55EBD4E6" w14:textId="4BC319FA" w:rsidR="0096453D" w:rsidRDefault="0096453D" w:rsidP="0096453D">
      <w:pPr>
        <w:pStyle w:val="Caption"/>
        <w:keepNext/>
      </w:pPr>
      <w:bookmarkStart w:id="45" w:name="_Ref130544033"/>
      <w:bookmarkStart w:id="46" w:name="_Toc129946397"/>
      <w:bookmarkStart w:id="47" w:name="_Toc133322654"/>
      <w:r>
        <w:t xml:space="preserve">Table </w:t>
      </w:r>
      <w:bookmarkEnd w:id="45"/>
      <w:r>
        <w:t>1</w:t>
      </w:r>
      <w:r w:rsidR="00047048">
        <w:t>2</w:t>
      </w:r>
      <w:r>
        <w:t xml:space="preserve">: </w:t>
      </w:r>
      <w:r w:rsidRPr="00A23036">
        <w:t>Comparing fit of NMA and UME models for MSQ-EF</w:t>
      </w:r>
      <w:bookmarkEnd w:id="46"/>
      <w:bookmarkEnd w:id="47"/>
    </w:p>
    <w:tbl>
      <w:tblPr>
        <w:tblW w:w="3692" w:type="pct"/>
        <w:shd w:val="clear" w:color="auto" w:fill="FFFFFF"/>
        <w:tblLayout w:type="fixed"/>
        <w:tblLook w:val="04A0" w:firstRow="1" w:lastRow="0" w:firstColumn="1" w:lastColumn="0" w:noHBand="0" w:noVBand="1"/>
      </w:tblPr>
      <w:tblGrid>
        <w:gridCol w:w="2721"/>
        <w:gridCol w:w="2254"/>
        <w:gridCol w:w="658"/>
        <w:gridCol w:w="1192"/>
      </w:tblGrid>
      <w:tr w:rsidR="0096453D" w:rsidRPr="00E12582" w14:paraId="4E04486E" w14:textId="77777777" w:rsidTr="00A266D7">
        <w:trPr>
          <w:trHeight w:val="20"/>
        </w:trPr>
        <w:tc>
          <w:tcPr>
            <w:tcW w:w="1994" w:type="pct"/>
            <w:tcBorders>
              <w:top w:val="single" w:sz="4" w:space="0" w:color="auto"/>
              <w:left w:val="single" w:sz="4" w:space="0" w:color="auto"/>
              <w:bottom w:val="single" w:sz="4" w:space="0" w:color="auto"/>
              <w:right w:val="nil"/>
            </w:tcBorders>
            <w:shd w:val="clear" w:color="auto" w:fill="FFFFFF"/>
            <w:noWrap/>
            <w:vAlign w:val="bottom"/>
            <w:hideMark/>
          </w:tcPr>
          <w:p w14:paraId="535364AE" w14:textId="77777777" w:rsidR="0096453D" w:rsidRPr="0040081F" w:rsidRDefault="0096453D" w:rsidP="00611803">
            <w:pPr>
              <w:spacing w:line="240" w:lineRule="auto"/>
              <w:jc w:val="center"/>
              <w:rPr>
                <w:rFonts w:eastAsia="Times New Roman" w:cs="Calibri"/>
                <w:color w:val="000000"/>
                <w:sz w:val="20"/>
                <w:szCs w:val="20"/>
                <w:lang w:eastAsia="en-GB"/>
              </w:rPr>
            </w:pPr>
          </w:p>
        </w:tc>
        <w:tc>
          <w:tcPr>
            <w:tcW w:w="1651"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4A3AFB" w14:textId="77777777" w:rsidR="0096453D" w:rsidRPr="00054F58" w:rsidRDefault="0096453D" w:rsidP="00611803">
            <w:pPr>
              <w:spacing w:line="240" w:lineRule="auto"/>
              <w:jc w:val="center"/>
              <w:rPr>
                <w:rFonts w:eastAsia="Times New Roman" w:cs="Calibri"/>
                <w:b/>
                <w:bCs/>
                <w:color w:val="000000"/>
                <w:sz w:val="20"/>
                <w:szCs w:val="20"/>
                <w:lang w:eastAsia="en-GB"/>
              </w:rPr>
            </w:pPr>
            <w:r w:rsidRPr="00054F58">
              <w:rPr>
                <w:rFonts w:eastAsia="Times New Roman" w:cs="Calibri"/>
                <w:b/>
                <w:bCs/>
                <w:color w:val="000000"/>
                <w:sz w:val="20"/>
                <w:szCs w:val="20"/>
                <w:lang w:eastAsia="en-GB"/>
              </w:rPr>
              <w:t>Residual deviance (13 data points)</w:t>
            </w:r>
          </w:p>
        </w:tc>
        <w:tc>
          <w:tcPr>
            <w:tcW w:w="482" w:type="pct"/>
            <w:tcBorders>
              <w:top w:val="single" w:sz="4" w:space="0" w:color="auto"/>
              <w:left w:val="nil"/>
              <w:bottom w:val="single" w:sz="4" w:space="0" w:color="auto"/>
              <w:right w:val="single" w:sz="4" w:space="0" w:color="auto"/>
            </w:tcBorders>
            <w:shd w:val="clear" w:color="auto" w:fill="FFFFFF"/>
            <w:noWrap/>
            <w:vAlign w:val="bottom"/>
            <w:hideMark/>
          </w:tcPr>
          <w:p w14:paraId="57C58BDE" w14:textId="77777777" w:rsidR="0096453D" w:rsidRPr="00054F58" w:rsidRDefault="0096453D" w:rsidP="00611803">
            <w:pPr>
              <w:spacing w:line="240" w:lineRule="auto"/>
              <w:jc w:val="center"/>
              <w:rPr>
                <w:rFonts w:eastAsia="Times New Roman" w:cs="Calibri"/>
                <w:b/>
                <w:bCs/>
                <w:color w:val="000000"/>
                <w:sz w:val="20"/>
                <w:szCs w:val="20"/>
                <w:lang w:eastAsia="en-GB"/>
              </w:rPr>
            </w:pPr>
            <w:r w:rsidRPr="00054F58">
              <w:rPr>
                <w:rFonts w:eastAsia="Times New Roman" w:cs="Calibri"/>
                <w:b/>
                <w:bCs/>
                <w:color w:val="000000"/>
                <w:sz w:val="20"/>
                <w:szCs w:val="20"/>
                <w:lang w:eastAsia="en-GB"/>
              </w:rPr>
              <w:t>pD*</w:t>
            </w:r>
          </w:p>
        </w:tc>
        <w:tc>
          <w:tcPr>
            <w:tcW w:w="873" w:type="pct"/>
            <w:tcBorders>
              <w:top w:val="single" w:sz="4" w:space="0" w:color="auto"/>
              <w:left w:val="nil"/>
              <w:bottom w:val="single" w:sz="4" w:space="0" w:color="auto"/>
              <w:right w:val="single" w:sz="4" w:space="0" w:color="auto"/>
            </w:tcBorders>
            <w:shd w:val="clear" w:color="auto" w:fill="FFFFFF"/>
            <w:vAlign w:val="bottom"/>
            <w:hideMark/>
          </w:tcPr>
          <w:p w14:paraId="5093B7F0" w14:textId="77777777" w:rsidR="0096453D" w:rsidRPr="00054F58" w:rsidRDefault="0096453D" w:rsidP="00611803">
            <w:pPr>
              <w:spacing w:line="240" w:lineRule="auto"/>
              <w:jc w:val="center"/>
              <w:rPr>
                <w:rFonts w:eastAsia="Times New Roman" w:cs="Calibri"/>
                <w:b/>
                <w:bCs/>
                <w:color w:val="000000"/>
                <w:sz w:val="20"/>
                <w:szCs w:val="20"/>
                <w:lang w:eastAsia="en-GB"/>
              </w:rPr>
            </w:pPr>
            <w:r w:rsidRPr="00054F58">
              <w:rPr>
                <w:rFonts w:eastAsia="Times New Roman" w:cs="Calibri"/>
                <w:b/>
                <w:bCs/>
                <w:color w:val="000000"/>
                <w:sz w:val="20"/>
                <w:szCs w:val="20"/>
                <w:lang w:eastAsia="en-GB"/>
              </w:rPr>
              <w:t>(DIC)**</w:t>
            </w:r>
          </w:p>
        </w:tc>
      </w:tr>
      <w:tr w:rsidR="0096453D" w:rsidRPr="00E12582" w14:paraId="1FC0EFFA" w14:textId="77777777" w:rsidTr="00A266D7">
        <w:trPr>
          <w:trHeight w:val="20"/>
        </w:trPr>
        <w:tc>
          <w:tcPr>
            <w:tcW w:w="1994"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5B806D" w14:textId="77777777" w:rsidR="0096453D" w:rsidRPr="0040081F" w:rsidRDefault="0096453D" w:rsidP="00611803">
            <w:pPr>
              <w:spacing w:line="240" w:lineRule="auto"/>
              <w:jc w:val="center"/>
              <w:rPr>
                <w:rFonts w:eastAsia="Times New Roman" w:cs="Calibri"/>
                <w:color w:val="000000"/>
                <w:sz w:val="20"/>
                <w:szCs w:val="20"/>
                <w:lang w:eastAsia="en-GB"/>
              </w:rPr>
            </w:pPr>
            <w:r w:rsidRPr="0040081F">
              <w:rPr>
                <w:rFonts w:eastAsia="Times New Roman" w:cs="Calibri"/>
                <w:color w:val="000000"/>
                <w:sz w:val="20"/>
                <w:szCs w:val="20"/>
                <w:lang w:eastAsia="en-GB"/>
              </w:rPr>
              <w:t>NMA (consistency) Model</w:t>
            </w:r>
          </w:p>
        </w:tc>
        <w:tc>
          <w:tcPr>
            <w:tcW w:w="1651" w:type="pct"/>
            <w:tcBorders>
              <w:top w:val="nil"/>
              <w:left w:val="nil"/>
              <w:bottom w:val="single" w:sz="4" w:space="0" w:color="auto"/>
              <w:right w:val="single" w:sz="4" w:space="0" w:color="auto"/>
            </w:tcBorders>
            <w:shd w:val="clear" w:color="auto" w:fill="FFFFFF"/>
            <w:noWrap/>
            <w:vAlign w:val="center"/>
          </w:tcPr>
          <w:p w14:paraId="725A8E9E" w14:textId="77777777" w:rsidR="0096453D" w:rsidRPr="0040081F" w:rsidRDefault="0096453D" w:rsidP="00611803">
            <w:pPr>
              <w:spacing w:line="240" w:lineRule="auto"/>
              <w:jc w:val="center"/>
              <w:rPr>
                <w:rFonts w:eastAsia="Times New Roman" w:cs="Calibri"/>
                <w:color w:val="000000"/>
                <w:sz w:val="20"/>
                <w:szCs w:val="20"/>
                <w:lang w:eastAsia="en-GB"/>
              </w:rPr>
            </w:pPr>
            <w:r w:rsidRPr="0040081F">
              <w:rPr>
                <w:rFonts w:cs="Calibri"/>
                <w:color w:val="000000"/>
              </w:rPr>
              <w:t>13</w:t>
            </w:r>
          </w:p>
        </w:tc>
        <w:tc>
          <w:tcPr>
            <w:tcW w:w="482" w:type="pct"/>
            <w:tcBorders>
              <w:top w:val="nil"/>
              <w:left w:val="nil"/>
              <w:bottom w:val="single" w:sz="4" w:space="0" w:color="auto"/>
              <w:right w:val="single" w:sz="4" w:space="0" w:color="auto"/>
            </w:tcBorders>
            <w:shd w:val="clear" w:color="auto" w:fill="FFFFFF"/>
            <w:noWrap/>
            <w:vAlign w:val="center"/>
          </w:tcPr>
          <w:p w14:paraId="171E2602" w14:textId="77777777" w:rsidR="0096453D" w:rsidRPr="0040081F" w:rsidRDefault="0096453D" w:rsidP="00611803">
            <w:pPr>
              <w:spacing w:line="240" w:lineRule="auto"/>
              <w:jc w:val="center"/>
              <w:rPr>
                <w:rFonts w:eastAsia="Times New Roman" w:cs="Calibri"/>
                <w:color w:val="000000"/>
                <w:sz w:val="20"/>
                <w:szCs w:val="20"/>
                <w:lang w:eastAsia="en-GB"/>
              </w:rPr>
            </w:pPr>
            <w:r w:rsidRPr="0040081F">
              <w:rPr>
                <w:rFonts w:cs="Calibri"/>
                <w:color w:val="000000"/>
              </w:rPr>
              <w:t>13</w:t>
            </w:r>
          </w:p>
        </w:tc>
        <w:tc>
          <w:tcPr>
            <w:tcW w:w="873" w:type="pct"/>
            <w:tcBorders>
              <w:top w:val="nil"/>
              <w:left w:val="nil"/>
              <w:bottom w:val="single" w:sz="4" w:space="0" w:color="auto"/>
              <w:right w:val="single" w:sz="4" w:space="0" w:color="auto"/>
            </w:tcBorders>
            <w:shd w:val="clear" w:color="auto" w:fill="FFFFFF"/>
            <w:noWrap/>
            <w:vAlign w:val="center"/>
          </w:tcPr>
          <w:p w14:paraId="7AA4CFB3" w14:textId="77777777" w:rsidR="0096453D" w:rsidRPr="0040081F" w:rsidRDefault="0096453D" w:rsidP="00611803">
            <w:pPr>
              <w:spacing w:line="240" w:lineRule="auto"/>
              <w:jc w:val="center"/>
              <w:rPr>
                <w:rFonts w:eastAsia="Times New Roman" w:cs="Calibri"/>
                <w:color w:val="000000"/>
                <w:sz w:val="20"/>
                <w:szCs w:val="20"/>
                <w:lang w:eastAsia="en-GB"/>
              </w:rPr>
            </w:pPr>
            <w:r w:rsidRPr="0040081F">
              <w:rPr>
                <w:rFonts w:cs="Calibri"/>
                <w:color w:val="000000"/>
              </w:rPr>
              <w:t>26</w:t>
            </w:r>
          </w:p>
        </w:tc>
      </w:tr>
      <w:tr w:rsidR="0096453D" w:rsidRPr="00E12582" w14:paraId="495A1D27" w14:textId="77777777" w:rsidTr="00A266D7">
        <w:trPr>
          <w:trHeight w:val="20"/>
        </w:trPr>
        <w:tc>
          <w:tcPr>
            <w:tcW w:w="1994" w:type="pct"/>
            <w:tcBorders>
              <w:top w:val="nil"/>
              <w:left w:val="single" w:sz="4" w:space="0" w:color="auto"/>
              <w:bottom w:val="single" w:sz="4" w:space="0" w:color="auto"/>
              <w:right w:val="single" w:sz="4" w:space="0" w:color="auto"/>
            </w:tcBorders>
            <w:shd w:val="clear" w:color="auto" w:fill="FFFFFF"/>
            <w:vAlign w:val="center"/>
            <w:hideMark/>
          </w:tcPr>
          <w:p w14:paraId="47C31DAA" w14:textId="77777777" w:rsidR="0096453D" w:rsidRPr="0040081F" w:rsidRDefault="0096453D" w:rsidP="00611803">
            <w:pPr>
              <w:spacing w:line="240" w:lineRule="auto"/>
              <w:jc w:val="center"/>
              <w:rPr>
                <w:rFonts w:eastAsia="Times New Roman" w:cs="Calibri"/>
                <w:color w:val="000000"/>
                <w:sz w:val="20"/>
                <w:szCs w:val="20"/>
                <w:lang w:eastAsia="en-GB"/>
              </w:rPr>
            </w:pPr>
            <w:r w:rsidRPr="0040081F">
              <w:rPr>
                <w:rFonts w:eastAsia="Times New Roman" w:cs="Calibri"/>
                <w:color w:val="000000"/>
                <w:sz w:val="20"/>
                <w:szCs w:val="20"/>
                <w:lang w:eastAsia="en-GB"/>
              </w:rPr>
              <w:t>Unrelated Mean Effects (Inconsistency) Model</w:t>
            </w:r>
          </w:p>
        </w:tc>
        <w:tc>
          <w:tcPr>
            <w:tcW w:w="1651" w:type="pct"/>
            <w:tcBorders>
              <w:top w:val="nil"/>
              <w:left w:val="nil"/>
              <w:bottom w:val="single" w:sz="4" w:space="0" w:color="auto"/>
              <w:right w:val="single" w:sz="4" w:space="0" w:color="auto"/>
            </w:tcBorders>
            <w:shd w:val="clear" w:color="auto" w:fill="FFFFFF"/>
            <w:noWrap/>
            <w:vAlign w:val="center"/>
          </w:tcPr>
          <w:p w14:paraId="2355E66A" w14:textId="77777777" w:rsidR="0096453D" w:rsidRPr="0040081F" w:rsidRDefault="0096453D" w:rsidP="00611803">
            <w:pPr>
              <w:spacing w:line="240" w:lineRule="auto"/>
              <w:jc w:val="center"/>
              <w:rPr>
                <w:rFonts w:eastAsia="Times New Roman" w:cs="Calibri"/>
                <w:color w:val="000000"/>
                <w:sz w:val="20"/>
                <w:szCs w:val="20"/>
                <w:lang w:eastAsia="en-GB"/>
              </w:rPr>
            </w:pPr>
            <w:r w:rsidRPr="0040081F">
              <w:rPr>
                <w:rFonts w:cs="Calibri"/>
                <w:color w:val="000000"/>
              </w:rPr>
              <w:t>13</w:t>
            </w:r>
          </w:p>
        </w:tc>
        <w:tc>
          <w:tcPr>
            <w:tcW w:w="482" w:type="pct"/>
            <w:tcBorders>
              <w:top w:val="nil"/>
              <w:left w:val="nil"/>
              <w:bottom w:val="single" w:sz="4" w:space="0" w:color="auto"/>
              <w:right w:val="single" w:sz="4" w:space="0" w:color="auto"/>
            </w:tcBorders>
            <w:shd w:val="clear" w:color="auto" w:fill="FFFFFF"/>
            <w:noWrap/>
            <w:vAlign w:val="center"/>
          </w:tcPr>
          <w:p w14:paraId="31753A50" w14:textId="77777777" w:rsidR="0096453D" w:rsidRPr="0040081F" w:rsidRDefault="0096453D" w:rsidP="00611803">
            <w:pPr>
              <w:spacing w:line="240" w:lineRule="auto"/>
              <w:jc w:val="center"/>
              <w:rPr>
                <w:rFonts w:eastAsia="Times New Roman" w:cs="Calibri"/>
                <w:color w:val="000000"/>
                <w:sz w:val="20"/>
                <w:szCs w:val="20"/>
                <w:lang w:eastAsia="en-GB"/>
              </w:rPr>
            </w:pPr>
            <w:r w:rsidRPr="0040081F">
              <w:rPr>
                <w:rFonts w:cs="Calibri"/>
                <w:color w:val="000000"/>
              </w:rPr>
              <w:t>13</w:t>
            </w:r>
          </w:p>
        </w:tc>
        <w:tc>
          <w:tcPr>
            <w:tcW w:w="873" w:type="pct"/>
            <w:tcBorders>
              <w:top w:val="nil"/>
              <w:left w:val="nil"/>
              <w:bottom w:val="single" w:sz="4" w:space="0" w:color="auto"/>
              <w:right w:val="single" w:sz="4" w:space="0" w:color="auto"/>
            </w:tcBorders>
            <w:shd w:val="clear" w:color="auto" w:fill="FFFFFF"/>
            <w:noWrap/>
            <w:vAlign w:val="center"/>
          </w:tcPr>
          <w:p w14:paraId="794AE5AD" w14:textId="77777777" w:rsidR="0096453D" w:rsidRPr="0040081F" w:rsidRDefault="0096453D" w:rsidP="00611803">
            <w:pPr>
              <w:spacing w:line="240" w:lineRule="auto"/>
              <w:jc w:val="center"/>
              <w:rPr>
                <w:rFonts w:eastAsia="Times New Roman" w:cs="Calibri"/>
                <w:color w:val="000000"/>
                <w:sz w:val="20"/>
                <w:szCs w:val="20"/>
                <w:lang w:eastAsia="en-GB"/>
              </w:rPr>
            </w:pPr>
            <w:r w:rsidRPr="0040081F">
              <w:rPr>
                <w:rFonts w:cs="Calibri"/>
                <w:color w:val="000000"/>
              </w:rPr>
              <w:t>26</w:t>
            </w:r>
          </w:p>
        </w:tc>
      </w:tr>
    </w:tbl>
    <w:p w14:paraId="2E77C2A9" w14:textId="77777777" w:rsidR="0096453D" w:rsidRPr="00E12582" w:rsidRDefault="0096453D" w:rsidP="0096453D">
      <w:pPr>
        <w:spacing w:line="240" w:lineRule="auto"/>
        <w:jc w:val="both"/>
        <w:rPr>
          <w:rFonts w:eastAsia="Calibri" w:cs="Calibri"/>
          <w:sz w:val="18"/>
          <w:szCs w:val="18"/>
          <w:lang w:eastAsia="en-GB"/>
        </w:rPr>
      </w:pPr>
      <w:r w:rsidRPr="00E12582">
        <w:rPr>
          <w:rFonts w:ascii="Times New Roman" w:eastAsia="Calibri" w:hAnsi="Times New Roman" w:cs="Times New Roman"/>
          <w:noProof/>
          <w:sz w:val="20"/>
          <w:szCs w:val="20"/>
          <w:lang w:val="en-US"/>
        </w:rPr>
        <w:t>*</w:t>
      </w:r>
      <w:r w:rsidRPr="00E12582">
        <w:rPr>
          <w:rFonts w:eastAsia="Calibri" w:cs="Calibri"/>
          <w:sz w:val="18"/>
          <w:szCs w:val="18"/>
          <w:lang w:eastAsia="en-GB"/>
        </w:rPr>
        <w:t>pD: sum of leverage, also known as the effective number of parameters and shows the model complexity.</w:t>
      </w:r>
    </w:p>
    <w:p w14:paraId="43738943" w14:textId="77777777" w:rsidR="0096453D" w:rsidRDefault="0096453D" w:rsidP="0096453D">
      <w:pPr>
        <w:spacing w:line="240" w:lineRule="auto"/>
        <w:rPr>
          <w:rFonts w:eastAsia="Calibri" w:cs="Calibri"/>
          <w:sz w:val="18"/>
          <w:szCs w:val="18"/>
          <w:lang w:eastAsia="en-GB"/>
        </w:rPr>
      </w:pPr>
      <w:r w:rsidRPr="00E12582">
        <w:rPr>
          <w:rFonts w:eastAsia="Calibri" w:cs="Calibri"/>
          <w:sz w:val="18"/>
          <w:szCs w:val="18"/>
          <w:lang w:eastAsia="en-GB"/>
        </w:rPr>
        <w:t xml:space="preserve">**DIC: Deviance Information Criteria (DIC provides a measure of goodness of model fit that penalises model complexity, the lower is more fitted. </w:t>
      </w:r>
      <w:r>
        <w:rPr>
          <w:rFonts w:eastAsia="Calibri" w:cs="Calibri"/>
          <w:sz w:val="18"/>
          <w:szCs w:val="18"/>
          <w:lang w:eastAsia="en-GB"/>
        </w:rPr>
        <w:t>More than three difference is meaningful.</w:t>
      </w:r>
    </w:p>
    <w:p w14:paraId="4C349229" w14:textId="07595EA2" w:rsidR="0096453D" w:rsidRDefault="0096453D" w:rsidP="00AB4E57">
      <w:pPr>
        <w:rPr>
          <w:rFonts w:cstheme="minorHAnsi"/>
          <w:noProof/>
          <w:sz w:val="18"/>
          <w:szCs w:val="18"/>
        </w:rPr>
        <w:sectPr w:rsidR="0096453D" w:rsidSect="00AB4E57">
          <w:pgSz w:w="11907" w:h="16840" w:orient="landscape" w:code="9"/>
          <w:pgMar w:top="1440" w:right="1440" w:bottom="1440" w:left="1440" w:header="709" w:footer="709" w:gutter="0"/>
          <w:cols w:space="708"/>
          <w:docGrid w:linePitch="360"/>
        </w:sectPr>
      </w:pPr>
    </w:p>
    <w:p w14:paraId="570AFB80" w14:textId="2052BD2E" w:rsidR="0096453D" w:rsidRDefault="0096453D" w:rsidP="0096453D">
      <w:pPr>
        <w:pStyle w:val="Caption"/>
        <w:keepNext/>
      </w:pPr>
      <w:bookmarkStart w:id="48" w:name="_Ref133321418"/>
      <w:bookmarkStart w:id="49" w:name="_Toc133322616"/>
      <w:r>
        <w:lastRenderedPageBreak/>
        <w:t xml:space="preserve">Table </w:t>
      </w:r>
      <w:bookmarkEnd w:id="48"/>
      <w:r>
        <w:t>1</w:t>
      </w:r>
      <w:r w:rsidR="00047048">
        <w:t>3</w:t>
      </w:r>
      <w:r>
        <w:t xml:space="preserve">: </w:t>
      </w:r>
      <w:r w:rsidRPr="00FF2CEA">
        <w:t>Head-to-head comparisons of treatments for mean change in MSQ-EF from baseline</w:t>
      </w:r>
      <w:bookmarkEnd w:id="49"/>
    </w:p>
    <w:tbl>
      <w:tblPr>
        <w:tblW w:w="5000" w:type="pct"/>
        <w:tblLook w:val="04A0" w:firstRow="1" w:lastRow="0" w:firstColumn="1" w:lastColumn="0" w:noHBand="0" w:noVBand="1"/>
      </w:tblPr>
      <w:tblGrid>
        <w:gridCol w:w="1065"/>
        <w:gridCol w:w="1040"/>
        <w:gridCol w:w="1005"/>
        <w:gridCol w:w="1202"/>
        <w:gridCol w:w="1202"/>
        <w:gridCol w:w="1086"/>
        <w:gridCol w:w="1016"/>
        <w:gridCol w:w="1061"/>
        <w:gridCol w:w="566"/>
      </w:tblGrid>
      <w:tr w:rsidR="0096453D" w:rsidRPr="0050551E" w14:paraId="4FD0FAD1" w14:textId="77777777" w:rsidTr="0096453D">
        <w:trPr>
          <w:trHeight w:val="675"/>
        </w:trPr>
        <w:tc>
          <w:tcPr>
            <w:tcW w:w="590" w:type="pct"/>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5B5F3CA8" w14:textId="71F774E9" w:rsidR="0096453D" w:rsidRPr="0031702A" w:rsidRDefault="0096453D" w:rsidP="00611803">
            <w:pPr>
              <w:spacing w:line="240" w:lineRule="auto"/>
              <w:jc w:val="center"/>
              <w:rPr>
                <w:rFonts w:eastAsia="Times New Roman" w:cs="Calibri"/>
                <w:color w:val="000000"/>
                <w:sz w:val="20"/>
                <w:szCs w:val="20"/>
                <w:lang w:eastAsia="en-GB"/>
              </w:rPr>
            </w:pPr>
            <w:proofErr w:type="spellStart"/>
            <w:r w:rsidRPr="0031702A">
              <w:rPr>
                <w:rFonts w:eastAsia="Times New Roman" w:cs="Calibri"/>
                <w:color w:val="000000"/>
                <w:sz w:val="20"/>
                <w:szCs w:val="20"/>
                <w:lang w:eastAsia="en-GB"/>
              </w:rPr>
              <w:t>Erenumab</w:t>
            </w:r>
            <w:proofErr w:type="spellEnd"/>
            <w:r w:rsidRPr="0031702A">
              <w:rPr>
                <w:rFonts w:eastAsia="Times New Roman" w:cs="Calibri"/>
                <w:color w:val="000000"/>
                <w:sz w:val="20"/>
                <w:szCs w:val="20"/>
                <w:lang w:eastAsia="en-GB"/>
              </w:rPr>
              <w:t xml:space="preserve"> 140mg</w:t>
            </w:r>
          </w:p>
        </w:tc>
        <w:tc>
          <w:tcPr>
            <w:tcW w:w="590" w:type="pct"/>
            <w:tcBorders>
              <w:top w:val="nil"/>
              <w:left w:val="nil"/>
              <w:bottom w:val="nil"/>
              <w:right w:val="nil"/>
            </w:tcBorders>
            <w:shd w:val="clear" w:color="auto" w:fill="auto"/>
            <w:noWrap/>
            <w:vAlign w:val="bottom"/>
            <w:hideMark/>
          </w:tcPr>
          <w:p w14:paraId="6FA6ED18" w14:textId="77777777" w:rsidR="0096453D" w:rsidRPr="0031702A" w:rsidRDefault="0096453D" w:rsidP="00611803">
            <w:pPr>
              <w:spacing w:line="240" w:lineRule="auto"/>
              <w:jc w:val="center"/>
              <w:rPr>
                <w:rFonts w:eastAsia="Times New Roman" w:cs="Calibri"/>
                <w:color w:val="000000"/>
                <w:sz w:val="20"/>
                <w:szCs w:val="20"/>
                <w:lang w:eastAsia="en-GB"/>
              </w:rPr>
            </w:pPr>
          </w:p>
        </w:tc>
        <w:tc>
          <w:tcPr>
            <w:tcW w:w="570" w:type="pct"/>
            <w:tcBorders>
              <w:top w:val="nil"/>
              <w:left w:val="nil"/>
              <w:bottom w:val="nil"/>
              <w:right w:val="nil"/>
            </w:tcBorders>
            <w:shd w:val="clear" w:color="auto" w:fill="auto"/>
            <w:noWrap/>
            <w:vAlign w:val="bottom"/>
            <w:hideMark/>
          </w:tcPr>
          <w:p w14:paraId="71E2996B"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584" w:type="pct"/>
            <w:tcBorders>
              <w:top w:val="nil"/>
              <w:left w:val="nil"/>
              <w:bottom w:val="nil"/>
              <w:right w:val="nil"/>
            </w:tcBorders>
            <w:shd w:val="clear" w:color="auto" w:fill="auto"/>
            <w:noWrap/>
            <w:vAlign w:val="bottom"/>
            <w:hideMark/>
          </w:tcPr>
          <w:p w14:paraId="1D2486B3"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590" w:type="pct"/>
            <w:tcBorders>
              <w:top w:val="nil"/>
              <w:left w:val="nil"/>
              <w:bottom w:val="nil"/>
              <w:right w:val="nil"/>
            </w:tcBorders>
            <w:shd w:val="clear" w:color="auto" w:fill="auto"/>
            <w:noWrap/>
            <w:vAlign w:val="bottom"/>
            <w:hideMark/>
          </w:tcPr>
          <w:p w14:paraId="1D503900"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590" w:type="pct"/>
            <w:tcBorders>
              <w:top w:val="nil"/>
              <w:left w:val="nil"/>
              <w:bottom w:val="nil"/>
              <w:right w:val="nil"/>
            </w:tcBorders>
            <w:shd w:val="clear" w:color="auto" w:fill="auto"/>
            <w:noWrap/>
            <w:vAlign w:val="bottom"/>
            <w:hideMark/>
          </w:tcPr>
          <w:p w14:paraId="29A782C7"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590" w:type="pct"/>
            <w:tcBorders>
              <w:top w:val="nil"/>
              <w:left w:val="nil"/>
              <w:bottom w:val="nil"/>
              <w:right w:val="nil"/>
            </w:tcBorders>
            <w:shd w:val="clear" w:color="auto" w:fill="auto"/>
            <w:noWrap/>
            <w:vAlign w:val="bottom"/>
            <w:hideMark/>
          </w:tcPr>
          <w:p w14:paraId="1A50D49A"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543" w:type="pct"/>
            <w:tcBorders>
              <w:top w:val="nil"/>
              <w:left w:val="nil"/>
              <w:bottom w:val="nil"/>
              <w:right w:val="nil"/>
            </w:tcBorders>
            <w:shd w:val="clear" w:color="auto" w:fill="auto"/>
            <w:noWrap/>
            <w:vAlign w:val="bottom"/>
            <w:hideMark/>
          </w:tcPr>
          <w:p w14:paraId="29F8D64A"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352" w:type="pct"/>
            <w:tcBorders>
              <w:top w:val="nil"/>
              <w:left w:val="nil"/>
              <w:bottom w:val="nil"/>
              <w:right w:val="nil"/>
            </w:tcBorders>
            <w:shd w:val="clear" w:color="auto" w:fill="auto"/>
            <w:noWrap/>
            <w:vAlign w:val="bottom"/>
            <w:hideMark/>
          </w:tcPr>
          <w:p w14:paraId="4A418D27"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r>
      <w:tr w:rsidR="0096453D" w:rsidRPr="0050551E" w14:paraId="018B2D3C" w14:textId="77777777" w:rsidTr="0096453D">
        <w:trPr>
          <w:trHeight w:val="675"/>
        </w:trPr>
        <w:tc>
          <w:tcPr>
            <w:tcW w:w="590" w:type="pct"/>
            <w:tcBorders>
              <w:top w:val="nil"/>
              <w:left w:val="single" w:sz="4" w:space="0" w:color="auto"/>
              <w:bottom w:val="single" w:sz="4" w:space="0" w:color="auto"/>
              <w:right w:val="single" w:sz="4" w:space="0" w:color="auto"/>
            </w:tcBorders>
            <w:shd w:val="clear" w:color="auto" w:fill="auto"/>
            <w:noWrap/>
            <w:vAlign w:val="center"/>
            <w:hideMark/>
          </w:tcPr>
          <w:p w14:paraId="1F33021D"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0.59 (-5.82, 7.14)</w:t>
            </w:r>
          </w:p>
        </w:tc>
        <w:tc>
          <w:tcPr>
            <w:tcW w:w="590" w:type="pct"/>
            <w:tcBorders>
              <w:top w:val="single" w:sz="4" w:space="0" w:color="auto"/>
              <w:left w:val="nil"/>
              <w:bottom w:val="single" w:sz="4" w:space="0" w:color="auto"/>
              <w:right w:val="single" w:sz="4" w:space="0" w:color="auto"/>
            </w:tcBorders>
            <w:shd w:val="clear" w:color="000000" w:fill="F8CBAD"/>
            <w:noWrap/>
            <w:vAlign w:val="center"/>
            <w:hideMark/>
          </w:tcPr>
          <w:p w14:paraId="02E4D261" w14:textId="3D4D02C9" w:rsidR="0096453D" w:rsidRPr="0031702A" w:rsidRDefault="0096453D"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Erenumab 70mg</w:t>
            </w:r>
          </w:p>
        </w:tc>
        <w:tc>
          <w:tcPr>
            <w:tcW w:w="570" w:type="pct"/>
            <w:tcBorders>
              <w:top w:val="nil"/>
              <w:left w:val="nil"/>
              <w:bottom w:val="nil"/>
              <w:right w:val="nil"/>
            </w:tcBorders>
            <w:shd w:val="clear" w:color="auto" w:fill="auto"/>
            <w:noWrap/>
            <w:vAlign w:val="bottom"/>
            <w:hideMark/>
          </w:tcPr>
          <w:p w14:paraId="1F677D6D" w14:textId="77777777" w:rsidR="0096453D" w:rsidRPr="0031702A" w:rsidRDefault="0096453D" w:rsidP="00611803">
            <w:pPr>
              <w:spacing w:line="240" w:lineRule="auto"/>
              <w:jc w:val="center"/>
              <w:rPr>
                <w:rFonts w:eastAsia="Times New Roman" w:cs="Calibri"/>
                <w:color w:val="000000"/>
                <w:sz w:val="20"/>
                <w:szCs w:val="20"/>
                <w:lang w:eastAsia="en-GB"/>
              </w:rPr>
            </w:pPr>
          </w:p>
        </w:tc>
        <w:tc>
          <w:tcPr>
            <w:tcW w:w="584" w:type="pct"/>
            <w:tcBorders>
              <w:top w:val="nil"/>
              <w:left w:val="nil"/>
              <w:bottom w:val="nil"/>
              <w:right w:val="nil"/>
            </w:tcBorders>
            <w:shd w:val="clear" w:color="auto" w:fill="auto"/>
            <w:noWrap/>
            <w:vAlign w:val="bottom"/>
            <w:hideMark/>
          </w:tcPr>
          <w:p w14:paraId="60437C30"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590" w:type="pct"/>
            <w:tcBorders>
              <w:top w:val="nil"/>
              <w:left w:val="nil"/>
              <w:bottom w:val="nil"/>
              <w:right w:val="nil"/>
            </w:tcBorders>
            <w:shd w:val="clear" w:color="auto" w:fill="auto"/>
            <w:noWrap/>
            <w:vAlign w:val="bottom"/>
            <w:hideMark/>
          </w:tcPr>
          <w:p w14:paraId="18003A1F"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590" w:type="pct"/>
            <w:tcBorders>
              <w:top w:val="nil"/>
              <w:left w:val="nil"/>
              <w:bottom w:val="nil"/>
              <w:right w:val="nil"/>
            </w:tcBorders>
            <w:shd w:val="clear" w:color="auto" w:fill="auto"/>
            <w:noWrap/>
            <w:vAlign w:val="bottom"/>
            <w:hideMark/>
          </w:tcPr>
          <w:p w14:paraId="5BC27454"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590" w:type="pct"/>
            <w:tcBorders>
              <w:top w:val="nil"/>
              <w:left w:val="nil"/>
              <w:bottom w:val="nil"/>
              <w:right w:val="nil"/>
            </w:tcBorders>
            <w:shd w:val="clear" w:color="auto" w:fill="auto"/>
            <w:noWrap/>
            <w:vAlign w:val="bottom"/>
            <w:hideMark/>
          </w:tcPr>
          <w:p w14:paraId="4DF595C7"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543" w:type="pct"/>
            <w:tcBorders>
              <w:top w:val="nil"/>
              <w:left w:val="nil"/>
              <w:bottom w:val="nil"/>
              <w:right w:val="nil"/>
            </w:tcBorders>
            <w:shd w:val="clear" w:color="auto" w:fill="auto"/>
            <w:noWrap/>
            <w:vAlign w:val="bottom"/>
            <w:hideMark/>
          </w:tcPr>
          <w:p w14:paraId="617FD646"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352" w:type="pct"/>
            <w:tcBorders>
              <w:top w:val="nil"/>
              <w:left w:val="nil"/>
              <w:bottom w:val="nil"/>
              <w:right w:val="nil"/>
            </w:tcBorders>
            <w:shd w:val="clear" w:color="auto" w:fill="auto"/>
            <w:noWrap/>
            <w:vAlign w:val="bottom"/>
            <w:hideMark/>
          </w:tcPr>
          <w:p w14:paraId="004C1340"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r>
      <w:tr w:rsidR="0096453D" w:rsidRPr="0050551E" w14:paraId="523383AF" w14:textId="77777777" w:rsidTr="0096453D">
        <w:trPr>
          <w:trHeight w:val="675"/>
        </w:trPr>
        <w:tc>
          <w:tcPr>
            <w:tcW w:w="590" w:type="pct"/>
            <w:tcBorders>
              <w:top w:val="nil"/>
              <w:left w:val="single" w:sz="4" w:space="0" w:color="auto"/>
              <w:bottom w:val="single" w:sz="4" w:space="0" w:color="auto"/>
              <w:right w:val="single" w:sz="4" w:space="0" w:color="auto"/>
            </w:tcBorders>
            <w:shd w:val="clear" w:color="auto" w:fill="auto"/>
            <w:noWrap/>
            <w:vAlign w:val="center"/>
            <w:hideMark/>
          </w:tcPr>
          <w:p w14:paraId="53530601"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-1.55(-8.60, 5.55)</w:t>
            </w:r>
          </w:p>
        </w:tc>
        <w:tc>
          <w:tcPr>
            <w:tcW w:w="590" w:type="pct"/>
            <w:tcBorders>
              <w:top w:val="nil"/>
              <w:left w:val="nil"/>
              <w:bottom w:val="single" w:sz="4" w:space="0" w:color="auto"/>
              <w:right w:val="single" w:sz="4" w:space="0" w:color="auto"/>
            </w:tcBorders>
            <w:shd w:val="clear" w:color="auto" w:fill="auto"/>
            <w:noWrap/>
            <w:vAlign w:val="center"/>
            <w:hideMark/>
          </w:tcPr>
          <w:p w14:paraId="331A26D9"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-0.97 (-8.49, 6.75)</w:t>
            </w:r>
          </w:p>
        </w:tc>
        <w:tc>
          <w:tcPr>
            <w:tcW w:w="570" w:type="pct"/>
            <w:tcBorders>
              <w:top w:val="single" w:sz="4" w:space="0" w:color="auto"/>
              <w:left w:val="nil"/>
              <w:bottom w:val="single" w:sz="4" w:space="0" w:color="auto"/>
              <w:right w:val="single" w:sz="4" w:space="0" w:color="auto"/>
            </w:tcBorders>
            <w:shd w:val="clear" w:color="000000" w:fill="F8CBAD"/>
            <w:noWrap/>
            <w:vAlign w:val="center"/>
            <w:hideMark/>
          </w:tcPr>
          <w:p w14:paraId="0D5120C3" w14:textId="10571232" w:rsidR="0096453D" w:rsidRPr="0031702A" w:rsidRDefault="00AE38D5"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BTA</w:t>
            </w:r>
          </w:p>
        </w:tc>
        <w:tc>
          <w:tcPr>
            <w:tcW w:w="584" w:type="pct"/>
            <w:tcBorders>
              <w:top w:val="nil"/>
              <w:left w:val="nil"/>
              <w:bottom w:val="nil"/>
              <w:right w:val="nil"/>
            </w:tcBorders>
            <w:shd w:val="clear" w:color="auto" w:fill="auto"/>
            <w:noWrap/>
            <w:vAlign w:val="bottom"/>
            <w:hideMark/>
          </w:tcPr>
          <w:p w14:paraId="7C6288B7" w14:textId="77777777" w:rsidR="0096453D" w:rsidRPr="0031702A" w:rsidRDefault="0096453D" w:rsidP="00611803">
            <w:pPr>
              <w:spacing w:line="240" w:lineRule="auto"/>
              <w:jc w:val="center"/>
              <w:rPr>
                <w:rFonts w:eastAsia="Times New Roman" w:cs="Calibri"/>
                <w:color w:val="000000"/>
                <w:sz w:val="20"/>
                <w:szCs w:val="20"/>
                <w:lang w:eastAsia="en-GB"/>
              </w:rPr>
            </w:pPr>
          </w:p>
        </w:tc>
        <w:tc>
          <w:tcPr>
            <w:tcW w:w="590" w:type="pct"/>
            <w:tcBorders>
              <w:top w:val="nil"/>
              <w:left w:val="nil"/>
              <w:bottom w:val="nil"/>
              <w:right w:val="nil"/>
            </w:tcBorders>
            <w:shd w:val="clear" w:color="auto" w:fill="auto"/>
            <w:noWrap/>
            <w:vAlign w:val="bottom"/>
            <w:hideMark/>
          </w:tcPr>
          <w:p w14:paraId="6B23D74E"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590" w:type="pct"/>
            <w:tcBorders>
              <w:top w:val="nil"/>
              <w:left w:val="nil"/>
              <w:bottom w:val="nil"/>
              <w:right w:val="nil"/>
            </w:tcBorders>
            <w:shd w:val="clear" w:color="auto" w:fill="auto"/>
            <w:noWrap/>
            <w:vAlign w:val="bottom"/>
            <w:hideMark/>
          </w:tcPr>
          <w:p w14:paraId="5907AADE"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590" w:type="pct"/>
            <w:tcBorders>
              <w:top w:val="nil"/>
              <w:left w:val="nil"/>
              <w:bottom w:val="nil"/>
              <w:right w:val="nil"/>
            </w:tcBorders>
            <w:shd w:val="clear" w:color="auto" w:fill="auto"/>
            <w:noWrap/>
            <w:vAlign w:val="bottom"/>
            <w:hideMark/>
          </w:tcPr>
          <w:p w14:paraId="1632F745"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543" w:type="pct"/>
            <w:tcBorders>
              <w:top w:val="nil"/>
              <w:left w:val="nil"/>
              <w:bottom w:val="nil"/>
              <w:right w:val="nil"/>
            </w:tcBorders>
            <w:shd w:val="clear" w:color="auto" w:fill="auto"/>
            <w:noWrap/>
            <w:vAlign w:val="bottom"/>
            <w:hideMark/>
          </w:tcPr>
          <w:p w14:paraId="3C44C5C4"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352" w:type="pct"/>
            <w:tcBorders>
              <w:top w:val="nil"/>
              <w:left w:val="nil"/>
              <w:bottom w:val="nil"/>
              <w:right w:val="nil"/>
            </w:tcBorders>
            <w:shd w:val="clear" w:color="auto" w:fill="auto"/>
            <w:noWrap/>
            <w:vAlign w:val="bottom"/>
            <w:hideMark/>
          </w:tcPr>
          <w:p w14:paraId="3563D6C8"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r>
      <w:tr w:rsidR="0096453D" w:rsidRPr="0050551E" w14:paraId="71AC0818" w14:textId="77777777" w:rsidTr="0096453D">
        <w:trPr>
          <w:trHeight w:val="675"/>
        </w:trPr>
        <w:tc>
          <w:tcPr>
            <w:tcW w:w="590" w:type="pct"/>
            <w:tcBorders>
              <w:top w:val="nil"/>
              <w:left w:val="single" w:sz="4" w:space="0" w:color="auto"/>
              <w:bottom w:val="single" w:sz="4" w:space="0" w:color="auto"/>
              <w:right w:val="single" w:sz="4" w:space="0" w:color="auto"/>
            </w:tcBorders>
            <w:shd w:val="clear" w:color="auto" w:fill="auto"/>
            <w:noWrap/>
            <w:vAlign w:val="center"/>
            <w:hideMark/>
          </w:tcPr>
          <w:p w14:paraId="1D4F9FED"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1.99 (-4.84, 8.74)</w:t>
            </w:r>
          </w:p>
        </w:tc>
        <w:tc>
          <w:tcPr>
            <w:tcW w:w="590" w:type="pct"/>
            <w:tcBorders>
              <w:top w:val="nil"/>
              <w:left w:val="nil"/>
              <w:bottom w:val="single" w:sz="4" w:space="0" w:color="auto"/>
              <w:right w:val="single" w:sz="4" w:space="0" w:color="auto"/>
            </w:tcBorders>
            <w:shd w:val="clear" w:color="auto" w:fill="auto"/>
            <w:noWrap/>
            <w:vAlign w:val="center"/>
            <w:hideMark/>
          </w:tcPr>
          <w:p w14:paraId="12B7084A"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1.41 (-5.89, 8.58)</w:t>
            </w:r>
          </w:p>
        </w:tc>
        <w:tc>
          <w:tcPr>
            <w:tcW w:w="570" w:type="pct"/>
            <w:tcBorders>
              <w:top w:val="nil"/>
              <w:left w:val="nil"/>
              <w:bottom w:val="single" w:sz="4" w:space="0" w:color="auto"/>
              <w:right w:val="single" w:sz="4" w:space="0" w:color="auto"/>
            </w:tcBorders>
            <w:shd w:val="clear" w:color="auto" w:fill="auto"/>
            <w:noWrap/>
            <w:vAlign w:val="center"/>
            <w:hideMark/>
          </w:tcPr>
          <w:p w14:paraId="12C5B369"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0.44 (-5.48, 6.13)</w:t>
            </w:r>
          </w:p>
        </w:tc>
        <w:tc>
          <w:tcPr>
            <w:tcW w:w="584" w:type="pct"/>
            <w:tcBorders>
              <w:top w:val="single" w:sz="4" w:space="0" w:color="auto"/>
              <w:left w:val="nil"/>
              <w:bottom w:val="single" w:sz="4" w:space="0" w:color="auto"/>
              <w:right w:val="single" w:sz="4" w:space="0" w:color="auto"/>
            </w:tcBorders>
            <w:shd w:val="clear" w:color="000000" w:fill="F8CBAD"/>
            <w:noWrap/>
            <w:vAlign w:val="center"/>
            <w:hideMark/>
          </w:tcPr>
          <w:p w14:paraId="45808348" w14:textId="51EF9199" w:rsidR="0096453D" w:rsidRPr="0031702A" w:rsidRDefault="0096453D"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Galcanezumab 120</w:t>
            </w:r>
            <w:r w:rsidR="00170693">
              <w:rPr>
                <w:rFonts w:eastAsia="Times New Roman" w:cs="Calibri"/>
                <w:color w:val="000000"/>
                <w:sz w:val="20"/>
                <w:szCs w:val="20"/>
                <w:lang w:eastAsia="en-GB"/>
              </w:rPr>
              <w:t>mg</w:t>
            </w:r>
          </w:p>
        </w:tc>
        <w:tc>
          <w:tcPr>
            <w:tcW w:w="590" w:type="pct"/>
            <w:tcBorders>
              <w:top w:val="nil"/>
              <w:left w:val="nil"/>
              <w:bottom w:val="nil"/>
              <w:right w:val="nil"/>
            </w:tcBorders>
            <w:shd w:val="clear" w:color="auto" w:fill="auto"/>
            <w:noWrap/>
            <w:vAlign w:val="bottom"/>
            <w:hideMark/>
          </w:tcPr>
          <w:p w14:paraId="6E394D93" w14:textId="77777777" w:rsidR="0096453D" w:rsidRPr="0031702A" w:rsidRDefault="0096453D" w:rsidP="00611803">
            <w:pPr>
              <w:spacing w:line="240" w:lineRule="auto"/>
              <w:jc w:val="center"/>
              <w:rPr>
                <w:rFonts w:eastAsia="Times New Roman" w:cs="Calibri"/>
                <w:color w:val="000000"/>
                <w:sz w:val="20"/>
                <w:szCs w:val="20"/>
                <w:lang w:eastAsia="en-GB"/>
              </w:rPr>
            </w:pPr>
          </w:p>
        </w:tc>
        <w:tc>
          <w:tcPr>
            <w:tcW w:w="590" w:type="pct"/>
            <w:tcBorders>
              <w:top w:val="nil"/>
              <w:left w:val="nil"/>
              <w:bottom w:val="nil"/>
              <w:right w:val="nil"/>
            </w:tcBorders>
            <w:shd w:val="clear" w:color="auto" w:fill="auto"/>
            <w:noWrap/>
            <w:vAlign w:val="bottom"/>
            <w:hideMark/>
          </w:tcPr>
          <w:p w14:paraId="2761FA3D"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590" w:type="pct"/>
            <w:tcBorders>
              <w:top w:val="nil"/>
              <w:left w:val="nil"/>
              <w:bottom w:val="nil"/>
              <w:right w:val="nil"/>
            </w:tcBorders>
            <w:shd w:val="clear" w:color="auto" w:fill="auto"/>
            <w:noWrap/>
            <w:vAlign w:val="bottom"/>
            <w:hideMark/>
          </w:tcPr>
          <w:p w14:paraId="74C9B71F"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543" w:type="pct"/>
            <w:tcBorders>
              <w:top w:val="nil"/>
              <w:left w:val="nil"/>
              <w:bottom w:val="nil"/>
              <w:right w:val="nil"/>
            </w:tcBorders>
            <w:shd w:val="clear" w:color="auto" w:fill="auto"/>
            <w:noWrap/>
            <w:vAlign w:val="bottom"/>
            <w:hideMark/>
          </w:tcPr>
          <w:p w14:paraId="79830C9B"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352" w:type="pct"/>
            <w:tcBorders>
              <w:top w:val="nil"/>
              <w:left w:val="nil"/>
              <w:bottom w:val="nil"/>
              <w:right w:val="nil"/>
            </w:tcBorders>
            <w:shd w:val="clear" w:color="auto" w:fill="auto"/>
            <w:noWrap/>
            <w:vAlign w:val="bottom"/>
            <w:hideMark/>
          </w:tcPr>
          <w:p w14:paraId="33878953"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r>
      <w:tr w:rsidR="0096453D" w:rsidRPr="0050551E" w14:paraId="2C9606F9" w14:textId="77777777" w:rsidTr="0096453D">
        <w:trPr>
          <w:trHeight w:val="675"/>
        </w:trPr>
        <w:tc>
          <w:tcPr>
            <w:tcW w:w="590" w:type="pct"/>
            <w:tcBorders>
              <w:top w:val="nil"/>
              <w:left w:val="single" w:sz="4" w:space="0" w:color="auto"/>
              <w:bottom w:val="single" w:sz="4" w:space="0" w:color="auto"/>
              <w:right w:val="single" w:sz="4" w:space="0" w:color="auto"/>
            </w:tcBorders>
            <w:shd w:val="clear" w:color="auto" w:fill="auto"/>
            <w:noWrap/>
            <w:vAlign w:val="center"/>
            <w:hideMark/>
          </w:tcPr>
          <w:p w14:paraId="6FBF83D7"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2.30 (-4.41, 9.12)</w:t>
            </w:r>
          </w:p>
        </w:tc>
        <w:tc>
          <w:tcPr>
            <w:tcW w:w="590" w:type="pct"/>
            <w:tcBorders>
              <w:top w:val="nil"/>
              <w:left w:val="nil"/>
              <w:bottom w:val="single" w:sz="4" w:space="0" w:color="auto"/>
              <w:right w:val="single" w:sz="4" w:space="0" w:color="auto"/>
            </w:tcBorders>
            <w:shd w:val="clear" w:color="auto" w:fill="auto"/>
            <w:noWrap/>
            <w:vAlign w:val="center"/>
            <w:hideMark/>
          </w:tcPr>
          <w:p w14:paraId="2131CA84"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1.71 (-5.70, 9.30)</w:t>
            </w:r>
          </w:p>
        </w:tc>
        <w:tc>
          <w:tcPr>
            <w:tcW w:w="570" w:type="pct"/>
            <w:tcBorders>
              <w:top w:val="nil"/>
              <w:left w:val="nil"/>
              <w:bottom w:val="single" w:sz="4" w:space="0" w:color="auto"/>
              <w:right w:val="single" w:sz="4" w:space="0" w:color="auto"/>
            </w:tcBorders>
            <w:shd w:val="clear" w:color="auto" w:fill="auto"/>
            <w:noWrap/>
            <w:vAlign w:val="center"/>
            <w:hideMark/>
          </w:tcPr>
          <w:p w14:paraId="0E32E3BA"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0.74 (-4.96, 6.49)</w:t>
            </w:r>
          </w:p>
        </w:tc>
        <w:tc>
          <w:tcPr>
            <w:tcW w:w="584" w:type="pct"/>
            <w:tcBorders>
              <w:top w:val="nil"/>
              <w:left w:val="nil"/>
              <w:bottom w:val="single" w:sz="4" w:space="0" w:color="auto"/>
              <w:right w:val="single" w:sz="4" w:space="0" w:color="auto"/>
            </w:tcBorders>
            <w:shd w:val="clear" w:color="auto" w:fill="auto"/>
            <w:noWrap/>
            <w:vAlign w:val="center"/>
            <w:hideMark/>
          </w:tcPr>
          <w:p w14:paraId="51570BC5"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-0.31 (-4.08, 3.49)</w:t>
            </w:r>
          </w:p>
        </w:tc>
        <w:tc>
          <w:tcPr>
            <w:tcW w:w="590" w:type="pct"/>
            <w:tcBorders>
              <w:top w:val="single" w:sz="4" w:space="0" w:color="auto"/>
              <w:left w:val="nil"/>
              <w:bottom w:val="single" w:sz="4" w:space="0" w:color="auto"/>
              <w:right w:val="single" w:sz="4" w:space="0" w:color="auto"/>
            </w:tcBorders>
            <w:shd w:val="clear" w:color="000000" w:fill="F8CBAD"/>
            <w:noWrap/>
            <w:vAlign w:val="center"/>
            <w:hideMark/>
          </w:tcPr>
          <w:p w14:paraId="136B5D0F" w14:textId="2847EADB" w:rsidR="0096453D" w:rsidRPr="0031702A" w:rsidRDefault="0096453D"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Galcanezumab 240</w:t>
            </w:r>
            <w:r w:rsidR="00170693">
              <w:rPr>
                <w:rFonts w:eastAsia="Times New Roman" w:cs="Calibri"/>
                <w:color w:val="000000"/>
                <w:sz w:val="20"/>
                <w:szCs w:val="20"/>
                <w:lang w:eastAsia="en-GB"/>
              </w:rPr>
              <w:t>mg</w:t>
            </w:r>
          </w:p>
        </w:tc>
        <w:tc>
          <w:tcPr>
            <w:tcW w:w="590" w:type="pct"/>
            <w:tcBorders>
              <w:top w:val="nil"/>
              <w:left w:val="nil"/>
              <w:bottom w:val="nil"/>
              <w:right w:val="nil"/>
            </w:tcBorders>
            <w:shd w:val="clear" w:color="auto" w:fill="auto"/>
            <w:noWrap/>
            <w:vAlign w:val="bottom"/>
            <w:hideMark/>
          </w:tcPr>
          <w:p w14:paraId="18DDCFC9" w14:textId="77777777" w:rsidR="0096453D" w:rsidRPr="0031702A" w:rsidRDefault="0096453D" w:rsidP="00611803">
            <w:pPr>
              <w:spacing w:line="240" w:lineRule="auto"/>
              <w:jc w:val="center"/>
              <w:rPr>
                <w:rFonts w:eastAsia="Times New Roman" w:cs="Calibri"/>
                <w:color w:val="000000"/>
                <w:sz w:val="20"/>
                <w:szCs w:val="20"/>
                <w:lang w:eastAsia="en-GB"/>
              </w:rPr>
            </w:pPr>
          </w:p>
        </w:tc>
        <w:tc>
          <w:tcPr>
            <w:tcW w:w="590" w:type="pct"/>
            <w:tcBorders>
              <w:top w:val="nil"/>
              <w:left w:val="nil"/>
              <w:bottom w:val="nil"/>
              <w:right w:val="nil"/>
            </w:tcBorders>
            <w:shd w:val="clear" w:color="auto" w:fill="auto"/>
            <w:noWrap/>
            <w:vAlign w:val="bottom"/>
            <w:hideMark/>
          </w:tcPr>
          <w:p w14:paraId="10790280"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543" w:type="pct"/>
            <w:tcBorders>
              <w:top w:val="nil"/>
              <w:left w:val="nil"/>
              <w:bottom w:val="nil"/>
              <w:right w:val="nil"/>
            </w:tcBorders>
            <w:shd w:val="clear" w:color="auto" w:fill="auto"/>
            <w:noWrap/>
            <w:vAlign w:val="bottom"/>
            <w:hideMark/>
          </w:tcPr>
          <w:p w14:paraId="0D61AFFC"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352" w:type="pct"/>
            <w:tcBorders>
              <w:top w:val="nil"/>
              <w:left w:val="nil"/>
              <w:bottom w:val="nil"/>
              <w:right w:val="nil"/>
            </w:tcBorders>
            <w:shd w:val="clear" w:color="auto" w:fill="auto"/>
            <w:noWrap/>
            <w:vAlign w:val="bottom"/>
            <w:hideMark/>
          </w:tcPr>
          <w:p w14:paraId="77A914F6"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r>
      <w:tr w:rsidR="0096453D" w:rsidRPr="0050551E" w14:paraId="1890388B" w14:textId="77777777" w:rsidTr="0096453D">
        <w:trPr>
          <w:trHeight w:val="675"/>
        </w:trPr>
        <w:tc>
          <w:tcPr>
            <w:tcW w:w="590" w:type="pct"/>
            <w:tcBorders>
              <w:top w:val="nil"/>
              <w:left w:val="single" w:sz="4" w:space="0" w:color="auto"/>
              <w:bottom w:val="single" w:sz="4" w:space="0" w:color="auto"/>
              <w:right w:val="single" w:sz="4" w:space="0" w:color="auto"/>
            </w:tcBorders>
            <w:shd w:val="clear" w:color="auto" w:fill="auto"/>
            <w:noWrap/>
            <w:vAlign w:val="center"/>
            <w:hideMark/>
          </w:tcPr>
          <w:p w14:paraId="12963DA0"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-2.72 (-10.92, 5.49)</w:t>
            </w:r>
          </w:p>
        </w:tc>
        <w:tc>
          <w:tcPr>
            <w:tcW w:w="590" w:type="pct"/>
            <w:tcBorders>
              <w:top w:val="nil"/>
              <w:left w:val="nil"/>
              <w:bottom w:val="single" w:sz="4" w:space="0" w:color="auto"/>
              <w:right w:val="single" w:sz="4" w:space="0" w:color="auto"/>
            </w:tcBorders>
            <w:shd w:val="clear" w:color="auto" w:fill="auto"/>
            <w:noWrap/>
            <w:vAlign w:val="center"/>
            <w:hideMark/>
          </w:tcPr>
          <w:p w14:paraId="28C6DB53"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-2.13 (-11.04,6.98)</w:t>
            </w:r>
          </w:p>
        </w:tc>
        <w:tc>
          <w:tcPr>
            <w:tcW w:w="570" w:type="pct"/>
            <w:tcBorders>
              <w:top w:val="nil"/>
              <w:left w:val="nil"/>
              <w:bottom w:val="single" w:sz="4" w:space="0" w:color="auto"/>
              <w:right w:val="single" w:sz="4" w:space="0" w:color="auto"/>
            </w:tcBorders>
            <w:shd w:val="clear" w:color="auto" w:fill="auto"/>
            <w:noWrap/>
            <w:vAlign w:val="center"/>
            <w:hideMark/>
          </w:tcPr>
          <w:p w14:paraId="6FD8BB78"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1.17 (-6.56, 8.78)</w:t>
            </w:r>
          </w:p>
        </w:tc>
        <w:tc>
          <w:tcPr>
            <w:tcW w:w="584" w:type="pct"/>
            <w:tcBorders>
              <w:top w:val="nil"/>
              <w:left w:val="nil"/>
              <w:bottom w:val="single" w:sz="4" w:space="0" w:color="auto"/>
              <w:right w:val="single" w:sz="4" w:space="0" w:color="auto"/>
            </w:tcBorders>
            <w:shd w:val="clear" w:color="auto" w:fill="auto"/>
            <w:noWrap/>
            <w:vAlign w:val="center"/>
            <w:hideMark/>
          </w:tcPr>
          <w:p w14:paraId="689CCCE6"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-0.73 (-7.79, 6.61)</w:t>
            </w:r>
          </w:p>
        </w:tc>
        <w:tc>
          <w:tcPr>
            <w:tcW w:w="590" w:type="pct"/>
            <w:tcBorders>
              <w:top w:val="nil"/>
              <w:left w:val="nil"/>
              <w:bottom w:val="single" w:sz="4" w:space="0" w:color="auto"/>
              <w:right w:val="single" w:sz="4" w:space="0" w:color="auto"/>
            </w:tcBorders>
            <w:shd w:val="clear" w:color="auto" w:fill="auto"/>
            <w:noWrap/>
            <w:vAlign w:val="center"/>
            <w:hideMark/>
          </w:tcPr>
          <w:p w14:paraId="626D7961"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-0.42(-7.52, 6.94)</w:t>
            </w:r>
          </w:p>
        </w:tc>
        <w:tc>
          <w:tcPr>
            <w:tcW w:w="590" w:type="pct"/>
            <w:tcBorders>
              <w:top w:val="single" w:sz="4" w:space="0" w:color="auto"/>
              <w:left w:val="nil"/>
              <w:bottom w:val="single" w:sz="4" w:space="0" w:color="auto"/>
              <w:right w:val="single" w:sz="4" w:space="0" w:color="auto"/>
            </w:tcBorders>
            <w:shd w:val="clear" w:color="000000" w:fill="F8CBAD"/>
            <w:noWrap/>
            <w:vAlign w:val="center"/>
            <w:hideMark/>
          </w:tcPr>
          <w:p w14:paraId="1CD678AC" w14:textId="0FE67863" w:rsidR="0096453D" w:rsidRPr="0031702A" w:rsidRDefault="0096453D"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 xml:space="preserve"> Topiramate 100</w:t>
            </w:r>
            <w:r w:rsidR="00170693">
              <w:rPr>
                <w:rFonts w:eastAsia="Times New Roman" w:cs="Calibri"/>
                <w:color w:val="000000"/>
                <w:sz w:val="20"/>
                <w:szCs w:val="20"/>
                <w:lang w:eastAsia="en-GB"/>
              </w:rPr>
              <w:t>mg</w:t>
            </w:r>
          </w:p>
        </w:tc>
        <w:tc>
          <w:tcPr>
            <w:tcW w:w="590" w:type="pct"/>
            <w:tcBorders>
              <w:top w:val="nil"/>
              <w:left w:val="nil"/>
              <w:bottom w:val="nil"/>
              <w:right w:val="nil"/>
            </w:tcBorders>
            <w:shd w:val="clear" w:color="auto" w:fill="auto"/>
            <w:noWrap/>
            <w:vAlign w:val="bottom"/>
            <w:hideMark/>
          </w:tcPr>
          <w:p w14:paraId="6AE030AE" w14:textId="77777777" w:rsidR="0096453D" w:rsidRPr="0031702A" w:rsidRDefault="0096453D" w:rsidP="00611803">
            <w:pPr>
              <w:spacing w:line="240" w:lineRule="auto"/>
              <w:jc w:val="center"/>
              <w:rPr>
                <w:rFonts w:eastAsia="Times New Roman" w:cs="Calibri"/>
                <w:color w:val="000000"/>
                <w:sz w:val="20"/>
                <w:szCs w:val="20"/>
                <w:lang w:eastAsia="en-GB"/>
              </w:rPr>
            </w:pPr>
          </w:p>
        </w:tc>
        <w:tc>
          <w:tcPr>
            <w:tcW w:w="543" w:type="pct"/>
            <w:tcBorders>
              <w:top w:val="nil"/>
              <w:left w:val="nil"/>
              <w:bottom w:val="nil"/>
              <w:right w:val="nil"/>
            </w:tcBorders>
            <w:shd w:val="clear" w:color="auto" w:fill="auto"/>
            <w:noWrap/>
            <w:vAlign w:val="bottom"/>
            <w:hideMark/>
          </w:tcPr>
          <w:p w14:paraId="35B86704"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c>
          <w:tcPr>
            <w:tcW w:w="352" w:type="pct"/>
            <w:tcBorders>
              <w:top w:val="nil"/>
              <w:left w:val="nil"/>
              <w:bottom w:val="nil"/>
              <w:right w:val="nil"/>
            </w:tcBorders>
            <w:shd w:val="clear" w:color="auto" w:fill="auto"/>
            <w:noWrap/>
            <w:vAlign w:val="bottom"/>
            <w:hideMark/>
          </w:tcPr>
          <w:p w14:paraId="7E54DC31"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r>
      <w:tr w:rsidR="0096453D" w:rsidRPr="0050551E" w14:paraId="5611E98A" w14:textId="77777777" w:rsidTr="0096453D">
        <w:trPr>
          <w:trHeight w:val="675"/>
        </w:trPr>
        <w:tc>
          <w:tcPr>
            <w:tcW w:w="590" w:type="pct"/>
            <w:tcBorders>
              <w:top w:val="nil"/>
              <w:left w:val="single" w:sz="4" w:space="0" w:color="auto"/>
              <w:bottom w:val="single" w:sz="4" w:space="0" w:color="auto"/>
              <w:right w:val="single" w:sz="4" w:space="0" w:color="auto"/>
            </w:tcBorders>
            <w:shd w:val="clear" w:color="auto" w:fill="auto"/>
            <w:noWrap/>
            <w:vAlign w:val="center"/>
            <w:hideMark/>
          </w:tcPr>
          <w:p w14:paraId="6FD5DFF8"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5.01 (-1.35, 11.35)</w:t>
            </w:r>
          </w:p>
        </w:tc>
        <w:tc>
          <w:tcPr>
            <w:tcW w:w="590" w:type="pct"/>
            <w:tcBorders>
              <w:top w:val="nil"/>
              <w:left w:val="nil"/>
              <w:bottom w:val="single" w:sz="4" w:space="0" w:color="auto"/>
              <w:right w:val="single" w:sz="4" w:space="0" w:color="auto"/>
            </w:tcBorders>
            <w:shd w:val="clear" w:color="auto" w:fill="auto"/>
            <w:noWrap/>
            <w:vAlign w:val="center"/>
            <w:hideMark/>
          </w:tcPr>
          <w:p w14:paraId="7AFE2520"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4.42 (-2.31 11.35)</w:t>
            </w:r>
          </w:p>
        </w:tc>
        <w:tc>
          <w:tcPr>
            <w:tcW w:w="570" w:type="pct"/>
            <w:tcBorders>
              <w:top w:val="nil"/>
              <w:left w:val="nil"/>
              <w:bottom w:val="single" w:sz="4" w:space="0" w:color="auto"/>
              <w:right w:val="single" w:sz="4" w:space="0" w:color="auto"/>
            </w:tcBorders>
            <w:shd w:val="clear" w:color="auto" w:fill="auto"/>
            <w:noWrap/>
            <w:vAlign w:val="center"/>
            <w:hideMark/>
          </w:tcPr>
          <w:p w14:paraId="02E33C88"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3.46 (-1.88, 8.79)</w:t>
            </w:r>
          </w:p>
        </w:tc>
        <w:tc>
          <w:tcPr>
            <w:tcW w:w="584" w:type="pct"/>
            <w:tcBorders>
              <w:top w:val="nil"/>
              <w:left w:val="nil"/>
              <w:bottom w:val="single" w:sz="4" w:space="0" w:color="auto"/>
              <w:right w:val="single" w:sz="4" w:space="0" w:color="auto"/>
            </w:tcBorders>
            <w:shd w:val="clear" w:color="auto" w:fill="auto"/>
            <w:noWrap/>
            <w:vAlign w:val="center"/>
            <w:hideMark/>
          </w:tcPr>
          <w:p w14:paraId="6295E347"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3.02 (-1.73, 7.69)</w:t>
            </w:r>
          </w:p>
        </w:tc>
        <w:tc>
          <w:tcPr>
            <w:tcW w:w="590" w:type="pct"/>
            <w:tcBorders>
              <w:top w:val="nil"/>
              <w:left w:val="nil"/>
              <w:bottom w:val="single" w:sz="4" w:space="0" w:color="auto"/>
              <w:right w:val="single" w:sz="4" w:space="0" w:color="auto"/>
            </w:tcBorders>
            <w:shd w:val="clear" w:color="auto" w:fill="auto"/>
            <w:noWrap/>
            <w:vAlign w:val="center"/>
            <w:hideMark/>
          </w:tcPr>
          <w:p w14:paraId="2B3D0BA4"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2.71 (-2.00, 7.39)</w:t>
            </w:r>
          </w:p>
        </w:tc>
        <w:tc>
          <w:tcPr>
            <w:tcW w:w="590" w:type="pct"/>
            <w:tcBorders>
              <w:top w:val="nil"/>
              <w:left w:val="nil"/>
              <w:bottom w:val="single" w:sz="4" w:space="0" w:color="auto"/>
              <w:right w:val="single" w:sz="4" w:space="0" w:color="auto"/>
            </w:tcBorders>
            <w:shd w:val="clear" w:color="auto" w:fill="auto"/>
            <w:noWrap/>
            <w:vAlign w:val="center"/>
            <w:hideMark/>
          </w:tcPr>
          <w:p w14:paraId="5FF44BD2"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2.29 (-4.60, 9.13</w:t>
            </w:r>
          </w:p>
        </w:tc>
        <w:tc>
          <w:tcPr>
            <w:tcW w:w="590" w:type="pct"/>
            <w:tcBorders>
              <w:top w:val="single" w:sz="4" w:space="0" w:color="auto"/>
              <w:left w:val="nil"/>
              <w:bottom w:val="single" w:sz="4" w:space="0" w:color="auto"/>
              <w:right w:val="single" w:sz="4" w:space="0" w:color="auto"/>
            </w:tcBorders>
            <w:shd w:val="clear" w:color="000000" w:fill="F8CBAD"/>
            <w:noWrap/>
            <w:vAlign w:val="center"/>
            <w:hideMark/>
          </w:tcPr>
          <w:p w14:paraId="3A0DAECD" w14:textId="77777777" w:rsidR="0096453D" w:rsidRPr="0031702A" w:rsidRDefault="0096453D"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Fremanezumab-Q</w:t>
            </w:r>
          </w:p>
        </w:tc>
        <w:tc>
          <w:tcPr>
            <w:tcW w:w="543" w:type="pct"/>
            <w:tcBorders>
              <w:top w:val="nil"/>
              <w:left w:val="nil"/>
              <w:bottom w:val="nil"/>
              <w:right w:val="nil"/>
            </w:tcBorders>
            <w:shd w:val="clear" w:color="auto" w:fill="auto"/>
            <w:noWrap/>
            <w:vAlign w:val="bottom"/>
            <w:hideMark/>
          </w:tcPr>
          <w:p w14:paraId="39F7BD73" w14:textId="77777777" w:rsidR="0096453D" w:rsidRPr="0031702A" w:rsidRDefault="0096453D" w:rsidP="00611803">
            <w:pPr>
              <w:spacing w:line="240" w:lineRule="auto"/>
              <w:jc w:val="center"/>
              <w:rPr>
                <w:rFonts w:eastAsia="Times New Roman" w:cs="Calibri"/>
                <w:color w:val="000000"/>
                <w:sz w:val="20"/>
                <w:szCs w:val="20"/>
                <w:lang w:eastAsia="en-GB"/>
              </w:rPr>
            </w:pPr>
          </w:p>
        </w:tc>
        <w:tc>
          <w:tcPr>
            <w:tcW w:w="352" w:type="pct"/>
            <w:tcBorders>
              <w:top w:val="nil"/>
              <w:left w:val="nil"/>
              <w:bottom w:val="nil"/>
              <w:right w:val="nil"/>
            </w:tcBorders>
            <w:shd w:val="clear" w:color="auto" w:fill="auto"/>
            <w:noWrap/>
            <w:vAlign w:val="bottom"/>
            <w:hideMark/>
          </w:tcPr>
          <w:p w14:paraId="702BA97C" w14:textId="77777777" w:rsidR="0096453D" w:rsidRPr="0031702A" w:rsidRDefault="0096453D" w:rsidP="00611803">
            <w:pPr>
              <w:spacing w:line="240" w:lineRule="auto"/>
              <w:rPr>
                <w:rFonts w:ascii="Times New Roman" w:eastAsia="Times New Roman" w:hAnsi="Times New Roman" w:cs="Times New Roman"/>
                <w:sz w:val="20"/>
                <w:szCs w:val="20"/>
                <w:lang w:eastAsia="en-GB"/>
              </w:rPr>
            </w:pPr>
          </w:p>
        </w:tc>
      </w:tr>
      <w:tr w:rsidR="0096453D" w:rsidRPr="0050551E" w14:paraId="591C707A" w14:textId="77777777" w:rsidTr="0096453D">
        <w:trPr>
          <w:trHeight w:val="675"/>
        </w:trPr>
        <w:tc>
          <w:tcPr>
            <w:tcW w:w="590" w:type="pct"/>
            <w:tcBorders>
              <w:top w:val="nil"/>
              <w:left w:val="single" w:sz="4" w:space="0" w:color="auto"/>
              <w:bottom w:val="single" w:sz="4" w:space="0" w:color="auto"/>
              <w:right w:val="single" w:sz="4" w:space="0" w:color="auto"/>
            </w:tcBorders>
            <w:shd w:val="clear" w:color="auto" w:fill="auto"/>
            <w:noWrap/>
            <w:vAlign w:val="center"/>
            <w:hideMark/>
          </w:tcPr>
          <w:p w14:paraId="083937C4"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5.58 (-0.77, 11.65)</w:t>
            </w:r>
          </w:p>
        </w:tc>
        <w:tc>
          <w:tcPr>
            <w:tcW w:w="590" w:type="pct"/>
            <w:tcBorders>
              <w:top w:val="nil"/>
              <w:left w:val="nil"/>
              <w:bottom w:val="single" w:sz="4" w:space="0" w:color="auto"/>
              <w:right w:val="single" w:sz="4" w:space="0" w:color="auto"/>
            </w:tcBorders>
            <w:shd w:val="clear" w:color="auto" w:fill="auto"/>
            <w:noWrap/>
            <w:vAlign w:val="center"/>
            <w:hideMark/>
          </w:tcPr>
          <w:p w14:paraId="161D0B82"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4.99 (-3.48, 11.74)</w:t>
            </w:r>
          </w:p>
        </w:tc>
        <w:tc>
          <w:tcPr>
            <w:tcW w:w="570" w:type="pct"/>
            <w:tcBorders>
              <w:top w:val="nil"/>
              <w:left w:val="nil"/>
              <w:bottom w:val="single" w:sz="4" w:space="0" w:color="auto"/>
              <w:right w:val="single" w:sz="4" w:space="0" w:color="auto"/>
            </w:tcBorders>
            <w:shd w:val="clear" w:color="auto" w:fill="auto"/>
            <w:noWrap/>
            <w:vAlign w:val="center"/>
            <w:hideMark/>
          </w:tcPr>
          <w:p w14:paraId="734F41A1"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4.03 (-1.10, 9.18)</w:t>
            </w:r>
          </w:p>
        </w:tc>
        <w:tc>
          <w:tcPr>
            <w:tcW w:w="584" w:type="pct"/>
            <w:tcBorders>
              <w:top w:val="nil"/>
              <w:left w:val="nil"/>
              <w:bottom w:val="single" w:sz="4" w:space="0" w:color="auto"/>
              <w:right w:val="single" w:sz="4" w:space="0" w:color="auto"/>
            </w:tcBorders>
            <w:shd w:val="clear" w:color="auto" w:fill="auto"/>
            <w:noWrap/>
            <w:vAlign w:val="center"/>
            <w:hideMark/>
          </w:tcPr>
          <w:p w14:paraId="4295C1A9"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3.59 (-1.09, 8.25)</w:t>
            </w:r>
          </w:p>
        </w:tc>
        <w:tc>
          <w:tcPr>
            <w:tcW w:w="590" w:type="pct"/>
            <w:tcBorders>
              <w:top w:val="nil"/>
              <w:left w:val="nil"/>
              <w:bottom w:val="single" w:sz="4" w:space="0" w:color="auto"/>
              <w:right w:val="single" w:sz="4" w:space="0" w:color="auto"/>
            </w:tcBorders>
            <w:shd w:val="clear" w:color="auto" w:fill="auto"/>
            <w:noWrap/>
            <w:vAlign w:val="center"/>
            <w:hideMark/>
          </w:tcPr>
          <w:p w14:paraId="06335A1F"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3.28 (-1.31, 7.72)</w:t>
            </w:r>
          </w:p>
        </w:tc>
        <w:tc>
          <w:tcPr>
            <w:tcW w:w="590" w:type="pct"/>
            <w:tcBorders>
              <w:top w:val="nil"/>
              <w:left w:val="nil"/>
              <w:bottom w:val="single" w:sz="4" w:space="0" w:color="auto"/>
              <w:right w:val="single" w:sz="4" w:space="0" w:color="auto"/>
            </w:tcBorders>
            <w:shd w:val="clear" w:color="auto" w:fill="auto"/>
            <w:noWrap/>
            <w:vAlign w:val="center"/>
            <w:hideMark/>
          </w:tcPr>
          <w:p w14:paraId="7B15160C"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2.86 (-3.78, 9.31)</w:t>
            </w:r>
          </w:p>
        </w:tc>
        <w:tc>
          <w:tcPr>
            <w:tcW w:w="590" w:type="pct"/>
            <w:tcBorders>
              <w:top w:val="nil"/>
              <w:left w:val="nil"/>
              <w:bottom w:val="single" w:sz="4" w:space="0" w:color="auto"/>
              <w:right w:val="single" w:sz="4" w:space="0" w:color="auto"/>
            </w:tcBorders>
            <w:shd w:val="clear" w:color="auto" w:fill="auto"/>
            <w:noWrap/>
            <w:vAlign w:val="center"/>
            <w:hideMark/>
          </w:tcPr>
          <w:p w14:paraId="72FBD2CD" w14:textId="77777777" w:rsidR="0096453D" w:rsidRPr="004B23BF" w:rsidRDefault="0096453D" w:rsidP="00611803">
            <w:pPr>
              <w:spacing w:line="240" w:lineRule="auto"/>
              <w:jc w:val="center"/>
              <w:rPr>
                <w:rFonts w:eastAsia="Times New Roman" w:cs="Calibri"/>
                <w:color w:val="000000"/>
                <w:sz w:val="20"/>
                <w:szCs w:val="20"/>
                <w:lang w:eastAsia="en-GB"/>
              </w:rPr>
            </w:pPr>
            <w:r w:rsidRPr="004B23BF">
              <w:rPr>
                <w:rFonts w:eastAsia="Times New Roman" w:cs="Calibri"/>
                <w:color w:val="000000"/>
                <w:sz w:val="20"/>
                <w:szCs w:val="20"/>
                <w:lang w:eastAsia="en-GB"/>
              </w:rPr>
              <w:t>-0.57 (-3.31, 2.21)</w:t>
            </w:r>
          </w:p>
        </w:tc>
        <w:tc>
          <w:tcPr>
            <w:tcW w:w="543" w:type="pct"/>
            <w:tcBorders>
              <w:top w:val="single" w:sz="4" w:space="0" w:color="auto"/>
              <w:left w:val="nil"/>
              <w:bottom w:val="single" w:sz="4" w:space="0" w:color="auto"/>
              <w:right w:val="single" w:sz="4" w:space="0" w:color="auto"/>
            </w:tcBorders>
            <w:shd w:val="clear" w:color="000000" w:fill="F8CBAD"/>
            <w:noWrap/>
            <w:vAlign w:val="center"/>
            <w:hideMark/>
          </w:tcPr>
          <w:p w14:paraId="41D2F9D5" w14:textId="77777777" w:rsidR="0096453D" w:rsidRPr="0031702A" w:rsidRDefault="0096453D"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 xml:space="preserve"> Fremanezumab-M</w:t>
            </w:r>
          </w:p>
        </w:tc>
        <w:tc>
          <w:tcPr>
            <w:tcW w:w="352" w:type="pct"/>
            <w:tcBorders>
              <w:top w:val="nil"/>
              <w:left w:val="nil"/>
              <w:bottom w:val="nil"/>
              <w:right w:val="nil"/>
            </w:tcBorders>
            <w:shd w:val="clear" w:color="auto" w:fill="auto"/>
            <w:noWrap/>
            <w:vAlign w:val="bottom"/>
            <w:hideMark/>
          </w:tcPr>
          <w:p w14:paraId="55C747DB" w14:textId="77777777" w:rsidR="0096453D" w:rsidRPr="0031702A" w:rsidRDefault="0096453D" w:rsidP="00611803">
            <w:pPr>
              <w:spacing w:line="240" w:lineRule="auto"/>
              <w:jc w:val="center"/>
              <w:rPr>
                <w:rFonts w:eastAsia="Times New Roman" w:cs="Calibri"/>
                <w:color w:val="000000"/>
                <w:sz w:val="20"/>
                <w:szCs w:val="20"/>
                <w:lang w:eastAsia="en-GB"/>
              </w:rPr>
            </w:pPr>
          </w:p>
        </w:tc>
      </w:tr>
      <w:tr w:rsidR="0096453D" w:rsidRPr="0050551E" w14:paraId="0B6A3544" w14:textId="77777777" w:rsidTr="0096453D">
        <w:trPr>
          <w:trHeight w:val="675"/>
        </w:trPr>
        <w:tc>
          <w:tcPr>
            <w:tcW w:w="590" w:type="pct"/>
            <w:tcBorders>
              <w:top w:val="nil"/>
              <w:left w:val="single" w:sz="4" w:space="0" w:color="auto"/>
              <w:bottom w:val="single" w:sz="4" w:space="0" w:color="auto"/>
              <w:right w:val="single" w:sz="4" w:space="0" w:color="auto"/>
            </w:tcBorders>
            <w:shd w:val="clear" w:color="auto" w:fill="auto"/>
            <w:noWrap/>
            <w:vAlign w:val="center"/>
            <w:hideMark/>
          </w:tcPr>
          <w:p w14:paraId="3313E2F2" w14:textId="77777777" w:rsidR="0096453D" w:rsidRPr="004B23BF" w:rsidRDefault="0096453D" w:rsidP="00611803">
            <w:pPr>
              <w:spacing w:line="240" w:lineRule="auto"/>
              <w:jc w:val="center"/>
              <w:rPr>
                <w:rFonts w:eastAsia="Times New Roman" w:cs="Calibri"/>
                <w:b/>
                <w:bCs/>
                <w:color w:val="000000"/>
                <w:sz w:val="20"/>
                <w:szCs w:val="20"/>
                <w:lang w:eastAsia="en-GB"/>
              </w:rPr>
            </w:pPr>
            <w:r w:rsidRPr="004B23BF">
              <w:rPr>
                <w:rFonts w:eastAsia="Times New Roman" w:cs="Calibri"/>
                <w:b/>
                <w:bCs/>
                <w:color w:val="000000"/>
                <w:sz w:val="20"/>
                <w:szCs w:val="20"/>
                <w:lang w:eastAsia="en-GB"/>
              </w:rPr>
              <w:t>8.89 (3.20, 14.55)</w:t>
            </w:r>
          </w:p>
        </w:tc>
        <w:tc>
          <w:tcPr>
            <w:tcW w:w="590" w:type="pct"/>
            <w:tcBorders>
              <w:top w:val="nil"/>
              <w:left w:val="nil"/>
              <w:bottom w:val="single" w:sz="4" w:space="0" w:color="auto"/>
              <w:right w:val="single" w:sz="4" w:space="0" w:color="auto"/>
            </w:tcBorders>
            <w:shd w:val="clear" w:color="auto" w:fill="auto"/>
            <w:noWrap/>
            <w:vAlign w:val="center"/>
            <w:hideMark/>
          </w:tcPr>
          <w:p w14:paraId="1CF6239A" w14:textId="77777777" w:rsidR="0096453D" w:rsidRPr="004B23BF" w:rsidRDefault="0096453D" w:rsidP="00611803">
            <w:pPr>
              <w:spacing w:line="240" w:lineRule="auto"/>
              <w:jc w:val="center"/>
              <w:rPr>
                <w:rFonts w:eastAsia="Times New Roman" w:cs="Calibri"/>
                <w:b/>
                <w:bCs/>
                <w:color w:val="000000"/>
                <w:sz w:val="20"/>
                <w:szCs w:val="20"/>
                <w:lang w:eastAsia="en-GB"/>
              </w:rPr>
            </w:pPr>
            <w:r w:rsidRPr="004B23BF">
              <w:rPr>
                <w:rFonts w:eastAsia="Times New Roman" w:cs="Calibri"/>
                <w:b/>
                <w:bCs/>
                <w:color w:val="000000"/>
                <w:sz w:val="20"/>
                <w:szCs w:val="20"/>
                <w:lang w:eastAsia="en-GB"/>
              </w:rPr>
              <w:t>8.30 (2.10, 14.63)</w:t>
            </w:r>
          </w:p>
        </w:tc>
        <w:tc>
          <w:tcPr>
            <w:tcW w:w="570" w:type="pct"/>
            <w:tcBorders>
              <w:top w:val="nil"/>
              <w:left w:val="nil"/>
              <w:bottom w:val="single" w:sz="4" w:space="0" w:color="auto"/>
              <w:right w:val="single" w:sz="4" w:space="0" w:color="auto"/>
            </w:tcBorders>
            <w:shd w:val="clear" w:color="auto" w:fill="auto"/>
            <w:noWrap/>
            <w:vAlign w:val="center"/>
            <w:hideMark/>
          </w:tcPr>
          <w:p w14:paraId="29C07B93" w14:textId="77777777" w:rsidR="0096453D" w:rsidRPr="004B23BF" w:rsidRDefault="0096453D" w:rsidP="00611803">
            <w:pPr>
              <w:spacing w:line="240" w:lineRule="auto"/>
              <w:jc w:val="center"/>
              <w:rPr>
                <w:rFonts w:eastAsia="Times New Roman" w:cs="Calibri"/>
                <w:b/>
                <w:bCs/>
                <w:color w:val="000000"/>
                <w:sz w:val="20"/>
                <w:szCs w:val="20"/>
                <w:lang w:eastAsia="en-GB"/>
              </w:rPr>
            </w:pPr>
            <w:r w:rsidRPr="004B23BF">
              <w:rPr>
                <w:rFonts w:eastAsia="Times New Roman" w:cs="Calibri"/>
                <w:b/>
                <w:bCs/>
                <w:color w:val="000000"/>
                <w:sz w:val="20"/>
                <w:szCs w:val="20"/>
                <w:lang w:eastAsia="en-GB"/>
              </w:rPr>
              <w:t>7.34 (2.90, 11.72)</w:t>
            </w:r>
          </w:p>
        </w:tc>
        <w:tc>
          <w:tcPr>
            <w:tcW w:w="584" w:type="pct"/>
            <w:tcBorders>
              <w:top w:val="nil"/>
              <w:left w:val="nil"/>
              <w:bottom w:val="single" w:sz="4" w:space="0" w:color="auto"/>
              <w:right w:val="single" w:sz="4" w:space="0" w:color="auto"/>
            </w:tcBorders>
            <w:shd w:val="clear" w:color="auto" w:fill="auto"/>
            <w:noWrap/>
            <w:vAlign w:val="center"/>
            <w:hideMark/>
          </w:tcPr>
          <w:p w14:paraId="58518BD2" w14:textId="77777777" w:rsidR="0096453D" w:rsidRPr="004B23BF" w:rsidRDefault="0096453D" w:rsidP="00611803">
            <w:pPr>
              <w:spacing w:line="240" w:lineRule="auto"/>
              <w:jc w:val="center"/>
              <w:rPr>
                <w:rFonts w:eastAsia="Times New Roman" w:cs="Calibri"/>
                <w:b/>
                <w:bCs/>
                <w:color w:val="000000"/>
                <w:sz w:val="20"/>
                <w:szCs w:val="20"/>
                <w:lang w:eastAsia="en-GB"/>
              </w:rPr>
            </w:pPr>
            <w:r w:rsidRPr="004B23BF">
              <w:rPr>
                <w:rFonts w:eastAsia="Times New Roman" w:cs="Calibri"/>
                <w:b/>
                <w:bCs/>
                <w:color w:val="000000"/>
                <w:sz w:val="20"/>
                <w:szCs w:val="20"/>
                <w:lang w:eastAsia="en-GB"/>
              </w:rPr>
              <w:t>6.90 (3.42, 10.57)</w:t>
            </w:r>
          </w:p>
        </w:tc>
        <w:tc>
          <w:tcPr>
            <w:tcW w:w="590" w:type="pct"/>
            <w:tcBorders>
              <w:top w:val="nil"/>
              <w:left w:val="nil"/>
              <w:bottom w:val="single" w:sz="4" w:space="0" w:color="auto"/>
              <w:right w:val="single" w:sz="4" w:space="0" w:color="auto"/>
            </w:tcBorders>
            <w:shd w:val="clear" w:color="auto" w:fill="auto"/>
            <w:noWrap/>
            <w:vAlign w:val="center"/>
            <w:hideMark/>
          </w:tcPr>
          <w:p w14:paraId="4B6DD3D3" w14:textId="77777777" w:rsidR="0096453D" w:rsidRPr="004B23BF" w:rsidRDefault="0096453D" w:rsidP="00611803">
            <w:pPr>
              <w:spacing w:line="240" w:lineRule="auto"/>
              <w:jc w:val="center"/>
              <w:rPr>
                <w:rFonts w:eastAsia="Times New Roman" w:cs="Calibri"/>
                <w:b/>
                <w:bCs/>
                <w:color w:val="000000"/>
                <w:sz w:val="20"/>
                <w:szCs w:val="20"/>
                <w:lang w:eastAsia="en-GB"/>
              </w:rPr>
            </w:pPr>
            <w:r w:rsidRPr="004B23BF">
              <w:rPr>
                <w:rFonts w:eastAsia="Times New Roman" w:cs="Calibri"/>
                <w:b/>
                <w:bCs/>
                <w:color w:val="000000"/>
                <w:sz w:val="20"/>
                <w:szCs w:val="20"/>
                <w:lang w:eastAsia="en-GB"/>
              </w:rPr>
              <w:t>6.59 (2.87, 10.23)</w:t>
            </w:r>
          </w:p>
        </w:tc>
        <w:tc>
          <w:tcPr>
            <w:tcW w:w="590" w:type="pct"/>
            <w:tcBorders>
              <w:top w:val="nil"/>
              <w:left w:val="nil"/>
              <w:bottom w:val="single" w:sz="4" w:space="0" w:color="auto"/>
              <w:right w:val="single" w:sz="4" w:space="0" w:color="auto"/>
            </w:tcBorders>
            <w:shd w:val="clear" w:color="auto" w:fill="auto"/>
            <w:noWrap/>
            <w:vAlign w:val="center"/>
            <w:hideMark/>
          </w:tcPr>
          <w:p w14:paraId="4F642C01" w14:textId="77777777" w:rsidR="0096453D" w:rsidRPr="004B23BF" w:rsidRDefault="0096453D" w:rsidP="00611803">
            <w:pPr>
              <w:spacing w:line="240" w:lineRule="auto"/>
              <w:jc w:val="center"/>
              <w:rPr>
                <w:rFonts w:eastAsia="Times New Roman" w:cs="Calibri"/>
                <w:b/>
                <w:bCs/>
                <w:color w:val="000000"/>
                <w:sz w:val="20"/>
                <w:szCs w:val="20"/>
                <w:lang w:eastAsia="en-GB"/>
              </w:rPr>
            </w:pPr>
            <w:r w:rsidRPr="004B23BF">
              <w:rPr>
                <w:rFonts w:eastAsia="Times New Roman" w:cs="Calibri"/>
                <w:b/>
                <w:bCs/>
                <w:color w:val="000000"/>
                <w:sz w:val="20"/>
                <w:szCs w:val="20"/>
                <w:lang w:eastAsia="en-GB"/>
              </w:rPr>
              <w:t>6.17 (0.02, 12.52)</w:t>
            </w:r>
          </w:p>
        </w:tc>
        <w:tc>
          <w:tcPr>
            <w:tcW w:w="590" w:type="pct"/>
            <w:tcBorders>
              <w:top w:val="nil"/>
              <w:left w:val="nil"/>
              <w:bottom w:val="single" w:sz="4" w:space="0" w:color="auto"/>
              <w:right w:val="single" w:sz="4" w:space="0" w:color="auto"/>
            </w:tcBorders>
            <w:shd w:val="clear" w:color="auto" w:fill="auto"/>
            <w:noWrap/>
            <w:vAlign w:val="center"/>
            <w:hideMark/>
          </w:tcPr>
          <w:p w14:paraId="50F900D9" w14:textId="77777777" w:rsidR="0096453D" w:rsidRPr="004B23BF" w:rsidRDefault="0096453D" w:rsidP="00611803">
            <w:pPr>
              <w:spacing w:line="240" w:lineRule="auto"/>
              <w:jc w:val="center"/>
              <w:rPr>
                <w:rFonts w:eastAsia="Times New Roman" w:cs="Calibri"/>
                <w:b/>
                <w:bCs/>
                <w:color w:val="000000"/>
                <w:sz w:val="20"/>
                <w:szCs w:val="20"/>
                <w:lang w:eastAsia="en-GB"/>
              </w:rPr>
            </w:pPr>
            <w:r w:rsidRPr="004B23BF">
              <w:rPr>
                <w:rFonts w:eastAsia="Times New Roman" w:cs="Calibri"/>
                <w:b/>
                <w:bCs/>
                <w:color w:val="000000"/>
                <w:sz w:val="20"/>
                <w:szCs w:val="20"/>
                <w:lang w:eastAsia="en-GB"/>
              </w:rPr>
              <w:t>3.88 (1.06, 6.75</w:t>
            </w:r>
          </w:p>
        </w:tc>
        <w:tc>
          <w:tcPr>
            <w:tcW w:w="543" w:type="pct"/>
            <w:tcBorders>
              <w:top w:val="nil"/>
              <w:left w:val="nil"/>
              <w:bottom w:val="single" w:sz="4" w:space="0" w:color="auto"/>
              <w:right w:val="single" w:sz="4" w:space="0" w:color="auto"/>
            </w:tcBorders>
            <w:shd w:val="clear" w:color="auto" w:fill="auto"/>
            <w:noWrap/>
            <w:vAlign w:val="center"/>
            <w:hideMark/>
          </w:tcPr>
          <w:p w14:paraId="7BA2608A" w14:textId="77777777" w:rsidR="0096453D" w:rsidRPr="004B23BF" w:rsidRDefault="0096453D" w:rsidP="00611803">
            <w:pPr>
              <w:spacing w:line="240" w:lineRule="auto"/>
              <w:jc w:val="center"/>
              <w:rPr>
                <w:rFonts w:eastAsia="Times New Roman" w:cs="Calibri"/>
                <w:b/>
                <w:bCs/>
                <w:color w:val="000000"/>
                <w:sz w:val="20"/>
                <w:szCs w:val="20"/>
                <w:lang w:eastAsia="en-GB"/>
              </w:rPr>
            </w:pPr>
            <w:r w:rsidRPr="004B23BF">
              <w:rPr>
                <w:rFonts w:eastAsia="Times New Roman" w:cs="Calibri"/>
                <w:b/>
                <w:bCs/>
                <w:color w:val="000000"/>
                <w:sz w:val="20"/>
                <w:szCs w:val="20"/>
                <w:lang w:eastAsia="en-GB"/>
              </w:rPr>
              <w:t>3.31 (0.69, 5,95)</w:t>
            </w:r>
          </w:p>
        </w:tc>
        <w:tc>
          <w:tcPr>
            <w:tcW w:w="352" w:type="pct"/>
            <w:tcBorders>
              <w:top w:val="single" w:sz="4" w:space="0" w:color="auto"/>
              <w:left w:val="nil"/>
              <w:bottom w:val="single" w:sz="4" w:space="0" w:color="auto"/>
              <w:right w:val="single" w:sz="4" w:space="0" w:color="auto"/>
            </w:tcBorders>
            <w:shd w:val="clear" w:color="000000" w:fill="F8CBAD"/>
            <w:noWrap/>
            <w:vAlign w:val="center"/>
            <w:hideMark/>
          </w:tcPr>
          <w:p w14:paraId="1F5E9AED" w14:textId="77777777" w:rsidR="0096453D" w:rsidRPr="0031702A" w:rsidRDefault="0096453D" w:rsidP="00611803">
            <w:pPr>
              <w:spacing w:line="240" w:lineRule="auto"/>
              <w:jc w:val="center"/>
              <w:rPr>
                <w:rFonts w:eastAsia="Times New Roman" w:cs="Calibri"/>
                <w:color w:val="000000"/>
                <w:sz w:val="20"/>
                <w:szCs w:val="20"/>
                <w:lang w:eastAsia="en-GB"/>
              </w:rPr>
            </w:pPr>
            <w:r w:rsidRPr="0031702A">
              <w:rPr>
                <w:rFonts w:eastAsia="Times New Roman" w:cs="Calibri"/>
                <w:color w:val="000000"/>
                <w:sz w:val="20"/>
                <w:szCs w:val="20"/>
                <w:lang w:eastAsia="en-GB"/>
              </w:rPr>
              <w:t>Placebo</w:t>
            </w:r>
          </w:p>
        </w:tc>
      </w:tr>
    </w:tbl>
    <w:p w14:paraId="048A29E7" w14:textId="77777777" w:rsidR="0096453D" w:rsidRDefault="0096453D" w:rsidP="0096453D">
      <w:pPr>
        <w:spacing w:line="240" w:lineRule="auto"/>
        <w:jc w:val="both"/>
        <w:rPr>
          <w:rFonts w:cstheme="minorHAnsi"/>
          <w:noProof/>
          <w:sz w:val="18"/>
          <w:szCs w:val="18"/>
          <w:lang w:val="en-US"/>
        </w:rPr>
      </w:pPr>
    </w:p>
    <w:p w14:paraId="2A64C31B" w14:textId="125FB92E" w:rsidR="0096453D" w:rsidRDefault="0096453D" w:rsidP="0096453D">
      <w:pPr>
        <w:spacing w:line="240" w:lineRule="auto"/>
        <w:jc w:val="both"/>
        <w:rPr>
          <w:rFonts w:cstheme="minorHAnsi"/>
          <w:noProof/>
          <w:sz w:val="18"/>
          <w:szCs w:val="18"/>
          <w:lang w:val="en-US"/>
        </w:rPr>
      </w:pPr>
      <w:r w:rsidRPr="00C34F7A">
        <w:rPr>
          <w:rFonts w:cstheme="minorHAnsi"/>
          <w:noProof/>
          <w:sz w:val="18"/>
          <w:szCs w:val="18"/>
          <w:lang w:val="en-US"/>
        </w:rPr>
        <w:t>M</w:t>
      </w:r>
      <w:r>
        <w:rPr>
          <w:rFonts w:cstheme="minorHAnsi"/>
          <w:noProof/>
          <w:sz w:val="18"/>
          <w:szCs w:val="18"/>
          <w:lang w:val="en-US"/>
        </w:rPr>
        <w:t xml:space="preserve">ean differences more </w:t>
      </w:r>
      <w:r w:rsidRPr="00C34F7A">
        <w:rPr>
          <w:rFonts w:cstheme="minorHAnsi"/>
          <w:noProof/>
          <w:sz w:val="18"/>
          <w:szCs w:val="18"/>
          <w:lang w:val="en-US"/>
        </w:rPr>
        <w:t>than 0 favour the column-defining treatment</w:t>
      </w:r>
      <w:r>
        <w:rPr>
          <w:rFonts w:cstheme="minorHAnsi"/>
          <w:noProof/>
          <w:sz w:val="18"/>
          <w:szCs w:val="18"/>
          <w:lang w:val="en-US"/>
        </w:rPr>
        <w:t>;</w:t>
      </w:r>
      <w:r w:rsidRPr="00C34F7A">
        <w:rPr>
          <w:rFonts w:cstheme="minorHAnsi"/>
          <w:noProof/>
          <w:sz w:val="18"/>
          <w:szCs w:val="18"/>
          <w:lang w:val="en-US"/>
        </w:rPr>
        <w:t xml:space="preserve"> Credible Intervals not including 0 are highlighted in bold.Abbr</w:t>
      </w:r>
      <w:r>
        <w:rPr>
          <w:rFonts w:cstheme="minorHAnsi"/>
          <w:noProof/>
          <w:sz w:val="18"/>
          <w:szCs w:val="18"/>
          <w:lang w:val="en-US"/>
        </w:rPr>
        <w:t>e</w:t>
      </w:r>
      <w:r w:rsidRPr="00C34F7A">
        <w:rPr>
          <w:rFonts w:cstheme="minorHAnsi"/>
          <w:noProof/>
          <w:sz w:val="18"/>
          <w:szCs w:val="18"/>
          <w:lang w:val="en-US"/>
        </w:rPr>
        <w:t>viations: Fremanezumab-M, Fremanezumab Monthly; Fremanezumab-</w:t>
      </w:r>
      <w:r>
        <w:rPr>
          <w:rFonts w:cstheme="minorHAnsi"/>
          <w:noProof/>
          <w:sz w:val="18"/>
          <w:szCs w:val="18"/>
          <w:lang w:val="en-US"/>
        </w:rPr>
        <w:t>Q</w:t>
      </w:r>
      <w:r w:rsidRPr="00C34F7A">
        <w:rPr>
          <w:rFonts w:cstheme="minorHAnsi"/>
          <w:noProof/>
          <w:sz w:val="18"/>
          <w:szCs w:val="18"/>
          <w:lang w:val="en-US"/>
        </w:rPr>
        <w:t>, Fremanezumab Quarterly.</w:t>
      </w:r>
    </w:p>
    <w:p w14:paraId="769DA245" w14:textId="77777777" w:rsidR="0096453D" w:rsidRDefault="0096453D" w:rsidP="0096453D">
      <w:pPr>
        <w:rPr>
          <w:rFonts w:cstheme="minorHAnsi"/>
          <w:noProof/>
          <w:sz w:val="18"/>
          <w:szCs w:val="18"/>
          <w:lang w:val="en-US"/>
        </w:rPr>
      </w:pPr>
    </w:p>
    <w:p w14:paraId="18E2477A" w14:textId="77777777" w:rsidR="0096453D" w:rsidRDefault="0096453D" w:rsidP="0096453D">
      <w:pPr>
        <w:rPr>
          <w:rFonts w:cstheme="minorHAnsi"/>
        </w:rPr>
      </w:pPr>
      <w:r>
        <w:rPr>
          <w:noProof/>
          <w:lang w:val="en-US"/>
        </w:rPr>
        <w:drawing>
          <wp:inline distT="0" distB="0" distL="0" distR="0" wp14:anchorId="579752BB" wp14:editId="634DBC0E">
            <wp:extent cx="2958375" cy="1974850"/>
            <wp:effectExtent l="0" t="0" r="0" b="6350"/>
            <wp:docPr id="86" name="Picture 8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26"/>
                    <a:stretch>
                      <a:fillRect/>
                    </a:stretch>
                  </pic:blipFill>
                  <pic:spPr>
                    <a:xfrm>
                      <a:off x="0" y="0"/>
                      <a:ext cx="2971506" cy="1983616"/>
                    </a:xfrm>
                    <a:prstGeom prst="rect">
                      <a:avLst/>
                    </a:prstGeom>
                  </pic:spPr>
                </pic:pic>
              </a:graphicData>
            </a:graphic>
          </wp:inline>
        </w:drawing>
      </w:r>
    </w:p>
    <w:p w14:paraId="3BDCE3CB" w14:textId="77777777" w:rsidR="0096453D" w:rsidRPr="00F16733" w:rsidRDefault="0096453D" w:rsidP="0096453D">
      <w:pPr>
        <w:pStyle w:val="EndNoteBibliography"/>
        <w:keepNext/>
        <w:rPr>
          <w:sz w:val="20"/>
          <w:szCs w:val="20"/>
        </w:rPr>
      </w:pPr>
      <w:r w:rsidRPr="00F16733">
        <w:rPr>
          <w:sz w:val="20"/>
          <w:szCs w:val="20"/>
        </w:rPr>
        <w:lastRenderedPageBreak/>
        <w:t xml:space="preserve">Dev-Dev plot </w:t>
      </w:r>
      <w:r>
        <w:rPr>
          <w:sz w:val="20"/>
          <w:szCs w:val="20"/>
        </w:rPr>
        <w:t>to identify</w:t>
      </w:r>
      <w:r w:rsidRPr="006B53BE">
        <w:rPr>
          <w:sz w:val="20"/>
          <w:szCs w:val="20"/>
        </w:rPr>
        <w:t xml:space="preserve"> inconsistent data-points</w:t>
      </w:r>
      <w:r>
        <w:rPr>
          <w:sz w:val="20"/>
          <w:szCs w:val="20"/>
        </w:rPr>
        <w:t xml:space="preserve">, </w:t>
      </w:r>
      <w:r w:rsidRPr="00F16733">
        <w:rPr>
          <w:sz w:val="20"/>
          <w:szCs w:val="20"/>
        </w:rPr>
        <w:t>the data points are scattered in a further distance from the bivector form the origin, they</w:t>
      </w:r>
      <w:r>
        <w:rPr>
          <w:sz w:val="20"/>
          <w:szCs w:val="20"/>
        </w:rPr>
        <w:t xml:space="preserve"> shows being</w:t>
      </w:r>
      <w:r w:rsidRPr="00F16733">
        <w:rPr>
          <w:sz w:val="20"/>
          <w:szCs w:val="20"/>
        </w:rPr>
        <w:t xml:space="preserve"> source of inconsistency.</w:t>
      </w:r>
    </w:p>
    <w:p w14:paraId="4666706E" w14:textId="586904BF" w:rsidR="00AB4E57" w:rsidRPr="0096453D" w:rsidRDefault="0096453D" w:rsidP="0096453D">
      <w:pPr>
        <w:rPr>
          <w:b/>
          <w:bCs/>
        </w:rPr>
      </w:pPr>
      <w:bookmarkStart w:id="50" w:name="_Ref130541650"/>
      <w:bookmarkStart w:id="51" w:name="_Toc129946472"/>
      <w:bookmarkStart w:id="52" w:name="_Toc133322752"/>
      <w:r w:rsidRPr="0096453D">
        <w:rPr>
          <w:b/>
          <w:bCs/>
        </w:rPr>
        <w:t xml:space="preserve">Figure </w:t>
      </w:r>
      <w:bookmarkEnd w:id="50"/>
      <w:r w:rsidRPr="0096453D">
        <w:rPr>
          <w:b/>
          <w:bCs/>
        </w:rPr>
        <w:t>1</w:t>
      </w:r>
      <w:r w:rsidR="00047048">
        <w:rPr>
          <w:b/>
          <w:bCs/>
        </w:rPr>
        <w:t>2</w:t>
      </w:r>
      <w:r w:rsidRPr="0096453D">
        <w:rPr>
          <w:b/>
          <w:bCs/>
        </w:rPr>
        <w:t xml:space="preserve">: Global Consistency Test for mean change in MSQ-EF from baseline (Unrelated Mean </w:t>
      </w:r>
      <w:r w:rsidRPr="00AD349A">
        <w:rPr>
          <w:b/>
          <w:bCs/>
        </w:rPr>
        <w:t>Effects (Inconsistency) Model and Fixed NMA model)</w:t>
      </w:r>
      <w:bookmarkEnd w:id="51"/>
      <w:bookmarkEnd w:id="52"/>
    </w:p>
    <w:p w14:paraId="0B693252" w14:textId="77777777" w:rsidR="00AB4E57" w:rsidRDefault="00AB4E57" w:rsidP="00AB4E57">
      <w:pPr>
        <w:sectPr w:rsidR="00AB4E57" w:rsidSect="00AB4E57">
          <w:pgSz w:w="11907" w:h="16840" w:orient="landscape" w:code="9"/>
          <w:pgMar w:top="1440" w:right="1440" w:bottom="1440" w:left="1440" w:header="709" w:footer="709" w:gutter="0"/>
          <w:cols w:space="708"/>
          <w:docGrid w:linePitch="360"/>
        </w:sectPr>
      </w:pPr>
    </w:p>
    <w:p w14:paraId="767B2193" w14:textId="0AAEE949" w:rsidR="00A266D7" w:rsidRDefault="00A266D7" w:rsidP="00A266D7">
      <w:pPr>
        <w:pStyle w:val="Caption"/>
        <w:keepNext/>
        <w:spacing w:after="0"/>
      </w:pPr>
      <w:r>
        <w:lastRenderedPageBreak/>
        <w:t xml:space="preserve">Table </w:t>
      </w:r>
      <w:r w:rsidR="00047048">
        <w:t>14</w:t>
      </w:r>
      <w:r>
        <w:t xml:space="preserve">: </w:t>
      </w:r>
      <w:r w:rsidRPr="002C39C0">
        <w:t>Head</w:t>
      </w:r>
      <w:r>
        <w:t>-</w:t>
      </w:r>
      <w:r w:rsidRPr="002C39C0">
        <w:t>to</w:t>
      </w:r>
      <w:r>
        <w:t>-</w:t>
      </w:r>
      <w:r w:rsidRPr="002C39C0">
        <w:t xml:space="preserve">head comparisons of treatments for mean change in </w:t>
      </w:r>
      <w:r>
        <w:t>H</w:t>
      </w:r>
      <w:r w:rsidR="004C22A2">
        <w:t>IT</w:t>
      </w:r>
      <w:r>
        <w:t>-6</w:t>
      </w:r>
      <w:r w:rsidRPr="002C39C0">
        <w:t xml:space="preserve"> from baseline (MDs, 95%</w:t>
      </w:r>
      <w:r>
        <w:t xml:space="preserve"> </w:t>
      </w:r>
      <w:r w:rsidRPr="002C39C0">
        <w:t>CrI)</w:t>
      </w:r>
    </w:p>
    <w:tbl>
      <w:tblPr>
        <w:tblW w:w="5000" w:type="pct"/>
        <w:tblLook w:val="04A0" w:firstRow="1" w:lastRow="0" w:firstColumn="1" w:lastColumn="0" w:noHBand="0" w:noVBand="1"/>
      </w:tblPr>
      <w:tblGrid>
        <w:gridCol w:w="1241"/>
        <w:gridCol w:w="1241"/>
        <w:gridCol w:w="1241"/>
        <w:gridCol w:w="1241"/>
        <w:gridCol w:w="1241"/>
        <w:gridCol w:w="1190"/>
        <w:gridCol w:w="1241"/>
        <w:gridCol w:w="607"/>
      </w:tblGrid>
      <w:tr w:rsidR="001F6CCA" w:rsidRPr="001F6CCA" w14:paraId="7E509E56" w14:textId="77777777" w:rsidTr="001F6CCA">
        <w:trPr>
          <w:trHeight w:val="290"/>
        </w:trPr>
        <w:tc>
          <w:tcPr>
            <w:tcW w:w="677" w:type="pct"/>
            <w:tcBorders>
              <w:top w:val="single" w:sz="4" w:space="0" w:color="auto"/>
              <w:left w:val="single" w:sz="4" w:space="0" w:color="auto"/>
              <w:bottom w:val="nil"/>
              <w:right w:val="single" w:sz="4" w:space="0" w:color="auto"/>
            </w:tcBorders>
            <w:shd w:val="clear" w:color="000000" w:fill="F8CBAD"/>
            <w:noWrap/>
            <w:vAlign w:val="center"/>
            <w:hideMark/>
          </w:tcPr>
          <w:p w14:paraId="7D7D1DBC" w14:textId="77777777" w:rsidR="001F6CCA" w:rsidRPr="001F6CCA" w:rsidRDefault="001F6CCA" w:rsidP="001F6CCA">
            <w:pPr>
              <w:spacing w:after="0" w:line="240" w:lineRule="auto"/>
              <w:jc w:val="center"/>
              <w:rPr>
                <w:rFonts w:ascii="Calibri" w:eastAsia="Times New Roman" w:hAnsi="Calibri" w:cs="Calibri"/>
                <w:color w:val="000000"/>
                <w:sz w:val="20"/>
                <w:szCs w:val="20"/>
                <w:lang w:eastAsia="en-GB"/>
              </w:rPr>
            </w:pPr>
            <w:r w:rsidRPr="001F6CCA">
              <w:rPr>
                <w:rFonts w:ascii="Calibri" w:eastAsia="Times New Roman" w:hAnsi="Calibri" w:cs="Calibri"/>
                <w:color w:val="000000"/>
                <w:sz w:val="20"/>
                <w:szCs w:val="20"/>
                <w:lang w:eastAsia="en-GB"/>
              </w:rPr>
              <w:t>Eptinezumab 300mg</w:t>
            </w:r>
          </w:p>
        </w:tc>
        <w:tc>
          <w:tcPr>
            <w:tcW w:w="655" w:type="pct"/>
            <w:tcBorders>
              <w:top w:val="nil"/>
              <w:left w:val="nil"/>
              <w:bottom w:val="single" w:sz="4" w:space="0" w:color="auto"/>
              <w:right w:val="nil"/>
            </w:tcBorders>
            <w:shd w:val="clear" w:color="auto" w:fill="auto"/>
            <w:noWrap/>
            <w:vAlign w:val="bottom"/>
            <w:hideMark/>
          </w:tcPr>
          <w:p w14:paraId="43EAB786" w14:textId="77777777" w:rsidR="001F6CCA" w:rsidRPr="001F6CCA" w:rsidRDefault="001F6CCA" w:rsidP="001F6CCA">
            <w:pPr>
              <w:spacing w:after="0" w:line="240" w:lineRule="auto"/>
              <w:rPr>
                <w:rFonts w:ascii="Calibri" w:eastAsia="Times New Roman" w:hAnsi="Calibri" w:cs="Calibri"/>
                <w:color w:val="000000"/>
                <w:lang w:eastAsia="en-GB"/>
              </w:rPr>
            </w:pPr>
            <w:r w:rsidRPr="001F6CCA">
              <w:rPr>
                <w:rFonts w:ascii="Calibri" w:eastAsia="Times New Roman" w:hAnsi="Calibri" w:cs="Calibri"/>
                <w:color w:val="000000"/>
                <w:lang w:eastAsia="en-GB"/>
              </w:rPr>
              <w:t> </w:t>
            </w:r>
          </w:p>
        </w:tc>
        <w:tc>
          <w:tcPr>
            <w:tcW w:w="655" w:type="pct"/>
            <w:tcBorders>
              <w:top w:val="nil"/>
              <w:left w:val="nil"/>
              <w:bottom w:val="nil"/>
              <w:right w:val="nil"/>
            </w:tcBorders>
            <w:shd w:val="clear" w:color="auto" w:fill="auto"/>
            <w:noWrap/>
            <w:vAlign w:val="bottom"/>
            <w:hideMark/>
          </w:tcPr>
          <w:p w14:paraId="1E8F5DD5" w14:textId="77777777" w:rsidR="001F6CCA" w:rsidRPr="001F6CCA" w:rsidRDefault="001F6CCA" w:rsidP="001F6CCA">
            <w:pPr>
              <w:spacing w:after="0" w:line="240" w:lineRule="auto"/>
              <w:rPr>
                <w:rFonts w:ascii="Calibri" w:eastAsia="Times New Roman" w:hAnsi="Calibri" w:cs="Calibri"/>
                <w:color w:val="000000"/>
                <w:lang w:eastAsia="en-GB"/>
              </w:rPr>
            </w:pPr>
          </w:p>
        </w:tc>
        <w:tc>
          <w:tcPr>
            <w:tcW w:w="647" w:type="pct"/>
            <w:tcBorders>
              <w:top w:val="nil"/>
              <w:left w:val="nil"/>
              <w:bottom w:val="nil"/>
              <w:right w:val="nil"/>
            </w:tcBorders>
            <w:shd w:val="clear" w:color="auto" w:fill="auto"/>
            <w:noWrap/>
            <w:vAlign w:val="bottom"/>
            <w:hideMark/>
          </w:tcPr>
          <w:p w14:paraId="7D0F7929" w14:textId="77777777" w:rsidR="001F6CCA" w:rsidRPr="001F6CCA" w:rsidRDefault="001F6CCA" w:rsidP="001F6CCA">
            <w:pPr>
              <w:spacing w:after="0" w:line="240" w:lineRule="auto"/>
              <w:rPr>
                <w:rFonts w:ascii="Times New Roman" w:eastAsia="Times New Roman" w:hAnsi="Times New Roman" w:cs="Times New Roman"/>
                <w:sz w:val="20"/>
                <w:szCs w:val="20"/>
                <w:lang w:eastAsia="en-GB"/>
              </w:rPr>
            </w:pPr>
          </w:p>
        </w:tc>
        <w:tc>
          <w:tcPr>
            <w:tcW w:w="647" w:type="pct"/>
            <w:tcBorders>
              <w:top w:val="nil"/>
              <w:left w:val="nil"/>
              <w:bottom w:val="nil"/>
              <w:right w:val="nil"/>
            </w:tcBorders>
            <w:shd w:val="clear" w:color="auto" w:fill="auto"/>
            <w:noWrap/>
            <w:vAlign w:val="bottom"/>
            <w:hideMark/>
          </w:tcPr>
          <w:p w14:paraId="55A8105B" w14:textId="77777777" w:rsidR="001F6CCA" w:rsidRPr="001F6CCA" w:rsidRDefault="001F6CCA" w:rsidP="001F6CCA">
            <w:pPr>
              <w:spacing w:after="0" w:line="240" w:lineRule="auto"/>
              <w:rPr>
                <w:rFonts w:ascii="Times New Roman" w:eastAsia="Times New Roman" w:hAnsi="Times New Roman" w:cs="Times New Roman"/>
                <w:sz w:val="20"/>
                <w:szCs w:val="20"/>
                <w:lang w:eastAsia="en-GB"/>
              </w:rPr>
            </w:pPr>
          </w:p>
        </w:tc>
        <w:tc>
          <w:tcPr>
            <w:tcW w:w="604" w:type="pct"/>
            <w:tcBorders>
              <w:top w:val="nil"/>
              <w:left w:val="nil"/>
              <w:bottom w:val="nil"/>
              <w:right w:val="nil"/>
            </w:tcBorders>
            <w:shd w:val="clear" w:color="auto" w:fill="auto"/>
            <w:noWrap/>
            <w:vAlign w:val="bottom"/>
            <w:hideMark/>
          </w:tcPr>
          <w:p w14:paraId="2B8853A5" w14:textId="77777777" w:rsidR="001F6CCA" w:rsidRPr="001F6CCA" w:rsidRDefault="001F6CCA" w:rsidP="001F6CCA">
            <w:pPr>
              <w:spacing w:after="0" w:line="240" w:lineRule="auto"/>
              <w:rPr>
                <w:rFonts w:ascii="Times New Roman" w:eastAsia="Times New Roman" w:hAnsi="Times New Roman" w:cs="Times New Roman"/>
                <w:sz w:val="20"/>
                <w:szCs w:val="20"/>
                <w:lang w:eastAsia="en-GB"/>
              </w:rPr>
            </w:pPr>
          </w:p>
        </w:tc>
        <w:tc>
          <w:tcPr>
            <w:tcW w:w="699" w:type="pct"/>
            <w:tcBorders>
              <w:top w:val="nil"/>
              <w:left w:val="nil"/>
              <w:bottom w:val="nil"/>
              <w:right w:val="nil"/>
            </w:tcBorders>
            <w:shd w:val="clear" w:color="auto" w:fill="auto"/>
            <w:noWrap/>
            <w:vAlign w:val="bottom"/>
            <w:hideMark/>
          </w:tcPr>
          <w:p w14:paraId="27FD9997" w14:textId="77777777" w:rsidR="001F6CCA" w:rsidRPr="001F6CCA" w:rsidRDefault="001F6CCA" w:rsidP="001F6CCA">
            <w:pPr>
              <w:spacing w:after="0" w:line="240" w:lineRule="auto"/>
              <w:rPr>
                <w:rFonts w:ascii="Times New Roman" w:eastAsia="Times New Roman" w:hAnsi="Times New Roman" w:cs="Times New Roman"/>
                <w:sz w:val="20"/>
                <w:szCs w:val="20"/>
                <w:lang w:eastAsia="en-GB"/>
              </w:rPr>
            </w:pPr>
          </w:p>
        </w:tc>
        <w:tc>
          <w:tcPr>
            <w:tcW w:w="417" w:type="pct"/>
            <w:tcBorders>
              <w:top w:val="nil"/>
              <w:left w:val="nil"/>
              <w:bottom w:val="nil"/>
              <w:right w:val="nil"/>
            </w:tcBorders>
            <w:shd w:val="clear" w:color="auto" w:fill="auto"/>
            <w:noWrap/>
            <w:vAlign w:val="bottom"/>
            <w:hideMark/>
          </w:tcPr>
          <w:p w14:paraId="46F9F59F" w14:textId="77777777" w:rsidR="001F6CCA" w:rsidRPr="001F6CCA" w:rsidRDefault="001F6CCA" w:rsidP="001F6CCA">
            <w:pPr>
              <w:spacing w:after="0" w:line="240" w:lineRule="auto"/>
              <w:rPr>
                <w:rFonts w:ascii="Times New Roman" w:eastAsia="Times New Roman" w:hAnsi="Times New Roman" w:cs="Times New Roman"/>
                <w:sz w:val="20"/>
                <w:szCs w:val="20"/>
                <w:lang w:eastAsia="en-GB"/>
              </w:rPr>
            </w:pPr>
          </w:p>
        </w:tc>
      </w:tr>
      <w:tr w:rsidR="001F6CCA" w:rsidRPr="001F6CCA" w14:paraId="62211FC8" w14:textId="77777777" w:rsidTr="001F6CCA">
        <w:trPr>
          <w:trHeight w:val="290"/>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757AE"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-0.72 (-2.56, 1.07)</w:t>
            </w:r>
          </w:p>
        </w:tc>
        <w:tc>
          <w:tcPr>
            <w:tcW w:w="655" w:type="pct"/>
            <w:tcBorders>
              <w:top w:val="nil"/>
              <w:left w:val="nil"/>
              <w:bottom w:val="single" w:sz="4" w:space="0" w:color="auto"/>
              <w:right w:val="single" w:sz="4" w:space="0" w:color="auto"/>
            </w:tcBorders>
            <w:shd w:val="clear" w:color="000000" w:fill="F8CBAD"/>
            <w:noWrap/>
            <w:vAlign w:val="center"/>
            <w:hideMark/>
          </w:tcPr>
          <w:p w14:paraId="614B9396" w14:textId="17A51BE6" w:rsidR="001F6CCA" w:rsidRPr="001F6CCA" w:rsidRDefault="001F6CCA" w:rsidP="001F6CCA">
            <w:pPr>
              <w:spacing w:after="0" w:line="240" w:lineRule="auto"/>
              <w:jc w:val="center"/>
              <w:rPr>
                <w:rFonts w:ascii="Calibri" w:eastAsia="Times New Roman" w:hAnsi="Calibri" w:cs="Calibri"/>
                <w:color w:val="000000"/>
                <w:sz w:val="20"/>
                <w:szCs w:val="20"/>
                <w:lang w:eastAsia="en-GB"/>
              </w:rPr>
            </w:pPr>
            <w:proofErr w:type="spellStart"/>
            <w:r w:rsidRPr="001F6CCA">
              <w:rPr>
                <w:rFonts w:ascii="Calibri" w:eastAsia="Times New Roman" w:hAnsi="Calibri" w:cs="Calibri"/>
                <w:color w:val="000000"/>
                <w:sz w:val="20"/>
                <w:szCs w:val="20"/>
                <w:lang w:eastAsia="en-GB"/>
              </w:rPr>
              <w:t>Erenumab</w:t>
            </w:r>
            <w:proofErr w:type="spellEnd"/>
            <w:r w:rsidRPr="001F6CCA">
              <w:rPr>
                <w:rFonts w:ascii="Calibri" w:eastAsia="Times New Roman" w:hAnsi="Calibri" w:cs="Calibri"/>
                <w:color w:val="000000"/>
                <w:sz w:val="20"/>
                <w:szCs w:val="20"/>
                <w:lang w:eastAsia="en-GB"/>
              </w:rPr>
              <w:t xml:space="preserve"> 140mg</w:t>
            </w:r>
          </w:p>
        </w:tc>
        <w:tc>
          <w:tcPr>
            <w:tcW w:w="655" w:type="pct"/>
            <w:tcBorders>
              <w:top w:val="nil"/>
              <w:left w:val="nil"/>
              <w:bottom w:val="single" w:sz="4" w:space="0" w:color="auto"/>
              <w:right w:val="nil"/>
            </w:tcBorders>
            <w:shd w:val="clear" w:color="auto" w:fill="auto"/>
            <w:noWrap/>
            <w:vAlign w:val="bottom"/>
            <w:hideMark/>
          </w:tcPr>
          <w:p w14:paraId="2B69D88E" w14:textId="77777777" w:rsidR="001F6CCA" w:rsidRPr="001F6CCA" w:rsidRDefault="001F6CCA" w:rsidP="001F6CCA">
            <w:pPr>
              <w:spacing w:after="0" w:line="240" w:lineRule="auto"/>
              <w:rPr>
                <w:rFonts w:ascii="Calibri" w:eastAsia="Times New Roman" w:hAnsi="Calibri" w:cs="Calibri"/>
                <w:color w:val="000000"/>
                <w:lang w:eastAsia="en-GB"/>
              </w:rPr>
            </w:pPr>
            <w:r w:rsidRPr="001F6CCA">
              <w:rPr>
                <w:rFonts w:ascii="Calibri" w:eastAsia="Times New Roman" w:hAnsi="Calibri" w:cs="Calibri"/>
                <w:color w:val="000000"/>
                <w:lang w:eastAsia="en-GB"/>
              </w:rPr>
              <w:t> </w:t>
            </w:r>
          </w:p>
        </w:tc>
        <w:tc>
          <w:tcPr>
            <w:tcW w:w="647" w:type="pct"/>
            <w:tcBorders>
              <w:top w:val="nil"/>
              <w:left w:val="nil"/>
              <w:bottom w:val="nil"/>
              <w:right w:val="nil"/>
            </w:tcBorders>
            <w:shd w:val="clear" w:color="auto" w:fill="auto"/>
            <w:noWrap/>
            <w:vAlign w:val="bottom"/>
            <w:hideMark/>
          </w:tcPr>
          <w:p w14:paraId="16A58B1E" w14:textId="77777777" w:rsidR="001F6CCA" w:rsidRPr="001F6CCA" w:rsidRDefault="001F6CCA" w:rsidP="001F6CCA">
            <w:pPr>
              <w:spacing w:after="0" w:line="240" w:lineRule="auto"/>
              <w:rPr>
                <w:rFonts w:ascii="Calibri" w:eastAsia="Times New Roman" w:hAnsi="Calibri" w:cs="Calibri"/>
                <w:color w:val="000000"/>
                <w:lang w:eastAsia="en-GB"/>
              </w:rPr>
            </w:pPr>
          </w:p>
        </w:tc>
        <w:tc>
          <w:tcPr>
            <w:tcW w:w="647" w:type="pct"/>
            <w:tcBorders>
              <w:top w:val="nil"/>
              <w:left w:val="nil"/>
              <w:bottom w:val="nil"/>
              <w:right w:val="nil"/>
            </w:tcBorders>
            <w:shd w:val="clear" w:color="auto" w:fill="auto"/>
            <w:noWrap/>
            <w:vAlign w:val="bottom"/>
            <w:hideMark/>
          </w:tcPr>
          <w:p w14:paraId="67D6B4F8" w14:textId="77777777" w:rsidR="001F6CCA" w:rsidRPr="001F6CCA" w:rsidRDefault="001F6CCA" w:rsidP="001F6CCA">
            <w:pPr>
              <w:spacing w:after="0" w:line="240" w:lineRule="auto"/>
              <w:rPr>
                <w:rFonts w:ascii="Times New Roman" w:eastAsia="Times New Roman" w:hAnsi="Times New Roman" w:cs="Times New Roman"/>
                <w:sz w:val="20"/>
                <w:szCs w:val="20"/>
                <w:lang w:eastAsia="en-GB"/>
              </w:rPr>
            </w:pPr>
          </w:p>
        </w:tc>
        <w:tc>
          <w:tcPr>
            <w:tcW w:w="604" w:type="pct"/>
            <w:tcBorders>
              <w:top w:val="nil"/>
              <w:left w:val="nil"/>
              <w:bottom w:val="nil"/>
              <w:right w:val="nil"/>
            </w:tcBorders>
            <w:shd w:val="clear" w:color="auto" w:fill="auto"/>
            <w:noWrap/>
            <w:vAlign w:val="bottom"/>
            <w:hideMark/>
          </w:tcPr>
          <w:p w14:paraId="32E97B57" w14:textId="77777777" w:rsidR="001F6CCA" w:rsidRPr="001F6CCA" w:rsidRDefault="001F6CCA" w:rsidP="001F6CCA">
            <w:pPr>
              <w:spacing w:after="0" w:line="240" w:lineRule="auto"/>
              <w:rPr>
                <w:rFonts w:ascii="Times New Roman" w:eastAsia="Times New Roman" w:hAnsi="Times New Roman" w:cs="Times New Roman"/>
                <w:sz w:val="20"/>
                <w:szCs w:val="20"/>
                <w:lang w:eastAsia="en-GB"/>
              </w:rPr>
            </w:pPr>
          </w:p>
        </w:tc>
        <w:tc>
          <w:tcPr>
            <w:tcW w:w="699" w:type="pct"/>
            <w:tcBorders>
              <w:top w:val="nil"/>
              <w:left w:val="nil"/>
              <w:bottom w:val="nil"/>
              <w:right w:val="nil"/>
            </w:tcBorders>
            <w:shd w:val="clear" w:color="auto" w:fill="auto"/>
            <w:noWrap/>
            <w:vAlign w:val="bottom"/>
            <w:hideMark/>
          </w:tcPr>
          <w:p w14:paraId="422D8C00" w14:textId="77777777" w:rsidR="001F6CCA" w:rsidRPr="001F6CCA" w:rsidRDefault="001F6CCA" w:rsidP="001F6CCA">
            <w:pPr>
              <w:spacing w:after="0" w:line="240" w:lineRule="auto"/>
              <w:rPr>
                <w:rFonts w:ascii="Times New Roman" w:eastAsia="Times New Roman" w:hAnsi="Times New Roman" w:cs="Times New Roman"/>
                <w:sz w:val="20"/>
                <w:szCs w:val="20"/>
                <w:lang w:eastAsia="en-GB"/>
              </w:rPr>
            </w:pPr>
          </w:p>
        </w:tc>
        <w:tc>
          <w:tcPr>
            <w:tcW w:w="417" w:type="pct"/>
            <w:tcBorders>
              <w:top w:val="nil"/>
              <w:left w:val="nil"/>
              <w:bottom w:val="nil"/>
              <w:right w:val="nil"/>
            </w:tcBorders>
            <w:shd w:val="clear" w:color="auto" w:fill="auto"/>
            <w:noWrap/>
            <w:vAlign w:val="bottom"/>
            <w:hideMark/>
          </w:tcPr>
          <w:p w14:paraId="6860BC35" w14:textId="77777777" w:rsidR="001F6CCA" w:rsidRPr="001F6CCA" w:rsidRDefault="001F6CCA" w:rsidP="001F6CCA">
            <w:pPr>
              <w:spacing w:after="0" w:line="240" w:lineRule="auto"/>
              <w:rPr>
                <w:rFonts w:ascii="Times New Roman" w:eastAsia="Times New Roman" w:hAnsi="Times New Roman" w:cs="Times New Roman"/>
                <w:sz w:val="20"/>
                <w:szCs w:val="20"/>
                <w:lang w:eastAsia="en-GB"/>
              </w:rPr>
            </w:pPr>
          </w:p>
        </w:tc>
      </w:tr>
      <w:tr w:rsidR="001F6CCA" w:rsidRPr="001F6CCA" w14:paraId="259D828B" w14:textId="77777777" w:rsidTr="001F6CCA">
        <w:trPr>
          <w:trHeight w:val="290"/>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2BCD3664"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-0.72 (-2.60, 1.19)</w:t>
            </w:r>
          </w:p>
        </w:tc>
        <w:tc>
          <w:tcPr>
            <w:tcW w:w="655" w:type="pct"/>
            <w:tcBorders>
              <w:top w:val="nil"/>
              <w:left w:val="nil"/>
              <w:bottom w:val="single" w:sz="4" w:space="0" w:color="auto"/>
              <w:right w:val="single" w:sz="4" w:space="0" w:color="auto"/>
            </w:tcBorders>
            <w:shd w:val="clear" w:color="auto" w:fill="auto"/>
            <w:noWrap/>
            <w:vAlign w:val="center"/>
            <w:hideMark/>
          </w:tcPr>
          <w:p w14:paraId="7AAC6208"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0 (-1.55, 1.61)</w:t>
            </w:r>
          </w:p>
        </w:tc>
        <w:tc>
          <w:tcPr>
            <w:tcW w:w="655" w:type="pct"/>
            <w:tcBorders>
              <w:top w:val="nil"/>
              <w:left w:val="nil"/>
              <w:bottom w:val="single" w:sz="4" w:space="0" w:color="auto"/>
              <w:right w:val="single" w:sz="4" w:space="0" w:color="auto"/>
            </w:tcBorders>
            <w:shd w:val="clear" w:color="000000" w:fill="F8CBAD"/>
            <w:noWrap/>
            <w:vAlign w:val="center"/>
            <w:hideMark/>
          </w:tcPr>
          <w:p w14:paraId="4239C697" w14:textId="342C074B" w:rsidR="001F6CCA" w:rsidRPr="001F6CCA" w:rsidRDefault="001F6CCA" w:rsidP="001F6CCA">
            <w:pPr>
              <w:spacing w:after="0" w:line="240" w:lineRule="auto"/>
              <w:jc w:val="center"/>
              <w:rPr>
                <w:rFonts w:ascii="Calibri" w:eastAsia="Times New Roman" w:hAnsi="Calibri" w:cs="Calibri"/>
                <w:color w:val="000000"/>
                <w:sz w:val="20"/>
                <w:szCs w:val="20"/>
                <w:lang w:eastAsia="en-GB"/>
              </w:rPr>
            </w:pPr>
            <w:r w:rsidRPr="001F6CCA">
              <w:rPr>
                <w:rFonts w:ascii="Calibri" w:eastAsia="Times New Roman" w:hAnsi="Calibri" w:cs="Calibri"/>
                <w:color w:val="000000"/>
                <w:sz w:val="20"/>
                <w:szCs w:val="20"/>
                <w:lang w:eastAsia="en-GB"/>
              </w:rPr>
              <w:t>Erenumab 70mg</w:t>
            </w:r>
          </w:p>
        </w:tc>
        <w:tc>
          <w:tcPr>
            <w:tcW w:w="647" w:type="pct"/>
            <w:tcBorders>
              <w:top w:val="nil"/>
              <w:left w:val="nil"/>
              <w:bottom w:val="single" w:sz="4" w:space="0" w:color="auto"/>
              <w:right w:val="nil"/>
            </w:tcBorders>
            <w:shd w:val="clear" w:color="auto" w:fill="auto"/>
            <w:noWrap/>
            <w:vAlign w:val="bottom"/>
            <w:hideMark/>
          </w:tcPr>
          <w:p w14:paraId="3D846818" w14:textId="77777777" w:rsidR="001F6CCA" w:rsidRPr="001F6CCA" w:rsidRDefault="001F6CCA" w:rsidP="001F6CCA">
            <w:pPr>
              <w:spacing w:after="0" w:line="240" w:lineRule="auto"/>
              <w:rPr>
                <w:rFonts w:ascii="Calibri" w:eastAsia="Times New Roman" w:hAnsi="Calibri" w:cs="Calibri"/>
                <w:color w:val="000000"/>
                <w:lang w:eastAsia="en-GB"/>
              </w:rPr>
            </w:pPr>
            <w:r w:rsidRPr="001F6CCA">
              <w:rPr>
                <w:rFonts w:ascii="Calibri" w:eastAsia="Times New Roman" w:hAnsi="Calibri" w:cs="Calibri"/>
                <w:color w:val="000000"/>
                <w:lang w:eastAsia="en-GB"/>
              </w:rPr>
              <w:t> </w:t>
            </w:r>
          </w:p>
        </w:tc>
        <w:tc>
          <w:tcPr>
            <w:tcW w:w="647" w:type="pct"/>
            <w:tcBorders>
              <w:top w:val="nil"/>
              <w:left w:val="nil"/>
              <w:bottom w:val="nil"/>
              <w:right w:val="nil"/>
            </w:tcBorders>
            <w:shd w:val="clear" w:color="auto" w:fill="auto"/>
            <w:noWrap/>
            <w:vAlign w:val="bottom"/>
            <w:hideMark/>
          </w:tcPr>
          <w:p w14:paraId="1B9A4760" w14:textId="77777777" w:rsidR="001F6CCA" w:rsidRPr="001F6CCA" w:rsidRDefault="001F6CCA" w:rsidP="001F6CCA">
            <w:pPr>
              <w:spacing w:after="0" w:line="240" w:lineRule="auto"/>
              <w:rPr>
                <w:rFonts w:ascii="Calibri" w:eastAsia="Times New Roman" w:hAnsi="Calibri" w:cs="Calibri"/>
                <w:color w:val="000000"/>
                <w:lang w:eastAsia="en-GB"/>
              </w:rPr>
            </w:pPr>
          </w:p>
        </w:tc>
        <w:tc>
          <w:tcPr>
            <w:tcW w:w="604" w:type="pct"/>
            <w:tcBorders>
              <w:top w:val="nil"/>
              <w:left w:val="nil"/>
              <w:bottom w:val="nil"/>
              <w:right w:val="nil"/>
            </w:tcBorders>
            <w:shd w:val="clear" w:color="auto" w:fill="auto"/>
            <w:noWrap/>
            <w:vAlign w:val="bottom"/>
            <w:hideMark/>
          </w:tcPr>
          <w:p w14:paraId="08B0DB83" w14:textId="77777777" w:rsidR="001F6CCA" w:rsidRPr="001F6CCA" w:rsidRDefault="001F6CCA" w:rsidP="001F6CCA">
            <w:pPr>
              <w:spacing w:after="0" w:line="240" w:lineRule="auto"/>
              <w:rPr>
                <w:rFonts w:ascii="Times New Roman" w:eastAsia="Times New Roman" w:hAnsi="Times New Roman" w:cs="Times New Roman"/>
                <w:sz w:val="20"/>
                <w:szCs w:val="20"/>
                <w:lang w:eastAsia="en-GB"/>
              </w:rPr>
            </w:pPr>
          </w:p>
        </w:tc>
        <w:tc>
          <w:tcPr>
            <w:tcW w:w="699" w:type="pct"/>
            <w:tcBorders>
              <w:top w:val="nil"/>
              <w:left w:val="nil"/>
              <w:bottom w:val="nil"/>
              <w:right w:val="nil"/>
            </w:tcBorders>
            <w:shd w:val="clear" w:color="auto" w:fill="auto"/>
            <w:noWrap/>
            <w:vAlign w:val="bottom"/>
            <w:hideMark/>
          </w:tcPr>
          <w:p w14:paraId="03E1D575" w14:textId="77777777" w:rsidR="001F6CCA" w:rsidRPr="001F6CCA" w:rsidRDefault="001F6CCA" w:rsidP="001F6CCA">
            <w:pPr>
              <w:spacing w:after="0" w:line="240" w:lineRule="auto"/>
              <w:rPr>
                <w:rFonts w:ascii="Times New Roman" w:eastAsia="Times New Roman" w:hAnsi="Times New Roman" w:cs="Times New Roman"/>
                <w:sz w:val="20"/>
                <w:szCs w:val="20"/>
                <w:lang w:eastAsia="en-GB"/>
              </w:rPr>
            </w:pPr>
          </w:p>
        </w:tc>
        <w:tc>
          <w:tcPr>
            <w:tcW w:w="417" w:type="pct"/>
            <w:tcBorders>
              <w:top w:val="nil"/>
              <w:left w:val="nil"/>
              <w:bottom w:val="nil"/>
              <w:right w:val="nil"/>
            </w:tcBorders>
            <w:shd w:val="clear" w:color="auto" w:fill="auto"/>
            <w:noWrap/>
            <w:vAlign w:val="bottom"/>
            <w:hideMark/>
          </w:tcPr>
          <w:p w14:paraId="09C6AB12" w14:textId="77777777" w:rsidR="001F6CCA" w:rsidRPr="001F6CCA" w:rsidRDefault="001F6CCA" w:rsidP="001F6CCA">
            <w:pPr>
              <w:spacing w:after="0" w:line="240" w:lineRule="auto"/>
              <w:rPr>
                <w:rFonts w:ascii="Times New Roman" w:eastAsia="Times New Roman" w:hAnsi="Times New Roman" w:cs="Times New Roman"/>
                <w:sz w:val="20"/>
                <w:szCs w:val="20"/>
                <w:lang w:eastAsia="en-GB"/>
              </w:rPr>
            </w:pPr>
          </w:p>
        </w:tc>
      </w:tr>
      <w:tr w:rsidR="001F6CCA" w:rsidRPr="001F6CCA" w14:paraId="51D94BF1" w14:textId="77777777" w:rsidTr="001F6CCA">
        <w:trPr>
          <w:trHeight w:val="290"/>
        </w:trPr>
        <w:tc>
          <w:tcPr>
            <w:tcW w:w="677" w:type="pct"/>
            <w:tcBorders>
              <w:top w:val="nil"/>
              <w:left w:val="single" w:sz="4" w:space="0" w:color="auto"/>
              <w:bottom w:val="nil"/>
              <w:right w:val="single" w:sz="4" w:space="0" w:color="auto"/>
            </w:tcBorders>
            <w:shd w:val="clear" w:color="auto" w:fill="auto"/>
            <w:noWrap/>
            <w:vAlign w:val="center"/>
            <w:hideMark/>
          </w:tcPr>
          <w:p w14:paraId="26A5E065"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1.14 (-0.53, 2.80)</w:t>
            </w:r>
          </w:p>
        </w:tc>
        <w:tc>
          <w:tcPr>
            <w:tcW w:w="655" w:type="pct"/>
            <w:tcBorders>
              <w:top w:val="nil"/>
              <w:left w:val="nil"/>
              <w:bottom w:val="single" w:sz="4" w:space="0" w:color="auto"/>
              <w:right w:val="single" w:sz="4" w:space="0" w:color="auto"/>
            </w:tcBorders>
            <w:shd w:val="clear" w:color="auto" w:fill="auto"/>
            <w:noWrap/>
            <w:vAlign w:val="center"/>
            <w:hideMark/>
          </w:tcPr>
          <w:p w14:paraId="449E4A9F"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0.42 (-1.48, 2.32)</w:t>
            </w:r>
          </w:p>
        </w:tc>
        <w:tc>
          <w:tcPr>
            <w:tcW w:w="655" w:type="pct"/>
            <w:tcBorders>
              <w:top w:val="nil"/>
              <w:left w:val="nil"/>
              <w:bottom w:val="single" w:sz="4" w:space="0" w:color="auto"/>
              <w:right w:val="single" w:sz="4" w:space="0" w:color="auto"/>
            </w:tcBorders>
            <w:shd w:val="clear" w:color="auto" w:fill="auto"/>
            <w:noWrap/>
            <w:vAlign w:val="center"/>
            <w:hideMark/>
          </w:tcPr>
          <w:p w14:paraId="07A19DFE"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0.42 (-1.49, 2.38)</w:t>
            </w:r>
          </w:p>
        </w:tc>
        <w:tc>
          <w:tcPr>
            <w:tcW w:w="647" w:type="pct"/>
            <w:tcBorders>
              <w:top w:val="nil"/>
              <w:left w:val="nil"/>
              <w:bottom w:val="single" w:sz="4" w:space="0" w:color="auto"/>
              <w:right w:val="single" w:sz="4" w:space="0" w:color="auto"/>
            </w:tcBorders>
            <w:shd w:val="clear" w:color="000000" w:fill="F8CBAD"/>
            <w:noWrap/>
            <w:vAlign w:val="center"/>
            <w:hideMark/>
          </w:tcPr>
          <w:p w14:paraId="5E36BFC9" w14:textId="77777777" w:rsidR="001F6CCA" w:rsidRPr="001F6CCA" w:rsidRDefault="001F6CCA" w:rsidP="001F6CCA">
            <w:pPr>
              <w:spacing w:after="0" w:line="240" w:lineRule="auto"/>
              <w:jc w:val="center"/>
              <w:rPr>
                <w:rFonts w:ascii="Calibri" w:eastAsia="Times New Roman" w:hAnsi="Calibri" w:cs="Calibri"/>
                <w:color w:val="000000"/>
                <w:sz w:val="20"/>
                <w:szCs w:val="20"/>
                <w:lang w:eastAsia="en-GB"/>
              </w:rPr>
            </w:pPr>
            <w:r w:rsidRPr="001F6CCA">
              <w:rPr>
                <w:rFonts w:ascii="Calibri" w:eastAsia="Times New Roman" w:hAnsi="Calibri" w:cs="Calibri"/>
                <w:color w:val="000000"/>
                <w:sz w:val="20"/>
                <w:szCs w:val="20"/>
                <w:lang w:eastAsia="en-GB"/>
              </w:rPr>
              <w:t>BTA</w:t>
            </w:r>
          </w:p>
        </w:tc>
        <w:tc>
          <w:tcPr>
            <w:tcW w:w="647" w:type="pct"/>
            <w:tcBorders>
              <w:top w:val="nil"/>
              <w:left w:val="nil"/>
              <w:bottom w:val="single" w:sz="4" w:space="0" w:color="auto"/>
              <w:right w:val="nil"/>
            </w:tcBorders>
            <w:shd w:val="clear" w:color="auto" w:fill="auto"/>
            <w:noWrap/>
            <w:vAlign w:val="bottom"/>
            <w:hideMark/>
          </w:tcPr>
          <w:p w14:paraId="756869CB" w14:textId="77777777" w:rsidR="001F6CCA" w:rsidRPr="001F6CCA" w:rsidRDefault="001F6CCA" w:rsidP="001F6CCA">
            <w:pPr>
              <w:spacing w:after="0" w:line="240" w:lineRule="auto"/>
              <w:rPr>
                <w:rFonts w:ascii="Calibri" w:eastAsia="Times New Roman" w:hAnsi="Calibri" w:cs="Calibri"/>
                <w:color w:val="000000"/>
                <w:lang w:eastAsia="en-GB"/>
              </w:rPr>
            </w:pPr>
            <w:r w:rsidRPr="001F6CCA">
              <w:rPr>
                <w:rFonts w:ascii="Calibri" w:eastAsia="Times New Roman" w:hAnsi="Calibri" w:cs="Calibri"/>
                <w:color w:val="000000"/>
                <w:lang w:eastAsia="en-GB"/>
              </w:rPr>
              <w:t> </w:t>
            </w:r>
          </w:p>
        </w:tc>
        <w:tc>
          <w:tcPr>
            <w:tcW w:w="604" w:type="pct"/>
            <w:tcBorders>
              <w:top w:val="nil"/>
              <w:left w:val="nil"/>
              <w:bottom w:val="nil"/>
              <w:right w:val="nil"/>
            </w:tcBorders>
            <w:shd w:val="clear" w:color="auto" w:fill="auto"/>
            <w:noWrap/>
            <w:vAlign w:val="bottom"/>
            <w:hideMark/>
          </w:tcPr>
          <w:p w14:paraId="41AF808A" w14:textId="77777777" w:rsidR="001F6CCA" w:rsidRPr="001F6CCA" w:rsidRDefault="001F6CCA" w:rsidP="001F6CCA">
            <w:pPr>
              <w:spacing w:after="0" w:line="240" w:lineRule="auto"/>
              <w:rPr>
                <w:rFonts w:ascii="Calibri" w:eastAsia="Times New Roman" w:hAnsi="Calibri" w:cs="Calibri"/>
                <w:color w:val="000000"/>
                <w:lang w:eastAsia="en-GB"/>
              </w:rPr>
            </w:pPr>
          </w:p>
        </w:tc>
        <w:tc>
          <w:tcPr>
            <w:tcW w:w="699" w:type="pct"/>
            <w:tcBorders>
              <w:top w:val="nil"/>
              <w:left w:val="nil"/>
              <w:bottom w:val="nil"/>
              <w:right w:val="nil"/>
            </w:tcBorders>
            <w:shd w:val="clear" w:color="auto" w:fill="auto"/>
            <w:noWrap/>
            <w:vAlign w:val="bottom"/>
            <w:hideMark/>
          </w:tcPr>
          <w:p w14:paraId="04E30847" w14:textId="77777777" w:rsidR="001F6CCA" w:rsidRPr="001F6CCA" w:rsidRDefault="001F6CCA" w:rsidP="001F6CCA">
            <w:pPr>
              <w:spacing w:after="0" w:line="240" w:lineRule="auto"/>
              <w:rPr>
                <w:rFonts w:ascii="Times New Roman" w:eastAsia="Times New Roman" w:hAnsi="Times New Roman" w:cs="Times New Roman"/>
                <w:sz w:val="20"/>
                <w:szCs w:val="20"/>
                <w:lang w:eastAsia="en-GB"/>
              </w:rPr>
            </w:pPr>
          </w:p>
        </w:tc>
        <w:tc>
          <w:tcPr>
            <w:tcW w:w="417" w:type="pct"/>
            <w:tcBorders>
              <w:top w:val="nil"/>
              <w:left w:val="nil"/>
              <w:bottom w:val="nil"/>
              <w:right w:val="nil"/>
            </w:tcBorders>
            <w:shd w:val="clear" w:color="auto" w:fill="auto"/>
            <w:noWrap/>
            <w:vAlign w:val="bottom"/>
            <w:hideMark/>
          </w:tcPr>
          <w:p w14:paraId="14C12C9D" w14:textId="77777777" w:rsidR="001F6CCA" w:rsidRPr="001F6CCA" w:rsidRDefault="001F6CCA" w:rsidP="001F6CCA">
            <w:pPr>
              <w:spacing w:after="0" w:line="240" w:lineRule="auto"/>
              <w:rPr>
                <w:rFonts w:ascii="Times New Roman" w:eastAsia="Times New Roman" w:hAnsi="Times New Roman" w:cs="Times New Roman"/>
                <w:sz w:val="20"/>
                <w:szCs w:val="20"/>
                <w:lang w:eastAsia="en-GB"/>
              </w:rPr>
            </w:pPr>
          </w:p>
        </w:tc>
      </w:tr>
      <w:tr w:rsidR="001F6CCA" w:rsidRPr="001F6CCA" w14:paraId="11FB2A9C" w14:textId="77777777" w:rsidTr="001F6CCA">
        <w:trPr>
          <w:trHeight w:val="290"/>
        </w:trPr>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32C47"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-1.25 (-2.62, 0.2)</w:t>
            </w:r>
          </w:p>
        </w:tc>
        <w:tc>
          <w:tcPr>
            <w:tcW w:w="655" w:type="pct"/>
            <w:tcBorders>
              <w:top w:val="nil"/>
              <w:left w:val="nil"/>
              <w:bottom w:val="single" w:sz="4" w:space="0" w:color="auto"/>
              <w:right w:val="single" w:sz="4" w:space="0" w:color="auto"/>
            </w:tcBorders>
            <w:shd w:val="clear" w:color="auto" w:fill="auto"/>
            <w:noWrap/>
            <w:vAlign w:val="center"/>
            <w:hideMark/>
          </w:tcPr>
          <w:p w14:paraId="64065D75"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-0.53 (-2.16, 1.2)</w:t>
            </w:r>
          </w:p>
        </w:tc>
        <w:tc>
          <w:tcPr>
            <w:tcW w:w="655" w:type="pct"/>
            <w:tcBorders>
              <w:top w:val="nil"/>
              <w:left w:val="nil"/>
              <w:bottom w:val="nil"/>
              <w:right w:val="nil"/>
            </w:tcBorders>
            <w:shd w:val="clear" w:color="auto" w:fill="auto"/>
            <w:noWrap/>
            <w:vAlign w:val="bottom"/>
            <w:hideMark/>
          </w:tcPr>
          <w:p w14:paraId="633C3E26" w14:textId="77777777" w:rsidR="001F6CCA" w:rsidRPr="001F6CCA" w:rsidRDefault="001F6CCA" w:rsidP="001F6CCA">
            <w:pPr>
              <w:spacing w:after="0" w:line="240" w:lineRule="auto"/>
              <w:rPr>
                <w:rFonts w:ascii="Calibri" w:eastAsia="Times New Roman" w:hAnsi="Calibri" w:cs="Calibri"/>
                <w:color w:val="000000"/>
                <w:lang w:eastAsia="en-GB"/>
              </w:rPr>
            </w:pPr>
            <w:r w:rsidRPr="001F6CCA">
              <w:rPr>
                <w:rFonts w:ascii="Calibri" w:eastAsia="Times New Roman" w:hAnsi="Calibri" w:cs="Calibri"/>
                <w:color w:val="000000"/>
                <w:lang w:eastAsia="en-GB"/>
              </w:rPr>
              <w:t>-0.54 (-2.21, 1.18)</w:t>
            </w:r>
          </w:p>
        </w:tc>
        <w:tc>
          <w:tcPr>
            <w:tcW w:w="647" w:type="pct"/>
            <w:tcBorders>
              <w:top w:val="nil"/>
              <w:left w:val="single" w:sz="4" w:space="0" w:color="auto"/>
              <w:bottom w:val="single" w:sz="4" w:space="0" w:color="auto"/>
              <w:right w:val="single" w:sz="4" w:space="0" w:color="auto"/>
            </w:tcBorders>
            <w:shd w:val="clear" w:color="auto" w:fill="auto"/>
            <w:noWrap/>
            <w:vAlign w:val="center"/>
            <w:hideMark/>
          </w:tcPr>
          <w:p w14:paraId="1929202F"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-0.12 (-1.62, 1.36)</w:t>
            </w:r>
          </w:p>
        </w:tc>
        <w:tc>
          <w:tcPr>
            <w:tcW w:w="647" w:type="pct"/>
            <w:tcBorders>
              <w:top w:val="nil"/>
              <w:left w:val="nil"/>
              <w:bottom w:val="single" w:sz="4" w:space="0" w:color="auto"/>
              <w:right w:val="single" w:sz="4" w:space="0" w:color="auto"/>
            </w:tcBorders>
            <w:shd w:val="clear" w:color="000000" w:fill="F8CBAD"/>
            <w:noWrap/>
            <w:vAlign w:val="center"/>
            <w:hideMark/>
          </w:tcPr>
          <w:p w14:paraId="59C45F86" w14:textId="77777777" w:rsidR="001F6CCA" w:rsidRPr="001F6CCA" w:rsidRDefault="001F6CCA" w:rsidP="001F6CCA">
            <w:pPr>
              <w:spacing w:after="0" w:line="240" w:lineRule="auto"/>
              <w:jc w:val="center"/>
              <w:rPr>
                <w:rFonts w:ascii="Calibri" w:eastAsia="Times New Roman" w:hAnsi="Calibri" w:cs="Calibri"/>
                <w:color w:val="000000"/>
                <w:sz w:val="20"/>
                <w:szCs w:val="20"/>
                <w:lang w:eastAsia="en-GB"/>
              </w:rPr>
            </w:pPr>
            <w:r w:rsidRPr="001F6CCA">
              <w:rPr>
                <w:rFonts w:ascii="Calibri" w:eastAsia="Times New Roman" w:hAnsi="Calibri" w:cs="Calibri"/>
                <w:color w:val="000000"/>
                <w:sz w:val="20"/>
                <w:szCs w:val="20"/>
                <w:lang w:eastAsia="en-GB"/>
              </w:rPr>
              <w:t>Fremanezumab-M</w:t>
            </w:r>
          </w:p>
        </w:tc>
        <w:tc>
          <w:tcPr>
            <w:tcW w:w="604" w:type="pct"/>
            <w:tcBorders>
              <w:top w:val="nil"/>
              <w:left w:val="nil"/>
              <w:bottom w:val="single" w:sz="4" w:space="0" w:color="auto"/>
              <w:right w:val="nil"/>
            </w:tcBorders>
            <w:shd w:val="clear" w:color="auto" w:fill="auto"/>
            <w:noWrap/>
            <w:vAlign w:val="bottom"/>
            <w:hideMark/>
          </w:tcPr>
          <w:p w14:paraId="5D917736" w14:textId="77777777" w:rsidR="001F6CCA" w:rsidRPr="001F6CCA" w:rsidRDefault="001F6CCA" w:rsidP="001F6CCA">
            <w:pPr>
              <w:spacing w:after="0" w:line="240" w:lineRule="auto"/>
              <w:rPr>
                <w:rFonts w:ascii="Calibri" w:eastAsia="Times New Roman" w:hAnsi="Calibri" w:cs="Calibri"/>
                <w:color w:val="000000"/>
                <w:lang w:eastAsia="en-GB"/>
              </w:rPr>
            </w:pPr>
            <w:r w:rsidRPr="001F6CCA">
              <w:rPr>
                <w:rFonts w:ascii="Calibri" w:eastAsia="Times New Roman" w:hAnsi="Calibri" w:cs="Calibri"/>
                <w:color w:val="000000"/>
                <w:lang w:eastAsia="en-GB"/>
              </w:rPr>
              <w:t> </w:t>
            </w:r>
          </w:p>
        </w:tc>
        <w:tc>
          <w:tcPr>
            <w:tcW w:w="699" w:type="pct"/>
            <w:tcBorders>
              <w:top w:val="nil"/>
              <w:left w:val="nil"/>
              <w:bottom w:val="nil"/>
              <w:right w:val="nil"/>
            </w:tcBorders>
            <w:shd w:val="clear" w:color="auto" w:fill="auto"/>
            <w:noWrap/>
            <w:vAlign w:val="bottom"/>
            <w:hideMark/>
          </w:tcPr>
          <w:p w14:paraId="30974329" w14:textId="77777777" w:rsidR="001F6CCA" w:rsidRPr="001F6CCA" w:rsidRDefault="001F6CCA" w:rsidP="001F6CCA">
            <w:pPr>
              <w:spacing w:after="0" w:line="240" w:lineRule="auto"/>
              <w:rPr>
                <w:rFonts w:ascii="Calibri" w:eastAsia="Times New Roman" w:hAnsi="Calibri" w:cs="Calibri"/>
                <w:color w:val="000000"/>
                <w:lang w:eastAsia="en-GB"/>
              </w:rPr>
            </w:pPr>
          </w:p>
        </w:tc>
        <w:tc>
          <w:tcPr>
            <w:tcW w:w="417" w:type="pct"/>
            <w:tcBorders>
              <w:top w:val="nil"/>
              <w:left w:val="nil"/>
              <w:bottom w:val="nil"/>
              <w:right w:val="nil"/>
            </w:tcBorders>
            <w:shd w:val="clear" w:color="auto" w:fill="auto"/>
            <w:noWrap/>
            <w:vAlign w:val="bottom"/>
            <w:hideMark/>
          </w:tcPr>
          <w:p w14:paraId="35F84EFE" w14:textId="77777777" w:rsidR="001F6CCA" w:rsidRPr="001F6CCA" w:rsidRDefault="001F6CCA" w:rsidP="001F6CCA">
            <w:pPr>
              <w:spacing w:after="0" w:line="240" w:lineRule="auto"/>
              <w:rPr>
                <w:rFonts w:ascii="Times New Roman" w:eastAsia="Times New Roman" w:hAnsi="Times New Roman" w:cs="Times New Roman"/>
                <w:sz w:val="20"/>
                <w:szCs w:val="20"/>
                <w:lang w:eastAsia="en-GB"/>
              </w:rPr>
            </w:pPr>
          </w:p>
        </w:tc>
      </w:tr>
      <w:tr w:rsidR="001F6CCA" w:rsidRPr="001F6CCA" w14:paraId="3FDDCD71" w14:textId="77777777" w:rsidTr="001F6CCA">
        <w:trPr>
          <w:trHeight w:val="290"/>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6B9E6F52"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-1.44 (-2.83, 0.03)</w:t>
            </w:r>
          </w:p>
        </w:tc>
        <w:tc>
          <w:tcPr>
            <w:tcW w:w="655" w:type="pct"/>
            <w:tcBorders>
              <w:top w:val="nil"/>
              <w:left w:val="nil"/>
              <w:bottom w:val="single" w:sz="4" w:space="0" w:color="auto"/>
              <w:right w:val="single" w:sz="4" w:space="0" w:color="auto"/>
            </w:tcBorders>
            <w:shd w:val="clear" w:color="auto" w:fill="auto"/>
            <w:noWrap/>
            <w:vAlign w:val="center"/>
            <w:hideMark/>
          </w:tcPr>
          <w:p w14:paraId="38219606"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-0.73 (-2.43, 1.04)</w:t>
            </w:r>
          </w:p>
        </w:tc>
        <w:tc>
          <w:tcPr>
            <w:tcW w:w="655" w:type="pct"/>
            <w:tcBorders>
              <w:top w:val="single" w:sz="4" w:space="0" w:color="auto"/>
              <w:left w:val="nil"/>
              <w:bottom w:val="single" w:sz="4" w:space="0" w:color="auto"/>
              <w:right w:val="single" w:sz="4" w:space="0" w:color="auto"/>
            </w:tcBorders>
            <w:shd w:val="clear" w:color="auto" w:fill="auto"/>
            <w:noWrap/>
            <w:vAlign w:val="center"/>
            <w:hideMark/>
          </w:tcPr>
          <w:p w14:paraId="7B853A1E"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-0.73 (-2.42, 1.06)</w:t>
            </w:r>
          </w:p>
        </w:tc>
        <w:tc>
          <w:tcPr>
            <w:tcW w:w="647" w:type="pct"/>
            <w:tcBorders>
              <w:top w:val="nil"/>
              <w:left w:val="nil"/>
              <w:bottom w:val="single" w:sz="4" w:space="0" w:color="auto"/>
              <w:right w:val="single" w:sz="4" w:space="0" w:color="auto"/>
            </w:tcBorders>
            <w:shd w:val="clear" w:color="auto" w:fill="auto"/>
            <w:noWrap/>
            <w:vAlign w:val="center"/>
            <w:hideMark/>
          </w:tcPr>
          <w:p w14:paraId="41139E37"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-0.31 (-1.8, 1.2)</w:t>
            </w:r>
          </w:p>
        </w:tc>
        <w:tc>
          <w:tcPr>
            <w:tcW w:w="647" w:type="pct"/>
            <w:tcBorders>
              <w:top w:val="nil"/>
              <w:left w:val="nil"/>
              <w:bottom w:val="single" w:sz="4" w:space="0" w:color="auto"/>
              <w:right w:val="single" w:sz="4" w:space="0" w:color="auto"/>
            </w:tcBorders>
            <w:shd w:val="clear" w:color="auto" w:fill="auto"/>
            <w:noWrap/>
            <w:vAlign w:val="center"/>
            <w:hideMark/>
          </w:tcPr>
          <w:p w14:paraId="28A96DA3"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-0.19 (-1.2, 0.65)</w:t>
            </w:r>
          </w:p>
        </w:tc>
        <w:tc>
          <w:tcPr>
            <w:tcW w:w="604" w:type="pct"/>
            <w:tcBorders>
              <w:top w:val="nil"/>
              <w:left w:val="nil"/>
              <w:bottom w:val="single" w:sz="4" w:space="0" w:color="auto"/>
              <w:right w:val="single" w:sz="4" w:space="0" w:color="auto"/>
            </w:tcBorders>
            <w:shd w:val="clear" w:color="000000" w:fill="F8CBAD"/>
            <w:noWrap/>
            <w:vAlign w:val="center"/>
            <w:hideMark/>
          </w:tcPr>
          <w:p w14:paraId="06DFCEE6" w14:textId="77777777" w:rsidR="001F6CCA" w:rsidRPr="001F6CCA" w:rsidRDefault="001F6CCA" w:rsidP="001F6CCA">
            <w:pPr>
              <w:spacing w:after="0" w:line="240" w:lineRule="auto"/>
              <w:jc w:val="center"/>
              <w:rPr>
                <w:rFonts w:ascii="Calibri" w:eastAsia="Times New Roman" w:hAnsi="Calibri" w:cs="Calibri"/>
                <w:color w:val="000000"/>
                <w:sz w:val="20"/>
                <w:szCs w:val="20"/>
                <w:lang w:eastAsia="en-GB"/>
              </w:rPr>
            </w:pPr>
            <w:r w:rsidRPr="001F6CCA">
              <w:rPr>
                <w:rFonts w:ascii="Calibri" w:eastAsia="Times New Roman" w:hAnsi="Calibri" w:cs="Calibri"/>
                <w:color w:val="000000"/>
                <w:sz w:val="20"/>
                <w:szCs w:val="20"/>
                <w:lang w:eastAsia="en-GB"/>
              </w:rPr>
              <w:t>Fremanezumab-Q</w:t>
            </w:r>
          </w:p>
        </w:tc>
        <w:tc>
          <w:tcPr>
            <w:tcW w:w="699" w:type="pct"/>
            <w:tcBorders>
              <w:top w:val="nil"/>
              <w:left w:val="nil"/>
              <w:bottom w:val="single" w:sz="4" w:space="0" w:color="auto"/>
              <w:right w:val="nil"/>
            </w:tcBorders>
            <w:shd w:val="clear" w:color="auto" w:fill="auto"/>
            <w:noWrap/>
            <w:vAlign w:val="bottom"/>
            <w:hideMark/>
          </w:tcPr>
          <w:p w14:paraId="5311085F" w14:textId="77777777" w:rsidR="001F6CCA" w:rsidRPr="001F6CCA" w:rsidRDefault="001F6CCA" w:rsidP="001F6CCA">
            <w:pPr>
              <w:spacing w:after="0" w:line="240" w:lineRule="auto"/>
              <w:rPr>
                <w:rFonts w:ascii="Calibri" w:eastAsia="Times New Roman" w:hAnsi="Calibri" w:cs="Calibri"/>
                <w:color w:val="000000"/>
                <w:lang w:eastAsia="en-GB"/>
              </w:rPr>
            </w:pPr>
            <w:r w:rsidRPr="001F6CCA">
              <w:rPr>
                <w:rFonts w:ascii="Calibri" w:eastAsia="Times New Roman" w:hAnsi="Calibri" w:cs="Calibri"/>
                <w:color w:val="000000"/>
                <w:lang w:eastAsia="en-GB"/>
              </w:rPr>
              <w:t> </w:t>
            </w:r>
          </w:p>
        </w:tc>
        <w:tc>
          <w:tcPr>
            <w:tcW w:w="417" w:type="pct"/>
            <w:tcBorders>
              <w:top w:val="nil"/>
              <w:left w:val="nil"/>
              <w:bottom w:val="nil"/>
              <w:right w:val="nil"/>
            </w:tcBorders>
            <w:shd w:val="clear" w:color="auto" w:fill="auto"/>
            <w:noWrap/>
            <w:vAlign w:val="bottom"/>
            <w:hideMark/>
          </w:tcPr>
          <w:p w14:paraId="4F7B14E7" w14:textId="77777777" w:rsidR="001F6CCA" w:rsidRPr="001F6CCA" w:rsidRDefault="001F6CCA" w:rsidP="001F6CCA">
            <w:pPr>
              <w:spacing w:after="0" w:line="240" w:lineRule="auto"/>
              <w:rPr>
                <w:rFonts w:ascii="Calibri" w:eastAsia="Times New Roman" w:hAnsi="Calibri" w:cs="Calibri"/>
                <w:color w:val="000000"/>
                <w:lang w:eastAsia="en-GB"/>
              </w:rPr>
            </w:pPr>
          </w:p>
        </w:tc>
      </w:tr>
      <w:tr w:rsidR="001F6CCA" w:rsidRPr="001F6CCA" w14:paraId="169B1C7E" w14:textId="77777777" w:rsidTr="001F6CCA">
        <w:trPr>
          <w:trHeight w:val="290"/>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3B1F34A1" w14:textId="77777777" w:rsidR="001F6CCA" w:rsidRPr="001F6CCA" w:rsidRDefault="001F6CCA" w:rsidP="001F6CCA">
            <w:pPr>
              <w:spacing w:after="0" w:line="240" w:lineRule="auto"/>
              <w:jc w:val="center"/>
              <w:rPr>
                <w:rFonts w:ascii="Calibri" w:eastAsia="Times New Roman" w:hAnsi="Calibri" w:cs="Calibri"/>
                <w:b/>
                <w:bCs/>
                <w:color w:val="000000"/>
                <w:lang w:eastAsia="en-GB"/>
              </w:rPr>
            </w:pPr>
            <w:r w:rsidRPr="001F6CCA">
              <w:rPr>
                <w:rFonts w:ascii="Calibri" w:eastAsia="Times New Roman" w:hAnsi="Calibri" w:cs="Calibri"/>
                <w:b/>
                <w:bCs/>
                <w:color w:val="000000"/>
                <w:lang w:eastAsia="en-GB"/>
              </w:rPr>
              <w:t>-1.66 (-2.75, -0.58)</w:t>
            </w:r>
          </w:p>
        </w:tc>
        <w:tc>
          <w:tcPr>
            <w:tcW w:w="655" w:type="pct"/>
            <w:tcBorders>
              <w:top w:val="nil"/>
              <w:left w:val="nil"/>
              <w:bottom w:val="single" w:sz="4" w:space="0" w:color="auto"/>
              <w:right w:val="single" w:sz="4" w:space="0" w:color="auto"/>
            </w:tcBorders>
            <w:shd w:val="clear" w:color="auto" w:fill="auto"/>
            <w:noWrap/>
            <w:vAlign w:val="center"/>
            <w:hideMark/>
          </w:tcPr>
          <w:p w14:paraId="3732D064"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0.95 (-0.82, 2.68)</w:t>
            </w:r>
          </w:p>
        </w:tc>
        <w:tc>
          <w:tcPr>
            <w:tcW w:w="655" w:type="pct"/>
            <w:tcBorders>
              <w:top w:val="nil"/>
              <w:left w:val="nil"/>
              <w:bottom w:val="single" w:sz="4" w:space="0" w:color="auto"/>
              <w:right w:val="single" w:sz="4" w:space="0" w:color="auto"/>
            </w:tcBorders>
            <w:shd w:val="clear" w:color="auto" w:fill="auto"/>
            <w:noWrap/>
            <w:vAlign w:val="center"/>
            <w:hideMark/>
          </w:tcPr>
          <w:p w14:paraId="3371663E"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0.95 (-0.81, 2.70)</w:t>
            </w:r>
          </w:p>
        </w:tc>
        <w:tc>
          <w:tcPr>
            <w:tcW w:w="647" w:type="pct"/>
            <w:tcBorders>
              <w:top w:val="nil"/>
              <w:left w:val="nil"/>
              <w:bottom w:val="single" w:sz="4" w:space="0" w:color="auto"/>
              <w:right w:val="single" w:sz="4" w:space="0" w:color="auto"/>
            </w:tcBorders>
            <w:shd w:val="clear" w:color="auto" w:fill="auto"/>
            <w:noWrap/>
            <w:vAlign w:val="center"/>
            <w:hideMark/>
          </w:tcPr>
          <w:p w14:paraId="206C312A"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-0.53 (-2.01, 1.02)</w:t>
            </w:r>
          </w:p>
        </w:tc>
        <w:tc>
          <w:tcPr>
            <w:tcW w:w="647" w:type="pct"/>
            <w:tcBorders>
              <w:top w:val="nil"/>
              <w:left w:val="nil"/>
              <w:bottom w:val="single" w:sz="4" w:space="0" w:color="auto"/>
              <w:right w:val="single" w:sz="4" w:space="0" w:color="auto"/>
            </w:tcBorders>
            <w:shd w:val="clear" w:color="auto" w:fill="auto"/>
            <w:noWrap/>
            <w:vAlign w:val="center"/>
            <w:hideMark/>
          </w:tcPr>
          <w:p w14:paraId="71A6ED86"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0.41 (-0.81, 1.64)</w:t>
            </w:r>
          </w:p>
        </w:tc>
        <w:tc>
          <w:tcPr>
            <w:tcW w:w="604" w:type="pct"/>
            <w:tcBorders>
              <w:top w:val="nil"/>
              <w:left w:val="nil"/>
              <w:bottom w:val="single" w:sz="4" w:space="0" w:color="auto"/>
              <w:right w:val="single" w:sz="4" w:space="0" w:color="auto"/>
            </w:tcBorders>
            <w:shd w:val="clear" w:color="auto" w:fill="auto"/>
            <w:noWrap/>
            <w:vAlign w:val="center"/>
            <w:hideMark/>
          </w:tcPr>
          <w:p w14:paraId="2BF322A5" w14:textId="77777777" w:rsidR="001F6CCA" w:rsidRPr="001F6CCA" w:rsidRDefault="001F6CCA" w:rsidP="001F6CCA">
            <w:pPr>
              <w:spacing w:after="0" w:line="240" w:lineRule="auto"/>
              <w:jc w:val="center"/>
              <w:rPr>
                <w:rFonts w:ascii="Calibri" w:eastAsia="Times New Roman" w:hAnsi="Calibri" w:cs="Calibri"/>
                <w:color w:val="000000"/>
                <w:lang w:eastAsia="en-GB"/>
              </w:rPr>
            </w:pPr>
            <w:r w:rsidRPr="001F6CCA">
              <w:rPr>
                <w:rFonts w:ascii="Calibri" w:eastAsia="Times New Roman" w:hAnsi="Calibri" w:cs="Calibri"/>
                <w:color w:val="000000"/>
                <w:lang w:eastAsia="en-GB"/>
              </w:rPr>
              <w:t>-1.44 (-2.83, 0.03)</w:t>
            </w:r>
          </w:p>
        </w:tc>
        <w:tc>
          <w:tcPr>
            <w:tcW w:w="699" w:type="pct"/>
            <w:tcBorders>
              <w:top w:val="nil"/>
              <w:left w:val="nil"/>
              <w:bottom w:val="single" w:sz="4" w:space="0" w:color="auto"/>
              <w:right w:val="single" w:sz="4" w:space="0" w:color="auto"/>
            </w:tcBorders>
            <w:shd w:val="clear" w:color="000000" w:fill="F8CBAD"/>
            <w:noWrap/>
            <w:vAlign w:val="center"/>
            <w:hideMark/>
          </w:tcPr>
          <w:p w14:paraId="2984DC40" w14:textId="77777777" w:rsidR="001F6CCA" w:rsidRPr="001F6CCA" w:rsidRDefault="001F6CCA" w:rsidP="001F6CCA">
            <w:pPr>
              <w:spacing w:after="0" w:line="240" w:lineRule="auto"/>
              <w:jc w:val="center"/>
              <w:rPr>
                <w:rFonts w:ascii="Calibri" w:eastAsia="Times New Roman" w:hAnsi="Calibri" w:cs="Calibri"/>
                <w:color w:val="000000"/>
                <w:sz w:val="20"/>
                <w:szCs w:val="20"/>
                <w:lang w:eastAsia="en-GB"/>
              </w:rPr>
            </w:pPr>
            <w:r w:rsidRPr="001F6CCA">
              <w:rPr>
                <w:rFonts w:ascii="Calibri" w:eastAsia="Times New Roman" w:hAnsi="Calibri" w:cs="Calibri"/>
                <w:color w:val="000000"/>
                <w:sz w:val="20"/>
                <w:szCs w:val="20"/>
                <w:lang w:eastAsia="en-GB"/>
              </w:rPr>
              <w:t>Eptinezumab 100mg</w:t>
            </w:r>
          </w:p>
        </w:tc>
        <w:tc>
          <w:tcPr>
            <w:tcW w:w="417" w:type="pct"/>
            <w:tcBorders>
              <w:top w:val="nil"/>
              <w:left w:val="nil"/>
              <w:bottom w:val="single" w:sz="4" w:space="0" w:color="auto"/>
              <w:right w:val="nil"/>
            </w:tcBorders>
            <w:shd w:val="clear" w:color="auto" w:fill="auto"/>
            <w:noWrap/>
            <w:vAlign w:val="bottom"/>
            <w:hideMark/>
          </w:tcPr>
          <w:p w14:paraId="69024197" w14:textId="77777777" w:rsidR="001F6CCA" w:rsidRPr="001F6CCA" w:rsidRDefault="001F6CCA" w:rsidP="001F6CCA">
            <w:pPr>
              <w:spacing w:after="0" w:line="240" w:lineRule="auto"/>
              <w:rPr>
                <w:rFonts w:ascii="Calibri" w:eastAsia="Times New Roman" w:hAnsi="Calibri" w:cs="Calibri"/>
                <w:color w:val="000000"/>
                <w:lang w:eastAsia="en-GB"/>
              </w:rPr>
            </w:pPr>
            <w:r w:rsidRPr="001F6CCA">
              <w:rPr>
                <w:rFonts w:ascii="Calibri" w:eastAsia="Times New Roman" w:hAnsi="Calibri" w:cs="Calibri"/>
                <w:color w:val="000000"/>
                <w:lang w:eastAsia="en-GB"/>
              </w:rPr>
              <w:t> </w:t>
            </w:r>
          </w:p>
        </w:tc>
      </w:tr>
      <w:tr w:rsidR="001F6CCA" w:rsidRPr="001F6CCA" w14:paraId="3103B504" w14:textId="77777777" w:rsidTr="001F6CCA">
        <w:trPr>
          <w:trHeight w:val="290"/>
        </w:trPr>
        <w:tc>
          <w:tcPr>
            <w:tcW w:w="677" w:type="pct"/>
            <w:tcBorders>
              <w:top w:val="nil"/>
              <w:left w:val="single" w:sz="4" w:space="0" w:color="auto"/>
              <w:bottom w:val="single" w:sz="4" w:space="0" w:color="auto"/>
              <w:right w:val="single" w:sz="4" w:space="0" w:color="auto"/>
            </w:tcBorders>
            <w:shd w:val="clear" w:color="auto" w:fill="auto"/>
            <w:noWrap/>
            <w:vAlign w:val="center"/>
            <w:hideMark/>
          </w:tcPr>
          <w:p w14:paraId="57A0D10F" w14:textId="77777777" w:rsidR="001F6CCA" w:rsidRPr="001F6CCA" w:rsidRDefault="001F6CCA" w:rsidP="001F6CCA">
            <w:pPr>
              <w:spacing w:after="0" w:line="240" w:lineRule="auto"/>
              <w:jc w:val="center"/>
              <w:rPr>
                <w:rFonts w:ascii="Calibri" w:eastAsia="Times New Roman" w:hAnsi="Calibri" w:cs="Calibri"/>
                <w:b/>
                <w:bCs/>
                <w:color w:val="000000"/>
                <w:lang w:eastAsia="en-GB"/>
              </w:rPr>
            </w:pPr>
            <w:r w:rsidRPr="001F6CCA">
              <w:rPr>
                <w:rFonts w:ascii="Calibri" w:eastAsia="Times New Roman" w:hAnsi="Calibri" w:cs="Calibri"/>
                <w:b/>
                <w:bCs/>
                <w:color w:val="000000"/>
                <w:lang w:eastAsia="en-GB"/>
              </w:rPr>
              <w:t>-3.23 (-4.33, -2.11)</w:t>
            </w:r>
          </w:p>
        </w:tc>
        <w:tc>
          <w:tcPr>
            <w:tcW w:w="655" w:type="pct"/>
            <w:tcBorders>
              <w:top w:val="nil"/>
              <w:left w:val="nil"/>
              <w:bottom w:val="single" w:sz="4" w:space="0" w:color="auto"/>
              <w:right w:val="single" w:sz="4" w:space="0" w:color="auto"/>
            </w:tcBorders>
            <w:shd w:val="clear" w:color="auto" w:fill="auto"/>
            <w:noWrap/>
            <w:vAlign w:val="center"/>
            <w:hideMark/>
          </w:tcPr>
          <w:p w14:paraId="4F810AA2" w14:textId="77777777" w:rsidR="001F6CCA" w:rsidRPr="001F6CCA" w:rsidRDefault="001F6CCA" w:rsidP="001F6CCA">
            <w:pPr>
              <w:spacing w:after="0" w:line="240" w:lineRule="auto"/>
              <w:jc w:val="center"/>
              <w:rPr>
                <w:rFonts w:ascii="Calibri" w:eastAsia="Times New Roman" w:hAnsi="Calibri" w:cs="Calibri"/>
                <w:b/>
                <w:bCs/>
                <w:color w:val="000000"/>
                <w:lang w:eastAsia="en-GB"/>
              </w:rPr>
            </w:pPr>
            <w:r w:rsidRPr="001F6CCA">
              <w:rPr>
                <w:rFonts w:ascii="Calibri" w:eastAsia="Times New Roman" w:hAnsi="Calibri" w:cs="Calibri"/>
                <w:b/>
                <w:bCs/>
                <w:color w:val="000000"/>
                <w:lang w:eastAsia="en-GB"/>
              </w:rPr>
              <w:t>-2.51 (-3.94, -1.06)</w:t>
            </w:r>
          </w:p>
        </w:tc>
        <w:tc>
          <w:tcPr>
            <w:tcW w:w="655" w:type="pct"/>
            <w:tcBorders>
              <w:top w:val="nil"/>
              <w:left w:val="nil"/>
              <w:bottom w:val="single" w:sz="4" w:space="0" w:color="auto"/>
              <w:right w:val="single" w:sz="4" w:space="0" w:color="auto"/>
            </w:tcBorders>
            <w:shd w:val="clear" w:color="auto" w:fill="auto"/>
            <w:noWrap/>
            <w:vAlign w:val="center"/>
            <w:hideMark/>
          </w:tcPr>
          <w:p w14:paraId="2481CF0E" w14:textId="77777777" w:rsidR="001F6CCA" w:rsidRPr="001F6CCA" w:rsidRDefault="001F6CCA" w:rsidP="001F6CCA">
            <w:pPr>
              <w:spacing w:after="0" w:line="240" w:lineRule="auto"/>
              <w:jc w:val="center"/>
              <w:rPr>
                <w:rFonts w:ascii="Calibri" w:eastAsia="Times New Roman" w:hAnsi="Calibri" w:cs="Calibri"/>
                <w:b/>
                <w:bCs/>
                <w:color w:val="000000"/>
                <w:lang w:eastAsia="en-GB"/>
              </w:rPr>
            </w:pPr>
            <w:r w:rsidRPr="001F6CCA">
              <w:rPr>
                <w:rFonts w:ascii="Calibri" w:eastAsia="Times New Roman" w:hAnsi="Calibri" w:cs="Calibri"/>
                <w:b/>
                <w:bCs/>
                <w:color w:val="000000"/>
                <w:lang w:eastAsia="en-GB"/>
              </w:rPr>
              <w:t>-2.52 (-4.02, -1.02)</w:t>
            </w:r>
          </w:p>
        </w:tc>
        <w:tc>
          <w:tcPr>
            <w:tcW w:w="647" w:type="pct"/>
            <w:tcBorders>
              <w:top w:val="nil"/>
              <w:left w:val="nil"/>
              <w:bottom w:val="single" w:sz="4" w:space="0" w:color="auto"/>
              <w:right w:val="single" w:sz="4" w:space="0" w:color="auto"/>
            </w:tcBorders>
            <w:shd w:val="clear" w:color="auto" w:fill="auto"/>
            <w:noWrap/>
            <w:vAlign w:val="center"/>
            <w:hideMark/>
          </w:tcPr>
          <w:p w14:paraId="22F11CA3" w14:textId="77777777" w:rsidR="001F6CCA" w:rsidRPr="001F6CCA" w:rsidRDefault="001F6CCA" w:rsidP="001F6CCA">
            <w:pPr>
              <w:spacing w:after="0" w:line="240" w:lineRule="auto"/>
              <w:jc w:val="center"/>
              <w:rPr>
                <w:rFonts w:ascii="Calibri" w:eastAsia="Times New Roman" w:hAnsi="Calibri" w:cs="Calibri"/>
                <w:b/>
                <w:bCs/>
                <w:color w:val="000000"/>
                <w:lang w:eastAsia="en-GB"/>
              </w:rPr>
            </w:pPr>
            <w:r w:rsidRPr="001F6CCA">
              <w:rPr>
                <w:rFonts w:ascii="Calibri" w:eastAsia="Times New Roman" w:hAnsi="Calibri" w:cs="Calibri"/>
                <w:b/>
                <w:bCs/>
                <w:color w:val="000000"/>
                <w:lang w:eastAsia="en-GB"/>
              </w:rPr>
              <w:t>-2.10 (-3.34, -0.90)</w:t>
            </w:r>
          </w:p>
        </w:tc>
        <w:tc>
          <w:tcPr>
            <w:tcW w:w="647" w:type="pct"/>
            <w:tcBorders>
              <w:top w:val="nil"/>
              <w:left w:val="nil"/>
              <w:bottom w:val="single" w:sz="4" w:space="0" w:color="auto"/>
              <w:right w:val="single" w:sz="4" w:space="0" w:color="auto"/>
            </w:tcBorders>
            <w:shd w:val="clear" w:color="auto" w:fill="auto"/>
            <w:noWrap/>
            <w:vAlign w:val="center"/>
            <w:hideMark/>
          </w:tcPr>
          <w:p w14:paraId="16E456CF" w14:textId="77777777" w:rsidR="001F6CCA" w:rsidRPr="001F6CCA" w:rsidRDefault="001F6CCA" w:rsidP="001F6CCA">
            <w:pPr>
              <w:spacing w:after="0" w:line="240" w:lineRule="auto"/>
              <w:jc w:val="center"/>
              <w:rPr>
                <w:rFonts w:ascii="Calibri" w:eastAsia="Times New Roman" w:hAnsi="Calibri" w:cs="Calibri"/>
                <w:b/>
                <w:bCs/>
                <w:color w:val="000000"/>
                <w:lang w:eastAsia="en-GB"/>
              </w:rPr>
            </w:pPr>
            <w:r w:rsidRPr="001F6CCA">
              <w:rPr>
                <w:rFonts w:ascii="Calibri" w:eastAsia="Times New Roman" w:hAnsi="Calibri" w:cs="Calibri"/>
                <w:b/>
                <w:bCs/>
                <w:color w:val="000000"/>
                <w:lang w:eastAsia="en-GB"/>
              </w:rPr>
              <w:t>-1.98 (-2.77, -1.16)</w:t>
            </w:r>
          </w:p>
        </w:tc>
        <w:tc>
          <w:tcPr>
            <w:tcW w:w="604" w:type="pct"/>
            <w:tcBorders>
              <w:top w:val="nil"/>
              <w:left w:val="nil"/>
              <w:bottom w:val="single" w:sz="4" w:space="0" w:color="auto"/>
              <w:right w:val="single" w:sz="4" w:space="0" w:color="auto"/>
            </w:tcBorders>
            <w:shd w:val="clear" w:color="auto" w:fill="auto"/>
            <w:noWrap/>
            <w:vAlign w:val="center"/>
            <w:hideMark/>
          </w:tcPr>
          <w:p w14:paraId="50E30283" w14:textId="77777777" w:rsidR="001F6CCA" w:rsidRPr="001F6CCA" w:rsidRDefault="001F6CCA" w:rsidP="001F6CCA">
            <w:pPr>
              <w:spacing w:after="0" w:line="240" w:lineRule="auto"/>
              <w:jc w:val="center"/>
              <w:rPr>
                <w:rFonts w:ascii="Calibri" w:eastAsia="Times New Roman" w:hAnsi="Calibri" w:cs="Calibri"/>
                <w:b/>
                <w:bCs/>
                <w:color w:val="000000"/>
                <w:lang w:eastAsia="en-GB"/>
              </w:rPr>
            </w:pPr>
            <w:r w:rsidRPr="001F6CCA">
              <w:rPr>
                <w:rFonts w:ascii="Calibri" w:eastAsia="Times New Roman" w:hAnsi="Calibri" w:cs="Calibri"/>
                <w:b/>
                <w:bCs/>
                <w:color w:val="000000"/>
                <w:lang w:eastAsia="en-GB"/>
              </w:rPr>
              <w:t>-1.79 (-2.66, -0.9)</w:t>
            </w:r>
          </w:p>
        </w:tc>
        <w:tc>
          <w:tcPr>
            <w:tcW w:w="699" w:type="pct"/>
            <w:tcBorders>
              <w:top w:val="nil"/>
              <w:left w:val="nil"/>
              <w:bottom w:val="single" w:sz="4" w:space="0" w:color="auto"/>
              <w:right w:val="single" w:sz="4" w:space="0" w:color="auto"/>
            </w:tcBorders>
            <w:shd w:val="clear" w:color="auto" w:fill="auto"/>
            <w:noWrap/>
            <w:vAlign w:val="center"/>
            <w:hideMark/>
          </w:tcPr>
          <w:p w14:paraId="2FE44816" w14:textId="77777777" w:rsidR="001F6CCA" w:rsidRPr="001F6CCA" w:rsidRDefault="001F6CCA" w:rsidP="001F6CCA">
            <w:pPr>
              <w:spacing w:after="0" w:line="240" w:lineRule="auto"/>
              <w:jc w:val="center"/>
              <w:rPr>
                <w:rFonts w:ascii="Calibri" w:eastAsia="Times New Roman" w:hAnsi="Calibri" w:cs="Calibri"/>
                <w:b/>
                <w:bCs/>
                <w:color w:val="000000"/>
                <w:lang w:eastAsia="en-GB"/>
              </w:rPr>
            </w:pPr>
            <w:r w:rsidRPr="001F6CCA">
              <w:rPr>
                <w:rFonts w:ascii="Calibri" w:eastAsia="Times New Roman" w:hAnsi="Calibri" w:cs="Calibri"/>
                <w:b/>
                <w:bCs/>
                <w:color w:val="000000"/>
                <w:lang w:eastAsia="en-GB"/>
              </w:rPr>
              <w:t>-1.57 (-2.5, -0.064)</w:t>
            </w:r>
          </w:p>
        </w:tc>
        <w:tc>
          <w:tcPr>
            <w:tcW w:w="417" w:type="pct"/>
            <w:tcBorders>
              <w:top w:val="nil"/>
              <w:left w:val="nil"/>
              <w:bottom w:val="single" w:sz="4" w:space="0" w:color="auto"/>
              <w:right w:val="single" w:sz="4" w:space="0" w:color="auto"/>
            </w:tcBorders>
            <w:shd w:val="clear" w:color="000000" w:fill="F8CBAD"/>
            <w:noWrap/>
            <w:vAlign w:val="center"/>
            <w:hideMark/>
          </w:tcPr>
          <w:p w14:paraId="63AE4E6E" w14:textId="77777777" w:rsidR="001F6CCA" w:rsidRPr="001F6CCA" w:rsidRDefault="001F6CCA" w:rsidP="001F6CCA">
            <w:pPr>
              <w:spacing w:after="0" w:line="240" w:lineRule="auto"/>
              <w:jc w:val="center"/>
              <w:rPr>
                <w:rFonts w:ascii="Calibri" w:eastAsia="Times New Roman" w:hAnsi="Calibri" w:cs="Calibri"/>
                <w:color w:val="000000"/>
                <w:sz w:val="20"/>
                <w:szCs w:val="20"/>
                <w:lang w:eastAsia="en-GB"/>
              </w:rPr>
            </w:pPr>
            <w:r w:rsidRPr="001F6CCA">
              <w:rPr>
                <w:rFonts w:ascii="Calibri" w:eastAsia="Times New Roman" w:hAnsi="Calibri" w:cs="Calibri"/>
                <w:color w:val="000000"/>
                <w:sz w:val="20"/>
                <w:szCs w:val="20"/>
                <w:lang w:eastAsia="en-GB"/>
              </w:rPr>
              <w:t>Placebo</w:t>
            </w:r>
          </w:p>
        </w:tc>
      </w:tr>
    </w:tbl>
    <w:p w14:paraId="65CA7AE3" w14:textId="77777777" w:rsidR="00AB4E57" w:rsidRDefault="00AB4E57" w:rsidP="00AB4E57"/>
    <w:p w14:paraId="68EFE7FA" w14:textId="77777777" w:rsidR="00561D76" w:rsidRDefault="00561D76" w:rsidP="00AB4E57"/>
    <w:p w14:paraId="3A5815B3" w14:textId="029AAC17" w:rsidR="00561D76" w:rsidRPr="00AB4E57" w:rsidRDefault="009013A9" w:rsidP="00AB4E57">
      <w:r>
        <w:rPr>
          <w:noProof/>
          <w:lang w:val="en-US"/>
        </w:rPr>
        <w:drawing>
          <wp:inline distT="0" distB="0" distL="0" distR="0" wp14:anchorId="02C8A548" wp14:editId="05725147">
            <wp:extent cx="5732145" cy="2563792"/>
            <wp:effectExtent l="0" t="0" r="1905" b="8255"/>
            <wp:docPr id="1426453875" name="Picture 1" descr="A graph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453875" name="Picture 1" descr="A graph with red lines&#10;&#10;Description automatically generated"/>
                    <pic:cNvPicPr/>
                  </pic:nvPicPr>
                  <pic:blipFill>
                    <a:blip r:embed="rId27"/>
                    <a:stretch>
                      <a:fillRect/>
                    </a:stretch>
                  </pic:blipFill>
                  <pic:spPr>
                    <a:xfrm>
                      <a:off x="0" y="0"/>
                      <a:ext cx="5739915" cy="2567267"/>
                    </a:xfrm>
                    <a:prstGeom prst="rect">
                      <a:avLst/>
                    </a:prstGeom>
                  </pic:spPr>
                </pic:pic>
              </a:graphicData>
            </a:graphic>
          </wp:inline>
        </w:drawing>
      </w:r>
    </w:p>
    <w:p w14:paraId="59F7D791" w14:textId="702459F5" w:rsidR="00B12F87" w:rsidRDefault="00B12F87" w:rsidP="00B12F87">
      <w:pPr>
        <w:pStyle w:val="Caption"/>
        <w:keepNext/>
        <w:spacing w:after="0"/>
      </w:pPr>
      <w:r w:rsidRPr="008B1EF1">
        <w:t xml:space="preserve">Figure </w:t>
      </w:r>
      <w:r>
        <w:t>1</w:t>
      </w:r>
      <w:r w:rsidR="00047048">
        <w:t>3</w:t>
      </w:r>
      <w:r w:rsidRPr="008B1EF1">
        <w:t xml:space="preserve">: surface under the cumulative ranking curve (SUCRA) for </w:t>
      </w:r>
      <w:r w:rsidRPr="002C39C0">
        <w:t xml:space="preserve">mean change in </w:t>
      </w:r>
      <w:r>
        <w:t>H</w:t>
      </w:r>
      <w:r w:rsidR="00E837D9">
        <w:t>I</w:t>
      </w:r>
      <w:r>
        <w:t>T-6</w:t>
      </w:r>
      <w:r w:rsidRPr="002C39C0">
        <w:t xml:space="preserve"> from baseline</w:t>
      </w:r>
    </w:p>
    <w:p w14:paraId="66093BA5" w14:textId="77777777" w:rsidR="00B12F87" w:rsidRDefault="00B12F87" w:rsidP="00B12F87"/>
    <w:p w14:paraId="30BF48A2" w14:textId="52A35DE8" w:rsidR="00561D76" w:rsidRDefault="00561D76" w:rsidP="00B12F87">
      <w:pPr>
        <w:pStyle w:val="Caption"/>
        <w:keepNext/>
        <w:spacing w:after="0"/>
      </w:pPr>
      <w:r>
        <w:rPr>
          <w:noProof/>
          <w:lang w:val="en-US"/>
        </w:rPr>
        <w:lastRenderedPageBreak/>
        <w:drawing>
          <wp:inline distT="0" distB="0" distL="0" distR="0" wp14:anchorId="605672A8" wp14:editId="67ADEBA5">
            <wp:extent cx="5732145" cy="1794076"/>
            <wp:effectExtent l="0" t="0" r="1905" b="0"/>
            <wp:docPr id="816638251" name="Picture 1" descr="A graph with black and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638251" name="Picture 1" descr="A graph with black and white lines&#10;&#10;Description automatically generated"/>
                    <pic:cNvPicPr/>
                  </pic:nvPicPr>
                  <pic:blipFill>
                    <a:blip r:embed="rId28"/>
                    <a:stretch>
                      <a:fillRect/>
                    </a:stretch>
                  </pic:blipFill>
                  <pic:spPr>
                    <a:xfrm>
                      <a:off x="0" y="0"/>
                      <a:ext cx="5735602" cy="1795158"/>
                    </a:xfrm>
                    <a:prstGeom prst="rect">
                      <a:avLst/>
                    </a:prstGeom>
                  </pic:spPr>
                </pic:pic>
              </a:graphicData>
            </a:graphic>
          </wp:inline>
        </w:drawing>
      </w:r>
    </w:p>
    <w:p w14:paraId="49A9D9B5" w14:textId="6DE38330" w:rsidR="00B12F87" w:rsidRDefault="00B12F87" w:rsidP="00B12F87">
      <w:pPr>
        <w:pStyle w:val="Caption"/>
        <w:keepNext/>
        <w:spacing w:after="0"/>
      </w:pPr>
      <w:r>
        <w:t>Figure 1</w:t>
      </w:r>
      <w:r w:rsidR="00047048">
        <w:t>4</w:t>
      </w:r>
      <w:r>
        <w:t xml:space="preserve">: Forest plot for </w:t>
      </w:r>
      <w:r w:rsidRPr="002C39C0">
        <w:t xml:space="preserve">mean change in </w:t>
      </w:r>
      <w:r>
        <w:t>H</w:t>
      </w:r>
      <w:r w:rsidR="00E837D9">
        <w:t>IT</w:t>
      </w:r>
      <w:r>
        <w:t>-6</w:t>
      </w:r>
      <w:r w:rsidRPr="002C39C0">
        <w:t xml:space="preserve"> from baseline</w:t>
      </w:r>
    </w:p>
    <w:p w14:paraId="7B0FFF5B" w14:textId="1411C408" w:rsidR="00753E7C" w:rsidRPr="00753E7C" w:rsidRDefault="00753E7C" w:rsidP="00B12F87">
      <w:pPr>
        <w:pStyle w:val="Caption"/>
        <w:keepNext/>
        <w:spacing w:after="0"/>
      </w:pPr>
    </w:p>
    <w:p w14:paraId="2DC1C31F" w14:textId="77777777" w:rsidR="00753E7C" w:rsidRDefault="00753E7C" w:rsidP="00753E7C"/>
    <w:p w14:paraId="6A77725D" w14:textId="69F53189" w:rsidR="00B12F87" w:rsidRDefault="00B12F87" w:rsidP="00B12F87">
      <w:pPr>
        <w:pStyle w:val="Caption"/>
        <w:keepNext/>
      </w:pPr>
      <w:r>
        <w:t>Table 1</w:t>
      </w:r>
      <w:r w:rsidR="00047048">
        <w:t>5</w:t>
      </w:r>
      <w:r>
        <w:t xml:space="preserve">: </w:t>
      </w:r>
      <w:r w:rsidRPr="00AD6D3F">
        <w:t xml:space="preserve">The model fit result for mean change in </w:t>
      </w:r>
      <w:r w:rsidR="00E837D9">
        <w:t>HIT</w:t>
      </w:r>
      <w:r>
        <w:t>-6</w:t>
      </w:r>
      <w:r w:rsidRPr="00AD6D3F">
        <w:t xml:space="preserve"> from baseline</w:t>
      </w:r>
    </w:p>
    <w:tbl>
      <w:tblPr>
        <w:tblStyle w:val="TableGrid"/>
        <w:tblW w:w="0" w:type="auto"/>
        <w:tblInd w:w="5" w:type="dxa"/>
        <w:tblLook w:val="04A0" w:firstRow="1" w:lastRow="0" w:firstColumn="1" w:lastColumn="0" w:noHBand="0" w:noVBand="1"/>
      </w:tblPr>
      <w:tblGrid>
        <w:gridCol w:w="2253"/>
        <w:gridCol w:w="3407"/>
        <w:gridCol w:w="2127"/>
        <w:gridCol w:w="1225"/>
      </w:tblGrid>
      <w:tr w:rsidR="00B12F87" w:rsidRPr="00E12582" w14:paraId="2A2C2A51" w14:textId="77777777" w:rsidTr="00611803">
        <w:tc>
          <w:tcPr>
            <w:tcW w:w="2253" w:type="dxa"/>
            <w:tcBorders>
              <w:top w:val="single" w:sz="4" w:space="0" w:color="auto"/>
              <w:left w:val="single" w:sz="4" w:space="0" w:color="auto"/>
            </w:tcBorders>
          </w:tcPr>
          <w:p w14:paraId="036B4037" w14:textId="77777777" w:rsidR="00B12F87" w:rsidRPr="00F16733" w:rsidRDefault="00B12F87" w:rsidP="00611803">
            <w:pPr>
              <w:tabs>
                <w:tab w:val="left" w:pos="1020"/>
              </w:tabs>
              <w:rPr>
                <w:rFonts w:eastAsia="Calibri" w:cs="Arial"/>
                <w:sz w:val="20"/>
                <w:szCs w:val="20"/>
              </w:rPr>
            </w:pPr>
          </w:p>
        </w:tc>
        <w:tc>
          <w:tcPr>
            <w:tcW w:w="3407" w:type="dxa"/>
          </w:tcPr>
          <w:p w14:paraId="448B3D12" w14:textId="3CFBDE8D" w:rsidR="00B12F87" w:rsidRPr="00F16733" w:rsidRDefault="00B12F87" w:rsidP="00611803">
            <w:pPr>
              <w:tabs>
                <w:tab w:val="left" w:pos="1020"/>
              </w:tabs>
              <w:jc w:val="center"/>
              <w:rPr>
                <w:rFonts w:eastAsia="Calibri" w:cs="Arial"/>
                <w:sz w:val="20"/>
                <w:szCs w:val="20"/>
              </w:rPr>
            </w:pPr>
            <w:r w:rsidRPr="00F16733">
              <w:rPr>
                <w:rFonts w:eastAsia="Calibri" w:cs="Arial"/>
                <w:sz w:val="20"/>
                <w:szCs w:val="20"/>
              </w:rPr>
              <w:t>Residual deviance (</w:t>
            </w:r>
            <w:r>
              <w:rPr>
                <w:rFonts w:eastAsia="Calibri" w:cs="Arial"/>
                <w:sz w:val="20"/>
                <w:szCs w:val="20"/>
              </w:rPr>
              <w:t>1</w:t>
            </w:r>
            <w:r w:rsidR="00CB4662">
              <w:rPr>
                <w:rFonts w:eastAsia="Calibri" w:cs="Arial"/>
                <w:sz w:val="20"/>
                <w:szCs w:val="20"/>
              </w:rPr>
              <w:t>7</w:t>
            </w:r>
            <w:r w:rsidRPr="00F16733">
              <w:rPr>
                <w:rFonts w:eastAsia="Calibri" w:cs="Arial"/>
                <w:sz w:val="20"/>
                <w:szCs w:val="20"/>
              </w:rPr>
              <w:t xml:space="preserve"> data points)</w:t>
            </w:r>
          </w:p>
        </w:tc>
        <w:tc>
          <w:tcPr>
            <w:tcW w:w="2127" w:type="dxa"/>
          </w:tcPr>
          <w:p w14:paraId="2CB2B322" w14:textId="77777777" w:rsidR="00B12F87" w:rsidRPr="00F16733" w:rsidRDefault="00B12F87" w:rsidP="00611803">
            <w:pPr>
              <w:tabs>
                <w:tab w:val="left" w:pos="1020"/>
              </w:tabs>
              <w:jc w:val="center"/>
              <w:rPr>
                <w:rFonts w:eastAsia="Calibri" w:cs="Arial"/>
                <w:sz w:val="20"/>
                <w:szCs w:val="20"/>
              </w:rPr>
            </w:pPr>
            <w:r w:rsidRPr="00F16733">
              <w:rPr>
                <w:rFonts w:eastAsia="Calibri" w:cs="Arial"/>
                <w:sz w:val="20"/>
                <w:szCs w:val="20"/>
              </w:rPr>
              <w:t>pD*</w:t>
            </w:r>
          </w:p>
        </w:tc>
        <w:tc>
          <w:tcPr>
            <w:tcW w:w="1225" w:type="dxa"/>
          </w:tcPr>
          <w:p w14:paraId="5E8EDFCA" w14:textId="77777777" w:rsidR="00B12F87" w:rsidRPr="00F16733" w:rsidRDefault="00B12F87" w:rsidP="00611803">
            <w:pPr>
              <w:tabs>
                <w:tab w:val="left" w:pos="1020"/>
              </w:tabs>
              <w:jc w:val="center"/>
              <w:rPr>
                <w:rFonts w:eastAsia="Calibri" w:cs="Arial"/>
                <w:sz w:val="20"/>
                <w:szCs w:val="20"/>
              </w:rPr>
            </w:pPr>
            <w:r w:rsidRPr="00F16733">
              <w:rPr>
                <w:rFonts w:eastAsia="Calibri" w:cs="Arial"/>
                <w:sz w:val="20"/>
                <w:szCs w:val="20"/>
              </w:rPr>
              <w:t>DIC**</w:t>
            </w:r>
          </w:p>
        </w:tc>
      </w:tr>
      <w:tr w:rsidR="00B12F87" w:rsidRPr="00E12582" w14:paraId="06822390" w14:textId="77777777" w:rsidTr="00611803">
        <w:tc>
          <w:tcPr>
            <w:tcW w:w="2253" w:type="dxa"/>
          </w:tcPr>
          <w:p w14:paraId="7B602869" w14:textId="77777777" w:rsidR="00B12F87" w:rsidRPr="00F16733" w:rsidRDefault="00B12F87" w:rsidP="00611803">
            <w:pPr>
              <w:tabs>
                <w:tab w:val="left" w:pos="1020"/>
              </w:tabs>
              <w:rPr>
                <w:rFonts w:eastAsia="Calibri" w:cs="Arial"/>
                <w:sz w:val="20"/>
                <w:szCs w:val="20"/>
              </w:rPr>
            </w:pPr>
            <w:r w:rsidRPr="00F16733">
              <w:rPr>
                <w:rFonts w:eastAsia="Calibri" w:cs="Arial"/>
                <w:sz w:val="20"/>
                <w:szCs w:val="20"/>
              </w:rPr>
              <w:t>Fixed model</w:t>
            </w:r>
          </w:p>
        </w:tc>
        <w:tc>
          <w:tcPr>
            <w:tcW w:w="3407" w:type="dxa"/>
            <w:vAlign w:val="center"/>
          </w:tcPr>
          <w:p w14:paraId="32FB2CD2" w14:textId="11B4F1F7" w:rsidR="00B12F87" w:rsidRPr="00F16733" w:rsidRDefault="00CB4662" w:rsidP="00611803">
            <w:pPr>
              <w:tabs>
                <w:tab w:val="left" w:pos="1020"/>
              </w:tabs>
              <w:jc w:val="center"/>
              <w:rPr>
                <w:rFonts w:eastAsia="Calibri" w:cs="Arial"/>
                <w:sz w:val="20"/>
                <w:szCs w:val="20"/>
              </w:rPr>
            </w:pPr>
            <w:r>
              <w:rPr>
                <w:rFonts w:eastAsia="Calibri" w:cs="Arial"/>
                <w:sz w:val="20"/>
                <w:szCs w:val="20"/>
              </w:rPr>
              <w:t>16.2</w:t>
            </w:r>
          </w:p>
        </w:tc>
        <w:tc>
          <w:tcPr>
            <w:tcW w:w="2127" w:type="dxa"/>
            <w:vAlign w:val="center"/>
          </w:tcPr>
          <w:p w14:paraId="68F344AF" w14:textId="2D268192" w:rsidR="00B12F87" w:rsidRPr="00F16733" w:rsidRDefault="00CB4662" w:rsidP="00611803">
            <w:pPr>
              <w:tabs>
                <w:tab w:val="left" w:pos="1020"/>
              </w:tabs>
              <w:jc w:val="center"/>
              <w:rPr>
                <w:rFonts w:eastAsia="Calibri" w:cs="Arial"/>
                <w:sz w:val="20"/>
                <w:szCs w:val="20"/>
              </w:rPr>
            </w:pPr>
            <w:r>
              <w:rPr>
                <w:rFonts w:eastAsia="Calibri" w:cs="Arial"/>
                <w:sz w:val="20"/>
                <w:szCs w:val="20"/>
              </w:rPr>
              <w:t>13</w:t>
            </w:r>
          </w:p>
        </w:tc>
        <w:tc>
          <w:tcPr>
            <w:tcW w:w="1225" w:type="dxa"/>
            <w:vAlign w:val="center"/>
          </w:tcPr>
          <w:p w14:paraId="579EE9F4" w14:textId="6F54F142" w:rsidR="00B12F87" w:rsidRPr="00F16733" w:rsidRDefault="00CB4662" w:rsidP="00611803">
            <w:pPr>
              <w:tabs>
                <w:tab w:val="left" w:pos="1020"/>
              </w:tabs>
              <w:jc w:val="center"/>
              <w:rPr>
                <w:rFonts w:eastAsia="Calibri" w:cs="Arial"/>
                <w:sz w:val="20"/>
                <w:szCs w:val="20"/>
              </w:rPr>
            </w:pPr>
            <w:r>
              <w:rPr>
                <w:rFonts w:eastAsia="Calibri" w:cs="Arial"/>
                <w:sz w:val="20"/>
                <w:szCs w:val="20"/>
              </w:rPr>
              <w:t>29.2</w:t>
            </w:r>
          </w:p>
        </w:tc>
      </w:tr>
      <w:tr w:rsidR="00B12F87" w:rsidRPr="00E12582" w14:paraId="72CAA8CD" w14:textId="77777777" w:rsidTr="00611803">
        <w:tc>
          <w:tcPr>
            <w:tcW w:w="2253" w:type="dxa"/>
          </w:tcPr>
          <w:p w14:paraId="499B10B2" w14:textId="77777777" w:rsidR="00B12F87" w:rsidRPr="00F16733" w:rsidRDefault="00B12F87" w:rsidP="00611803">
            <w:pPr>
              <w:tabs>
                <w:tab w:val="left" w:pos="1020"/>
              </w:tabs>
              <w:rPr>
                <w:rFonts w:eastAsia="Calibri" w:cs="Arial"/>
                <w:sz w:val="20"/>
                <w:szCs w:val="20"/>
              </w:rPr>
            </w:pPr>
            <w:r w:rsidRPr="00F16733">
              <w:rPr>
                <w:rFonts w:eastAsia="Calibri" w:cs="Arial"/>
                <w:sz w:val="20"/>
                <w:szCs w:val="20"/>
              </w:rPr>
              <w:t>Random model</w:t>
            </w:r>
          </w:p>
        </w:tc>
        <w:tc>
          <w:tcPr>
            <w:tcW w:w="3407" w:type="dxa"/>
            <w:vAlign w:val="center"/>
          </w:tcPr>
          <w:p w14:paraId="5CDC5E25" w14:textId="5B5A0F71" w:rsidR="00B12F87" w:rsidRPr="00F16733" w:rsidRDefault="00CB4662" w:rsidP="00611803">
            <w:pPr>
              <w:tabs>
                <w:tab w:val="left" w:pos="1020"/>
              </w:tabs>
              <w:jc w:val="center"/>
              <w:rPr>
                <w:rFonts w:eastAsia="Calibri" w:cs="Arial"/>
                <w:sz w:val="20"/>
                <w:szCs w:val="20"/>
              </w:rPr>
            </w:pPr>
            <w:r>
              <w:rPr>
                <w:rFonts w:eastAsia="Calibri" w:cs="Arial"/>
                <w:sz w:val="20"/>
                <w:szCs w:val="20"/>
              </w:rPr>
              <w:t>16.1</w:t>
            </w:r>
          </w:p>
        </w:tc>
        <w:tc>
          <w:tcPr>
            <w:tcW w:w="2127" w:type="dxa"/>
            <w:vAlign w:val="center"/>
          </w:tcPr>
          <w:p w14:paraId="0D149759" w14:textId="6C993AFF" w:rsidR="00B12F87" w:rsidRPr="00F16733" w:rsidRDefault="00CB4662" w:rsidP="00611803">
            <w:pPr>
              <w:tabs>
                <w:tab w:val="left" w:pos="1020"/>
              </w:tabs>
              <w:jc w:val="center"/>
              <w:rPr>
                <w:rFonts w:eastAsia="Calibri" w:cs="Arial"/>
                <w:sz w:val="20"/>
                <w:szCs w:val="20"/>
              </w:rPr>
            </w:pPr>
            <w:r>
              <w:rPr>
                <w:rFonts w:eastAsia="Calibri" w:cs="Arial"/>
                <w:sz w:val="20"/>
                <w:szCs w:val="20"/>
              </w:rPr>
              <w:t>12.9</w:t>
            </w:r>
          </w:p>
        </w:tc>
        <w:tc>
          <w:tcPr>
            <w:tcW w:w="1225" w:type="dxa"/>
            <w:vAlign w:val="center"/>
          </w:tcPr>
          <w:p w14:paraId="69FEE601" w14:textId="3ECA0A6D" w:rsidR="00B12F87" w:rsidRPr="00F16733" w:rsidRDefault="00CB4662" w:rsidP="00611803">
            <w:pPr>
              <w:tabs>
                <w:tab w:val="left" w:pos="1020"/>
              </w:tabs>
              <w:jc w:val="center"/>
              <w:rPr>
                <w:rFonts w:eastAsia="Calibri" w:cs="Arial"/>
                <w:sz w:val="20"/>
                <w:szCs w:val="20"/>
              </w:rPr>
            </w:pPr>
            <w:r>
              <w:rPr>
                <w:rFonts w:eastAsia="Calibri" w:cs="Arial"/>
                <w:sz w:val="20"/>
                <w:szCs w:val="20"/>
              </w:rPr>
              <w:t>29</w:t>
            </w:r>
          </w:p>
        </w:tc>
      </w:tr>
    </w:tbl>
    <w:p w14:paraId="63BAA4A6" w14:textId="77777777" w:rsidR="00B12F87" w:rsidRPr="00E12582" w:rsidRDefault="00B12F87" w:rsidP="00B12F87">
      <w:pPr>
        <w:spacing w:line="240" w:lineRule="auto"/>
        <w:jc w:val="both"/>
        <w:rPr>
          <w:rFonts w:eastAsia="Calibri" w:cs="Calibri"/>
          <w:sz w:val="18"/>
          <w:szCs w:val="18"/>
          <w:lang w:eastAsia="en-GB"/>
        </w:rPr>
      </w:pPr>
      <w:r w:rsidRPr="00E12582">
        <w:rPr>
          <w:rFonts w:ascii="Times New Roman" w:eastAsia="Calibri" w:hAnsi="Times New Roman" w:cs="Times New Roman"/>
          <w:noProof/>
          <w:sz w:val="20"/>
          <w:szCs w:val="20"/>
          <w:lang w:val="en-US"/>
        </w:rPr>
        <w:t>*</w:t>
      </w:r>
      <w:r w:rsidRPr="00E12582">
        <w:rPr>
          <w:rFonts w:eastAsia="Calibri" w:cs="Calibri"/>
          <w:sz w:val="18"/>
          <w:szCs w:val="18"/>
          <w:lang w:eastAsia="en-GB"/>
        </w:rPr>
        <w:t>pD: sum of leverage, also known as the effective number of parameters and shows the model complexity.</w:t>
      </w:r>
    </w:p>
    <w:p w14:paraId="0A4B6EF7" w14:textId="77777777" w:rsidR="00B12F87" w:rsidRDefault="00B12F87" w:rsidP="00B12F87">
      <w:pPr>
        <w:spacing w:line="240" w:lineRule="auto"/>
        <w:rPr>
          <w:rFonts w:eastAsia="Calibri" w:cs="Calibri"/>
          <w:sz w:val="18"/>
          <w:szCs w:val="18"/>
          <w:lang w:eastAsia="en-GB"/>
        </w:rPr>
      </w:pPr>
      <w:r w:rsidRPr="00E12582">
        <w:rPr>
          <w:rFonts w:eastAsia="Calibri" w:cs="Calibri"/>
          <w:sz w:val="18"/>
          <w:szCs w:val="18"/>
          <w:lang w:eastAsia="en-GB"/>
        </w:rPr>
        <w:t xml:space="preserve">**DIC: Deviance Information Criteria (DIC provides a measure of goodness of model fit that penalises model complexity, the lower is more fitted. </w:t>
      </w:r>
      <w:r>
        <w:rPr>
          <w:rFonts w:eastAsia="Calibri" w:cs="Calibri"/>
          <w:sz w:val="18"/>
          <w:szCs w:val="18"/>
          <w:lang w:eastAsia="en-GB"/>
        </w:rPr>
        <w:t xml:space="preserve">More than three difference is meaningful. </w:t>
      </w:r>
    </w:p>
    <w:p w14:paraId="0AECBA79" w14:textId="31C7F7EC" w:rsidR="00B12F87" w:rsidRDefault="00B12F87" w:rsidP="00B12F87">
      <w:pPr>
        <w:pStyle w:val="Caption"/>
        <w:keepNext/>
      </w:pPr>
      <w:r>
        <w:t>Table 1</w:t>
      </w:r>
      <w:r w:rsidR="00047048">
        <w:t>6</w:t>
      </w:r>
      <w:r>
        <w:t xml:space="preserve">: </w:t>
      </w:r>
      <w:r w:rsidRPr="00A23036">
        <w:t xml:space="preserve">Comparing fit of NMA and UME models for </w:t>
      </w:r>
      <w:r w:rsidR="00E837D9">
        <w:t>HIT</w:t>
      </w:r>
      <w:r>
        <w:t>-6</w:t>
      </w:r>
    </w:p>
    <w:tbl>
      <w:tblPr>
        <w:tblW w:w="4950" w:type="pct"/>
        <w:shd w:val="clear" w:color="auto" w:fill="FFFFFF"/>
        <w:tblLayout w:type="fixed"/>
        <w:tblLook w:val="04A0" w:firstRow="1" w:lastRow="0" w:firstColumn="1" w:lastColumn="0" w:noHBand="0" w:noVBand="1"/>
      </w:tblPr>
      <w:tblGrid>
        <w:gridCol w:w="2724"/>
        <w:gridCol w:w="3519"/>
        <w:gridCol w:w="1164"/>
        <w:gridCol w:w="1744"/>
      </w:tblGrid>
      <w:tr w:rsidR="00B12F87" w:rsidRPr="00E12582" w14:paraId="07657D84" w14:textId="77777777" w:rsidTr="00B12F87">
        <w:trPr>
          <w:trHeight w:val="20"/>
        </w:trPr>
        <w:tc>
          <w:tcPr>
            <w:tcW w:w="1488" w:type="pct"/>
            <w:tcBorders>
              <w:top w:val="single" w:sz="4" w:space="0" w:color="auto"/>
              <w:left w:val="single" w:sz="4" w:space="0" w:color="auto"/>
              <w:bottom w:val="single" w:sz="4" w:space="0" w:color="auto"/>
              <w:right w:val="nil"/>
            </w:tcBorders>
            <w:shd w:val="clear" w:color="auto" w:fill="FFFFFF"/>
            <w:noWrap/>
            <w:vAlign w:val="bottom"/>
            <w:hideMark/>
          </w:tcPr>
          <w:p w14:paraId="36BA6509" w14:textId="77777777" w:rsidR="00B12F87" w:rsidRPr="0040081F" w:rsidRDefault="00B12F87" w:rsidP="00611803">
            <w:pPr>
              <w:spacing w:line="240" w:lineRule="auto"/>
              <w:jc w:val="center"/>
              <w:rPr>
                <w:rFonts w:eastAsia="Times New Roman" w:cs="Calibri"/>
                <w:color w:val="000000"/>
                <w:sz w:val="20"/>
                <w:szCs w:val="20"/>
                <w:lang w:eastAsia="en-GB"/>
              </w:rPr>
            </w:pPr>
          </w:p>
        </w:tc>
        <w:tc>
          <w:tcPr>
            <w:tcW w:w="1923"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7C2E323" w14:textId="131CCFA5" w:rsidR="00B12F87" w:rsidRPr="00054F58" w:rsidRDefault="00B12F87" w:rsidP="00611803">
            <w:pPr>
              <w:spacing w:line="240" w:lineRule="auto"/>
              <w:jc w:val="center"/>
              <w:rPr>
                <w:rFonts w:eastAsia="Times New Roman" w:cs="Calibri"/>
                <w:b/>
                <w:bCs/>
                <w:color w:val="000000"/>
                <w:sz w:val="20"/>
                <w:szCs w:val="20"/>
                <w:lang w:eastAsia="en-GB"/>
              </w:rPr>
            </w:pPr>
            <w:r w:rsidRPr="00054F58">
              <w:rPr>
                <w:rFonts w:eastAsia="Times New Roman" w:cs="Calibri"/>
                <w:b/>
                <w:bCs/>
                <w:color w:val="000000"/>
                <w:sz w:val="20"/>
                <w:szCs w:val="20"/>
                <w:lang w:eastAsia="en-GB"/>
              </w:rPr>
              <w:t>Residual deviance (1</w:t>
            </w:r>
            <w:r w:rsidR="00CB4662">
              <w:rPr>
                <w:rFonts w:eastAsia="Times New Roman" w:cs="Calibri"/>
                <w:b/>
                <w:bCs/>
                <w:color w:val="000000"/>
                <w:sz w:val="20"/>
                <w:szCs w:val="20"/>
                <w:lang w:eastAsia="en-GB"/>
              </w:rPr>
              <w:t>7</w:t>
            </w:r>
            <w:r w:rsidRPr="00054F58">
              <w:rPr>
                <w:rFonts w:eastAsia="Times New Roman" w:cs="Calibri"/>
                <w:b/>
                <w:bCs/>
                <w:color w:val="000000"/>
                <w:sz w:val="20"/>
                <w:szCs w:val="20"/>
                <w:lang w:eastAsia="en-GB"/>
              </w:rPr>
              <w:t xml:space="preserve"> data points)</w:t>
            </w:r>
          </w:p>
        </w:tc>
        <w:tc>
          <w:tcPr>
            <w:tcW w:w="636" w:type="pct"/>
            <w:tcBorders>
              <w:top w:val="single" w:sz="4" w:space="0" w:color="auto"/>
              <w:left w:val="nil"/>
              <w:bottom w:val="single" w:sz="4" w:space="0" w:color="auto"/>
              <w:right w:val="single" w:sz="4" w:space="0" w:color="auto"/>
            </w:tcBorders>
            <w:shd w:val="clear" w:color="auto" w:fill="FFFFFF"/>
            <w:noWrap/>
            <w:vAlign w:val="bottom"/>
            <w:hideMark/>
          </w:tcPr>
          <w:p w14:paraId="7A907986" w14:textId="77777777" w:rsidR="00B12F87" w:rsidRPr="00054F58" w:rsidRDefault="00B12F87" w:rsidP="00611803">
            <w:pPr>
              <w:spacing w:line="240" w:lineRule="auto"/>
              <w:jc w:val="center"/>
              <w:rPr>
                <w:rFonts w:eastAsia="Times New Roman" w:cs="Calibri"/>
                <w:b/>
                <w:bCs/>
                <w:color w:val="000000"/>
                <w:sz w:val="20"/>
                <w:szCs w:val="20"/>
                <w:lang w:eastAsia="en-GB"/>
              </w:rPr>
            </w:pPr>
            <w:r w:rsidRPr="00054F58">
              <w:rPr>
                <w:rFonts w:eastAsia="Times New Roman" w:cs="Calibri"/>
                <w:b/>
                <w:bCs/>
                <w:color w:val="000000"/>
                <w:sz w:val="20"/>
                <w:szCs w:val="20"/>
                <w:lang w:eastAsia="en-GB"/>
              </w:rPr>
              <w:t>pD*</w:t>
            </w:r>
          </w:p>
        </w:tc>
        <w:tc>
          <w:tcPr>
            <w:tcW w:w="953" w:type="pct"/>
            <w:tcBorders>
              <w:top w:val="single" w:sz="4" w:space="0" w:color="auto"/>
              <w:left w:val="nil"/>
              <w:bottom w:val="single" w:sz="4" w:space="0" w:color="auto"/>
              <w:right w:val="single" w:sz="4" w:space="0" w:color="auto"/>
            </w:tcBorders>
            <w:shd w:val="clear" w:color="auto" w:fill="FFFFFF"/>
            <w:vAlign w:val="bottom"/>
            <w:hideMark/>
          </w:tcPr>
          <w:p w14:paraId="1392F248" w14:textId="77777777" w:rsidR="00B12F87" w:rsidRPr="00054F58" w:rsidRDefault="00B12F87" w:rsidP="00611803">
            <w:pPr>
              <w:spacing w:line="240" w:lineRule="auto"/>
              <w:jc w:val="center"/>
              <w:rPr>
                <w:rFonts w:eastAsia="Times New Roman" w:cs="Calibri"/>
                <w:b/>
                <w:bCs/>
                <w:color w:val="000000"/>
                <w:sz w:val="20"/>
                <w:szCs w:val="20"/>
                <w:lang w:eastAsia="en-GB"/>
              </w:rPr>
            </w:pPr>
            <w:r w:rsidRPr="00054F58">
              <w:rPr>
                <w:rFonts w:eastAsia="Times New Roman" w:cs="Calibri"/>
                <w:b/>
                <w:bCs/>
                <w:color w:val="000000"/>
                <w:sz w:val="20"/>
                <w:szCs w:val="20"/>
                <w:lang w:eastAsia="en-GB"/>
              </w:rPr>
              <w:t>(DIC)**</w:t>
            </w:r>
          </w:p>
        </w:tc>
      </w:tr>
      <w:tr w:rsidR="00B12F87" w:rsidRPr="00E12582" w14:paraId="55182EBC" w14:textId="77777777" w:rsidTr="00B12F87">
        <w:trPr>
          <w:trHeight w:val="20"/>
        </w:trPr>
        <w:tc>
          <w:tcPr>
            <w:tcW w:w="148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B8CDDC2" w14:textId="77777777" w:rsidR="00B12F87" w:rsidRPr="0040081F" w:rsidRDefault="00B12F87" w:rsidP="00611803">
            <w:pPr>
              <w:spacing w:line="240" w:lineRule="auto"/>
              <w:jc w:val="center"/>
              <w:rPr>
                <w:rFonts w:eastAsia="Times New Roman" w:cs="Calibri"/>
                <w:color w:val="000000"/>
                <w:sz w:val="20"/>
                <w:szCs w:val="20"/>
                <w:lang w:eastAsia="en-GB"/>
              </w:rPr>
            </w:pPr>
            <w:r w:rsidRPr="0040081F">
              <w:rPr>
                <w:rFonts w:eastAsia="Times New Roman" w:cs="Calibri"/>
                <w:color w:val="000000"/>
                <w:sz w:val="20"/>
                <w:szCs w:val="20"/>
                <w:lang w:eastAsia="en-GB"/>
              </w:rPr>
              <w:t>NMA (consistency) Model</w:t>
            </w:r>
          </w:p>
        </w:tc>
        <w:tc>
          <w:tcPr>
            <w:tcW w:w="1923" w:type="pct"/>
            <w:tcBorders>
              <w:top w:val="nil"/>
              <w:left w:val="nil"/>
              <w:bottom w:val="single" w:sz="4" w:space="0" w:color="auto"/>
              <w:right w:val="single" w:sz="4" w:space="0" w:color="auto"/>
            </w:tcBorders>
            <w:shd w:val="clear" w:color="auto" w:fill="FFFFFF"/>
            <w:noWrap/>
            <w:vAlign w:val="center"/>
          </w:tcPr>
          <w:p w14:paraId="46244D25" w14:textId="270E92FA" w:rsidR="00B12F87" w:rsidRPr="0040081F" w:rsidRDefault="00FB2B64"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16.2</w:t>
            </w:r>
          </w:p>
        </w:tc>
        <w:tc>
          <w:tcPr>
            <w:tcW w:w="636" w:type="pct"/>
            <w:tcBorders>
              <w:top w:val="nil"/>
              <w:left w:val="nil"/>
              <w:bottom w:val="single" w:sz="4" w:space="0" w:color="auto"/>
              <w:right w:val="single" w:sz="4" w:space="0" w:color="auto"/>
            </w:tcBorders>
            <w:shd w:val="clear" w:color="auto" w:fill="FFFFFF"/>
            <w:noWrap/>
            <w:vAlign w:val="center"/>
          </w:tcPr>
          <w:p w14:paraId="79B04CF8" w14:textId="4D90A230" w:rsidR="00B12F87" w:rsidRPr="0040081F" w:rsidRDefault="00FB2B64"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13</w:t>
            </w:r>
          </w:p>
        </w:tc>
        <w:tc>
          <w:tcPr>
            <w:tcW w:w="953" w:type="pct"/>
            <w:tcBorders>
              <w:top w:val="nil"/>
              <w:left w:val="nil"/>
              <w:bottom w:val="single" w:sz="4" w:space="0" w:color="auto"/>
              <w:right w:val="single" w:sz="4" w:space="0" w:color="auto"/>
            </w:tcBorders>
            <w:shd w:val="clear" w:color="auto" w:fill="FFFFFF"/>
            <w:noWrap/>
            <w:vAlign w:val="center"/>
          </w:tcPr>
          <w:p w14:paraId="7B85BFB3" w14:textId="68BC8595" w:rsidR="00B12F87" w:rsidRPr="0040081F" w:rsidRDefault="00FB2B64"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29.2</w:t>
            </w:r>
          </w:p>
        </w:tc>
      </w:tr>
      <w:tr w:rsidR="00B12F87" w:rsidRPr="00E12582" w14:paraId="0262325B" w14:textId="77777777" w:rsidTr="00B12F87">
        <w:trPr>
          <w:trHeight w:val="20"/>
        </w:trPr>
        <w:tc>
          <w:tcPr>
            <w:tcW w:w="1488" w:type="pct"/>
            <w:tcBorders>
              <w:top w:val="nil"/>
              <w:left w:val="single" w:sz="4" w:space="0" w:color="auto"/>
              <w:bottom w:val="single" w:sz="4" w:space="0" w:color="auto"/>
              <w:right w:val="single" w:sz="4" w:space="0" w:color="auto"/>
            </w:tcBorders>
            <w:shd w:val="clear" w:color="auto" w:fill="FFFFFF"/>
            <w:vAlign w:val="center"/>
            <w:hideMark/>
          </w:tcPr>
          <w:p w14:paraId="1BC5D41E" w14:textId="77777777" w:rsidR="00B12F87" w:rsidRPr="0040081F" w:rsidRDefault="00B12F87" w:rsidP="00611803">
            <w:pPr>
              <w:spacing w:line="240" w:lineRule="auto"/>
              <w:jc w:val="center"/>
              <w:rPr>
                <w:rFonts w:eastAsia="Times New Roman" w:cs="Calibri"/>
                <w:color w:val="000000"/>
                <w:sz w:val="20"/>
                <w:szCs w:val="20"/>
                <w:lang w:eastAsia="en-GB"/>
              </w:rPr>
            </w:pPr>
            <w:r w:rsidRPr="0040081F">
              <w:rPr>
                <w:rFonts w:eastAsia="Times New Roman" w:cs="Calibri"/>
                <w:color w:val="000000"/>
                <w:sz w:val="20"/>
                <w:szCs w:val="20"/>
                <w:lang w:eastAsia="en-GB"/>
              </w:rPr>
              <w:t>Unrelated Mean Effects (Inconsistency) Model</w:t>
            </w:r>
          </w:p>
        </w:tc>
        <w:tc>
          <w:tcPr>
            <w:tcW w:w="1923" w:type="pct"/>
            <w:tcBorders>
              <w:top w:val="nil"/>
              <w:left w:val="nil"/>
              <w:bottom w:val="single" w:sz="4" w:space="0" w:color="auto"/>
              <w:right w:val="single" w:sz="4" w:space="0" w:color="auto"/>
            </w:tcBorders>
            <w:shd w:val="clear" w:color="auto" w:fill="FFFFFF"/>
            <w:noWrap/>
            <w:vAlign w:val="center"/>
          </w:tcPr>
          <w:p w14:paraId="0F673301" w14:textId="2B7BBCE8" w:rsidR="00B12F87" w:rsidRPr="0040081F" w:rsidRDefault="00FB2B64"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16.3</w:t>
            </w:r>
          </w:p>
        </w:tc>
        <w:tc>
          <w:tcPr>
            <w:tcW w:w="636" w:type="pct"/>
            <w:tcBorders>
              <w:top w:val="nil"/>
              <w:left w:val="nil"/>
              <w:bottom w:val="single" w:sz="4" w:space="0" w:color="auto"/>
              <w:right w:val="single" w:sz="4" w:space="0" w:color="auto"/>
            </w:tcBorders>
            <w:shd w:val="clear" w:color="auto" w:fill="FFFFFF"/>
            <w:noWrap/>
            <w:vAlign w:val="center"/>
          </w:tcPr>
          <w:p w14:paraId="051C785F" w14:textId="4EF031E4" w:rsidR="00B12F87" w:rsidRPr="0040081F" w:rsidRDefault="00FB2B64"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13.1</w:t>
            </w:r>
          </w:p>
        </w:tc>
        <w:tc>
          <w:tcPr>
            <w:tcW w:w="953" w:type="pct"/>
            <w:tcBorders>
              <w:top w:val="nil"/>
              <w:left w:val="nil"/>
              <w:bottom w:val="single" w:sz="4" w:space="0" w:color="auto"/>
              <w:right w:val="single" w:sz="4" w:space="0" w:color="auto"/>
            </w:tcBorders>
            <w:shd w:val="clear" w:color="auto" w:fill="FFFFFF"/>
            <w:noWrap/>
            <w:vAlign w:val="center"/>
          </w:tcPr>
          <w:p w14:paraId="3042812C" w14:textId="42C8ACCA" w:rsidR="00B12F87" w:rsidRPr="0040081F" w:rsidRDefault="00FB2B64"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29.4</w:t>
            </w:r>
          </w:p>
        </w:tc>
      </w:tr>
    </w:tbl>
    <w:p w14:paraId="0C327779" w14:textId="77777777" w:rsidR="00B12F87" w:rsidRPr="00E12582" w:rsidRDefault="00B12F87" w:rsidP="00B12F87">
      <w:pPr>
        <w:spacing w:line="240" w:lineRule="auto"/>
        <w:jc w:val="both"/>
        <w:rPr>
          <w:rFonts w:eastAsia="Calibri" w:cs="Calibri"/>
          <w:sz w:val="18"/>
          <w:szCs w:val="18"/>
          <w:lang w:eastAsia="en-GB"/>
        </w:rPr>
      </w:pPr>
      <w:r w:rsidRPr="00E12582">
        <w:rPr>
          <w:rFonts w:ascii="Times New Roman" w:eastAsia="Calibri" w:hAnsi="Times New Roman" w:cs="Times New Roman"/>
          <w:noProof/>
          <w:sz w:val="20"/>
          <w:szCs w:val="20"/>
          <w:lang w:val="en-US"/>
        </w:rPr>
        <w:t>*</w:t>
      </w:r>
      <w:r w:rsidRPr="00E12582">
        <w:rPr>
          <w:rFonts w:eastAsia="Calibri" w:cs="Calibri"/>
          <w:sz w:val="18"/>
          <w:szCs w:val="18"/>
          <w:lang w:eastAsia="en-GB"/>
        </w:rPr>
        <w:t>pD: sum of leverage, also known as the effective number of parameters and shows the model complexity.</w:t>
      </w:r>
    </w:p>
    <w:p w14:paraId="071E0919" w14:textId="77777777" w:rsidR="00B12F87" w:rsidRDefault="00B12F87" w:rsidP="00B12F87">
      <w:pPr>
        <w:spacing w:line="240" w:lineRule="auto"/>
        <w:rPr>
          <w:rFonts w:eastAsia="Calibri" w:cs="Calibri"/>
          <w:sz w:val="18"/>
          <w:szCs w:val="18"/>
          <w:lang w:eastAsia="en-GB"/>
        </w:rPr>
      </w:pPr>
      <w:r w:rsidRPr="00E12582">
        <w:rPr>
          <w:rFonts w:eastAsia="Calibri" w:cs="Calibri"/>
          <w:sz w:val="18"/>
          <w:szCs w:val="18"/>
          <w:lang w:eastAsia="en-GB"/>
        </w:rPr>
        <w:t xml:space="preserve">**DIC: Deviance Information Criteria (DIC provides a measure of goodness of model fit that penalises model complexity, the lower is more fitted. </w:t>
      </w:r>
      <w:r>
        <w:rPr>
          <w:rFonts w:eastAsia="Calibri" w:cs="Calibri"/>
          <w:sz w:val="18"/>
          <w:szCs w:val="18"/>
          <w:lang w:eastAsia="en-GB"/>
        </w:rPr>
        <w:t>More than three difference is meaningful.</w:t>
      </w:r>
    </w:p>
    <w:p w14:paraId="7D6750B4" w14:textId="2167D3EB" w:rsidR="00753E7C" w:rsidRDefault="00AD349A" w:rsidP="00753E7C">
      <w:r>
        <w:rPr>
          <w:noProof/>
          <w:lang w:val="en-US"/>
        </w:rPr>
        <w:drawing>
          <wp:inline distT="0" distB="0" distL="0" distR="0" wp14:anchorId="5557CCEB" wp14:editId="551AD6F3">
            <wp:extent cx="3341829" cy="2164465"/>
            <wp:effectExtent l="0" t="0" r="0" b="7620"/>
            <wp:docPr id="7044246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51192" cy="2170529"/>
                    </a:xfrm>
                    <a:prstGeom prst="rect">
                      <a:avLst/>
                    </a:prstGeom>
                    <a:noFill/>
                  </pic:spPr>
                </pic:pic>
              </a:graphicData>
            </a:graphic>
          </wp:inline>
        </w:drawing>
      </w:r>
    </w:p>
    <w:p w14:paraId="6E356737" w14:textId="77777777" w:rsidR="00B12F87" w:rsidRPr="00F16733" w:rsidRDefault="00B12F87" w:rsidP="00B12F87">
      <w:pPr>
        <w:pStyle w:val="EndNoteBibliography"/>
        <w:keepNext/>
        <w:rPr>
          <w:sz w:val="20"/>
          <w:szCs w:val="20"/>
        </w:rPr>
      </w:pPr>
      <w:r w:rsidRPr="00F16733">
        <w:rPr>
          <w:sz w:val="20"/>
          <w:szCs w:val="20"/>
        </w:rPr>
        <w:t xml:space="preserve">Dev-Dev plot </w:t>
      </w:r>
      <w:r>
        <w:rPr>
          <w:sz w:val="20"/>
          <w:szCs w:val="20"/>
        </w:rPr>
        <w:t>to identify</w:t>
      </w:r>
      <w:r w:rsidRPr="006B53BE">
        <w:rPr>
          <w:sz w:val="20"/>
          <w:szCs w:val="20"/>
        </w:rPr>
        <w:t xml:space="preserve"> inconsistent data-points</w:t>
      </w:r>
      <w:r>
        <w:rPr>
          <w:sz w:val="20"/>
          <w:szCs w:val="20"/>
        </w:rPr>
        <w:t xml:space="preserve">, </w:t>
      </w:r>
      <w:r w:rsidRPr="00F16733">
        <w:rPr>
          <w:sz w:val="20"/>
          <w:szCs w:val="20"/>
        </w:rPr>
        <w:t>the data points are scattered in a further distance from the bivector form the origin, they</w:t>
      </w:r>
      <w:r>
        <w:rPr>
          <w:sz w:val="20"/>
          <w:szCs w:val="20"/>
        </w:rPr>
        <w:t xml:space="preserve"> shows being</w:t>
      </w:r>
      <w:r w:rsidRPr="00F16733">
        <w:rPr>
          <w:sz w:val="20"/>
          <w:szCs w:val="20"/>
        </w:rPr>
        <w:t xml:space="preserve"> source of inconsistency.</w:t>
      </w:r>
    </w:p>
    <w:p w14:paraId="11C5A298" w14:textId="0CF6FB36" w:rsidR="00B12F87" w:rsidRPr="0096453D" w:rsidRDefault="00B12F87" w:rsidP="00B12F87">
      <w:pPr>
        <w:rPr>
          <w:b/>
          <w:bCs/>
        </w:rPr>
      </w:pPr>
      <w:r w:rsidRPr="0096453D">
        <w:rPr>
          <w:b/>
          <w:bCs/>
        </w:rPr>
        <w:t xml:space="preserve">Figure </w:t>
      </w:r>
      <w:r w:rsidR="00047048">
        <w:rPr>
          <w:b/>
          <w:bCs/>
        </w:rPr>
        <w:t>15</w:t>
      </w:r>
      <w:r w:rsidRPr="0096453D">
        <w:rPr>
          <w:b/>
          <w:bCs/>
        </w:rPr>
        <w:t xml:space="preserve">: Global Consistency Test for mean change in MSQ-EF from baseline (Unrelated Mean </w:t>
      </w:r>
      <w:r w:rsidRPr="00B12F87">
        <w:rPr>
          <w:b/>
          <w:bCs/>
        </w:rPr>
        <w:t>Effects (Inconsistency) Model and Fixed NMA model)</w:t>
      </w:r>
    </w:p>
    <w:bookmarkEnd w:id="12"/>
    <w:bookmarkEnd w:id="13"/>
    <w:p w14:paraId="0D03B4AB" w14:textId="77777777" w:rsidR="003B01A2" w:rsidRDefault="003B01A2" w:rsidP="00D05FF5">
      <w:pPr>
        <w:spacing w:line="240" w:lineRule="auto"/>
        <w:jc w:val="both"/>
        <w:rPr>
          <w:rFonts w:cstheme="minorHAnsi"/>
          <w:noProof/>
          <w:sz w:val="18"/>
          <w:szCs w:val="18"/>
          <w:lang w:val="en-US"/>
        </w:rPr>
      </w:pPr>
    </w:p>
    <w:tbl>
      <w:tblPr>
        <w:tblStyle w:val="TableGrid"/>
        <w:tblW w:w="10060" w:type="dxa"/>
        <w:tblLook w:val="04A0" w:firstRow="1" w:lastRow="0" w:firstColumn="1" w:lastColumn="0" w:noHBand="0" w:noVBand="1"/>
      </w:tblPr>
      <w:tblGrid>
        <w:gridCol w:w="10060"/>
      </w:tblGrid>
      <w:tr w:rsidR="00397533" w14:paraId="7CA682FA" w14:textId="77777777" w:rsidTr="007B6978">
        <w:tc>
          <w:tcPr>
            <w:tcW w:w="10060" w:type="dxa"/>
            <w:vAlign w:val="bottom"/>
          </w:tcPr>
          <w:p w14:paraId="579522AE" w14:textId="792BD6CC" w:rsidR="00397533" w:rsidRDefault="00127B5C" w:rsidP="007B6978">
            <w:pPr>
              <w:jc w:val="center"/>
              <w:rPr>
                <w:rFonts w:cs="Calibri"/>
                <w:noProof/>
                <w:lang w:val="en-US"/>
              </w:rPr>
            </w:pPr>
            <w:r w:rsidRPr="00C34F7A">
              <w:rPr>
                <w:rFonts w:asciiTheme="majorBidi" w:hAnsiTheme="majorBidi" w:cstheme="majorBidi"/>
                <w:noProof/>
                <w:sz w:val="24"/>
                <w:szCs w:val="24"/>
                <w:lang w:val="en-US"/>
              </w:rPr>
              <mc:AlternateContent>
                <mc:Choice Requires="wps">
                  <w:drawing>
                    <wp:anchor distT="0" distB="0" distL="114300" distR="114300" simplePos="0" relativeHeight="251669504" behindDoc="0" locked="0" layoutInCell="1" allowOverlap="1" wp14:anchorId="56C9E78B" wp14:editId="2D06C3AB">
                      <wp:simplePos x="0" y="0"/>
                      <wp:positionH relativeFrom="column">
                        <wp:posOffset>-57150</wp:posOffset>
                      </wp:positionH>
                      <wp:positionV relativeFrom="paragraph">
                        <wp:posOffset>1463675</wp:posOffset>
                      </wp:positionV>
                      <wp:extent cx="267970" cy="274955"/>
                      <wp:effectExtent l="0" t="0" r="17780" b="10795"/>
                      <wp:wrapNone/>
                      <wp:docPr id="1325306855" name="Flowchart: Connector 1325306855"/>
                      <wp:cNvGraphicFramePr/>
                      <a:graphic xmlns:a="http://schemas.openxmlformats.org/drawingml/2006/main">
                        <a:graphicData uri="http://schemas.microsoft.com/office/word/2010/wordprocessingShape">
                          <wps:wsp>
                            <wps:cNvSpPr/>
                            <wps:spPr>
                              <a:xfrm>
                                <a:off x="0" y="0"/>
                                <a:ext cx="267970" cy="274955"/>
                              </a:xfrm>
                              <a:prstGeom prst="flowChartConnector">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60443B7E" w14:textId="77777777" w:rsidR="00397533" w:rsidRPr="00CB5AED" w:rsidRDefault="00397533" w:rsidP="00397533">
                                  <w:pPr>
                                    <w:jc w:val="center"/>
                                    <w:rPr>
                                      <w:rFonts w:cstheme="minorHAnsi"/>
                                      <w:b/>
                                      <w:bCs/>
                                      <w:sz w:val="6"/>
                                      <w:szCs w:val="6"/>
                                    </w:rPr>
                                  </w:pPr>
                                  <w:r w:rsidRPr="00CB5AED">
                                    <w:rPr>
                                      <w:rFonts w:cstheme="minorHAnsi"/>
                                      <w:b/>
                                      <w:bCs/>
                                      <w:sz w:val="16"/>
                                      <w:szCs w:val="16"/>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C9E78B" id="Flowchart: Connector 1325306855" o:spid="_x0000_s1032" type="#_x0000_t120" style="position:absolute;left:0;text-align:left;margin-left:-4.5pt;margin-top:115.25pt;width:21.1pt;height:2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" fillcolor="#b1cbe9" strokecolor="#5b9bd5" strokeweight=".5pt">
                      <v:fill color2="#92b9e4" rotate="t" colors="0 #b1cbe9;.5 #a3c1e5;1 #92b9e4" focus="100%" type="gradient">
                        <o:fill v:ext="view" type="gradientUnscaled"/>
                      </v:fill>
                      <v:stroke joinstyle="miter"/>
                      <v:textbox>
                        <w:txbxContent>
                          <w:p w14:paraId="60443B7E" w14:textId="77777777" w:rsidR="00397533" w:rsidRPr="00CB5AED" w:rsidRDefault="00397533" w:rsidP="00397533">
                            <w:pPr>
                              <w:jc w:val="center"/>
                              <w:rPr>
                                <w:rFonts w:cstheme="minorHAnsi"/>
                                <w:b/>
                                <w:bCs/>
                                <w:sz w:val="6"/>
                                <w:szCs w:val="6"/>
                              </w:rPr>
                            </w:pPr>
                            <w:r w:rsidRPr="00CB5AED">
                              <w:rPr>
                                <w:rFonts w:cstheme="minorHAnsi"/>
                                <w:b/>
                                <w:bCs/>
                                <w:sz w:val="16"/>
                                <w:szCs w:val="16"/>
                              </w:rPr>
                              <w:t>B</w:t>
                            </w:r>
                          </w:p>
                        </w:txbxContent>
                      </v:textbox>
                    </v:shape>
                  </w:pict>
                </mc:Fallback>
              </mc:AlternateContent>
            </w:r>
            <w:r w:rsidR="00397533">
              <w:rPr>
                <w:noProof/>
                <w:lang w:val="en-US"/>
              </w:rPr>
              <w:drawing>
                <wp:inline distT="0" distB="0" distL="0" distR="0" wp14:anchorId="0E337417" wp14:editId="655327EA">
                  <wp:extent cx="5730677" cy="1536700"/>
                  <wp:effectExtent l="0" t="0" r="3810" b="6350"/>
                  <wp:docPr id="1747655551" name="Picture 1" descr="A screenshot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655551" name="Picture 1" descr="A screenshot of a graph&#10;&#10;Description automatically generated with low confidence"/>
                          <pic:cNvPicPr/>
                        </pic:nvPicPr>
                        <pic:blipFill>
                          <a:blip r:embed="rId30"/>
                          <a:stretch>
                            <a:fillRect/>
                          </a:stretch>
                        </pic:blipFill>
                        <pic:spPr>
                          <a:xfrm>
                            <a:off x="0" y="0"/>
                            <a:ext cx="5755717" cy="1543415"/>
                          </a:xfrm>
                          <a:prstGeom prst="rect">
                            <a:avLst/>
                          </a:prstGeom>
                        </pic:spPr>
                      </pic:pic>
                    </a:graphicData>
                  </a:graphic>
                </wp:inline>
              </w:drawing>
            </w:r>
            <w:r w:rsidR="00397533" w:rsidRPr="00C34F7A">
              <w:rPr>
                <w:rFonts w:asciiTheme="majorBidi" w:hAnsiTheme="majorBidi" w:cstheme="majorBidi"/>
                <w:noProof/>
                <w:sz w:val="24"/>
                <w:szCs w:val="24"/>
                <w:lang w:val="en-US"/>
              </w:rPr>
              <mc:AlternateContent>
                <mc:Choice Requires="wps">
                  <w:drawing>
                    <wp:anchor distT="0" distB="0" distL="114300" distR="114300" simplePos="0" relativeHeight="251668480" behindDoc="0" locked="0" layoutInCell="1" allowOverlap="1" wp14:anchorId="05D43392" wp14:editId="38CB19DE">
                      <wp:simplePos x="0" y="0"/>
                      <wp:positionH relativeFrom="column">
                        <wp:posOffset>23495</wp:posOffset>
                      </wp:positionH>
                      <wp:positionV relativeFrom="paragraph">
                        <wp:posOffset>83820</wp:posOffset>
                      </wp:positionV>
                      <wp:extent cx="267970" cy="274955"/>
                      <wp:effectExtent l="0" t="0" r="17780" b="10795"/>
                      <wp:wrapNone/>
                      <wp:docPr id="1595398199" name="Flowchart: Connector 1595398199"/>
                      <wp:cNvGraphicFramePr/>
                      <a:graphic xmlns:a="http://schemas.openxmlformats.org/drawingml/2006/main">
                        <a:graphicData uri="http://schemas.microsoft.com/office/word/2010/wordprocessingShape">
                          <wps:wsp>
                            <wps:cNvSpPr/>
                            <wps:spPr>
                              <a:xfrm>
                                <a:off x="0" y="0"/>
                                <a:ext cx="267970" cy="274955"/>
                              </a:xfrm>
                              <a:prstGeom prst="flowChartConnector">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267A501B" w14:textId="77777777" w:rsidR="00397533" w:rsidRPr="00CB5AED" w:rsidRDefault="00397533" w:rsidP="00397533">
                                  <w:pPr>
                                    <w:jc w:val="center"/>
                                    <w:rPr>
                                      <w:rFonts w:cstheme="minorHAnsi"/>
                                      <w:b/>
                                      <w:bCs/>
                                      <w:sz w:val="6"/>
                                      <w:szCs w:val="6"/>
                                    </w:rPr>
                                  </w:pPr>
                                  <w:r w:rsidRPr="00CB5AED">
                                    <w:rPr>
                                      <w:rFonts w:cstheme="minorHAnsi"/>
                                      <w:b/>
                                      <w:bCs/>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D43392" id="Flowchart: Connector 1595398199" o:spid="_x0000_s1033" type="#_x0000_t120" style="position:absolute;left:0;text-align:left;margin-left:1.85pt;margin-top:6.6pt;width:21.1pt;height:2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" fillcolor="#b1cbe9" strokecolor="#5b9bd5" strokeweight=".5pt">
                      <v:fill color2="#92b9e4" rotate="t" colors="0 #b1cbe9;.5 #a3c1e5;1 #92b9e4" focus="100%" type="gradient">
                        <o:fill v:ext="view" type="gradientUnscaled"/>
                      </v:fill>
                      <v:stroke joinstyle="miter"/>
                      <v:textbox>
                        <w:txbxContent>
                          <w:p w14:paraId="267A501B" w14:textId="77777777" w:rsidR="00397533" w:rsidRPr="00CB5AED" w:rsidRDefault="00397533" w:rsidP="00397533">
                            <w:pPr>
                              <w:jc w:val="center"/>
                              <w:rPr>
                                <w:rFonts w:cstheme="minorHAnsi"/>
                                <w:b/>
                                <w:bCs/>
                                <w:sz w:val="6"/>
                                <w:szCs w:val="6"/>
                              </w:rPr>
                            </w:pPr>
                            <w:r w:rsidRPr="00CB5AED">
                              <w:rPr>
                                <w:rFonts w:cstheme="minorHAnsi"/>
                                <w:b/>
                                <w:bCs/>
                                <w:sz w:val="16"/>
                                <w:szCs w:val="16"/>
                              </w:rPr>
                              <w:t>A</w:t>
                            </w:r>
                          </w:p>
                        </w:txbxContent>
                      </v:textbox>
                    </v:shape>
                  </w:pict>
                </mc:Fallback>
              </mc:AlternateContent>
            </w:r>
          </w:p>
          <w:p w14:paraId="0F604E3F" w14:textId="0D39B044" w:rsidR="00397533" w:rsidRDefault="00397533" w:rsidP="007B6978">
            <w:pPr>
              <w:jc w:val="center"/>
              <w:rPr>
                <w:rFonts w:cs="Calibri"/>
                <w:noProof/>
                <w:lang w:val="en-US"/>
              </w:rPr>
            </w:pPr>
            <w:r>
              <w:rPr>
                <w:noProof/>
                <w:lang w:val="en-US"/>
              </w:rPr>
              <w:drawing>
                <wp:inline distT="0" distB="0" distL="0" distR="0" wp14:anchorId="62AC2B78" wp14:editId="7984C942">
                  <wp:extent cx="5729833" cy="1411932"/>
                  <wp:effectExtent l="0" t="0" r="4445" b="0"/>
                  <wp:docPr id="1770521024" name="Picture 1" descr="A picture containing text, screenshot,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521024" name="Picture 1" descr="A picture containing text, screenshot, line, parallel&#10;&#10;Description automatically generated"/>
                          <pic:cNvPicPr/>
                        </pic:nvPicPr>
                        <pic:blipFill>
                          <a:blip r:embed="rId31"/>
                          <a:stretch>
                            <a:fillRect/>
                          </a:stretch>
                        </pic:blipFill>
                        <pic:spPr>
                          <a:xfrm>
                            <a:off x="0" y="0"/>
                            <a:ext cx="5751813" cy="1417348"/>
                          </a:xfrm>
                          <a:prstGeom prst="rect">
                            <a:avLst/>
                          </a:prstGeom>
                        </pic:spPr>
                      </pic:pic>
                    </a:graphicData>
                  </a:graphic>
                </wp:inline>
              </w:drawing>
            </w:r>
          </w:p>
        </w:tc>
      </w:tr>
      <w:tr w:rsidR="00397533" w14:paraId="7A20C8F2" w14:textId="77777777" w:rsidTr="007B6978">
        <w:tc>
          <w:tcPr>
            <w:tcW w:w="10060" w:type="dxa"/>
          </w:tcPr>
          <w:p w14:paraId="42E5DA65" w14:textId="016DD5CE" w:rsidR="00397533" w:rsidRPr="003A4373" w:rsidRDefault="00127B5C" w:rsidP="007B6978">
            <w:pPr>
              <w:pStyle w:val="EndNoteBibliography"/>
              <w:tabs>
                <w:tab w:val="left" w:pos="993"/>
              </w:tabs>
              <w:jc w:val="both"/>
              <w:rPr>
                <w:rFonts w:asciiTheme="minorHAnsi" w:hAnsiTheme="minorHAnsi" w:cstheme="minorHAnsi"/>
                <w:sz w:val="18"/>
                <w:szCs w:val="18"/>
              </w:rPr>
            </w:pPr>
            <w:r>
              <w:rPr>
                <w:rFonts w:asciiTheme="minorHAnsi" w:hAnsiTheme="minorHAnsi" w:cstheme="minorHAnsi"/>
                <w:sz w:val="18"/>
                <w:szCs w:val="18"/>
              </w:rPr>
              <w:t>A</w:t>
            </w:r>
            <w:r w:rsidR="00397533" w:rsidRPr="003A4373">
              <w:rPr>
                <w:rFonts w:asciiTheme="minorHAnsi" w:hAnsiTheme="minorHAnsi" w:cstheme="minorHAnsi"/>
                <w:sz w:val="18"/>
                <w:szCs w:val="18"/>
              </w:rPr>
              <w:t xml:space="preserve">  - The forest plot shows the </w:t>
            </w:r>
            <w:r w:rsidR="00397533">
              <w:rPr>
                <w:rFonts w:asciiTheme="minorHAnsi" w:hAnsiTheme="minorHAnsi" w:cstheme="minorHAnsi"/>
                <w:sz w:val="18"/>
                <w:szCs w:val="18"/>
              </w:rPr>
              <w:t>risk ratios</w:t>
            </w:r>
            <w:r w:rsidR="00397533" w:rsidRPr="003A4373">
              <w:rPr>
                <w:rFonts w:asciiTheme="minorHAnsi" w:hAnsiTheme="minorHAnsi" w:cstheme="minorHAnsi"/>
                <w:sz w:val="18"/>
                <w:szCs w:val="18"/>
              </w:rPr>
              <w:t xml:space="preserve"> (</w:t>
            </w:r>
            <w:r w:rsidR="00397533">
              <w:rPr>
                <w:rFonts w:asciiTheme="minorHAnsi" w:hAnsiTheme="minorHAnsi" w:cstheme="minorHAnsi"/>
                <w:sz w:val="18"/>
                <w:szCs w:val="18"/>
              </w:rPr>
              <w:t>RR</w:t>
            </w:r>
            <w:r w:rsidR="00397533" w:rsidRPr="003A4373">
              <w:rPr>
                <w:rFonts w:asciiTheme="minorHAnsi" w:hAnsiTheme="minorHAnsi" w:cstheme="minorHAnsi"/>
                <w:sz w:val="18"/>
                <w:szCs w:val="18"/>
              </w:rPr>
              <w:t xml:space="preserve">s) and 95% credible interval (CrI) compared with placebo as reference treatment. </w:t>
            </w:r>
            <w:r w:rsidR="00397533">
              <w:rPr>
                <w:rFonts w:asciiTheme="minorHAnsi" w:hAnsiTheme="minorHAnsi" w:cstheme="minorHAnsi"/>
                <w:sz w:val="18"/>
                <w:szCs w:val="18"/>
              </w:rPr>
              <w:t>RR</w:t>
            </w:r>
            <w:r w:rsidR="00397533" w:rsidRPr="003A4373">
              <w:rPr>
                <w:rFonts w:asciiTheme="minorHAnsi" w:hAnsiTheme="minorHAnsi" w:cstheme="minorHAnsi"/>
                <w:sz w:val="18"/>
                <w:szCs w:val="18"/>
              </w:rPr>
              <w:t xml:space="preserve">s </w:t>
            </w:r>
            <w:r w:rsidR="00397533">
              <w:rPr>
                <w:rFonts w:asciiTheme="minorHAnsi" w:hAnsiTheme="minorHAnsi" w:cstheme="minorHAnsi"/>
                <w:sz w:val="18"/>
                <w:szCs w:val="18"/>
              </w:rPr>
              <w:t>larger</w:t>
            </w:r>
            <w:r w:rsidR="00397533" w:rsidRPr="003A4373">
              <w:rPr>
                <w:rFonts w:asciiTheme="minorHAnsi" w:hAnsiTheme="minorHAnsi" w:cstheme="minorHAnsi"/>
                <w:sz w:val="18"/>
                <w:szCs w:val="18"/>
              </w:rPr>
              <w:t xml:space="preserve"> than </w:t>
            </w:r>
            <w:r w:rsidR="00397533">
              <w:rPr>
                <w:rFonts w:asciiTheme="minorHAnsi" w:hAnsiTheme="minorHAnsi" w:cstheme="minorHAnsi"/>
                <w:sz w:val="18"/>
                <w:szCs w:val="18"/>
              </w:rPr>
              <w:t>1</w:t>
            </w:r>
            <w:r w:rsidR="00397533" w:rsidRPr="003A4373">
              <w:rPr>
                <w:rFonts w:asciiTheme="minorHAnsi" w:hAnsiTheme="minorHAnsi" w:cstheme="minorHAnsi"/>
                <w:sz w:val="18"/>
                <w:szCs w:val="18"/>
              </w:rPr>
              <w:t xml:space="preserve"> indicate favoured results for the intervention.</w:t>
            </w:r>
          </w:p>
          <w:p w14:paraId="06F82E9C" w14:textId="11809C77" w:rsidR="00397533" w:rsidRDefault="00127B5C" w:rsidP="007B6978">
            <w:pPr>
              <w:keepNext/>
              <w:tabs>
                <w:tab w:val="left" w:pos="993"/>
              </w:tabs>
              <w:jc w:val="both"/>
              <w:rPr>
                <w:rFonts w:cs="Calibri"/>
                <w:noProof/>
                <w:lang w:val="en-US"/>
              </w:rPr>
            </w:pPr>
            <w:r>
              <w:rPr>
                <w:rFonts w:cstheme="minorHAnsi"/>
                <w:sz w:val="18"/>
                <w:szCs w:val="18"/>
              </w:rPr>
              <w:t>B</w:t>
            </w:r>
            <w:r w:rsidR="00397533" w:rsidRPr="003A4373">
              <w:rPr>
                <w:rFonts w:cstheme="minorHAnsi"/>
                <w:sz w:val="18"/>
                <w:szCs w:val="18"/>
              </w:rPr>
              <w:t xml:space="preserve"> - Ranking probabilities graph (hatching blue bars) of each treatment and red bars are the SUCRA values for each treatment. The probabilities ranking ranged from 0 to 1. Due to rounding in R software these do not equate to one.</w:t>
            </w:r>
          </w:p>
        </w:tc>
      </w:tr>
    </w:tbl>
    <w:p w14:paraId="6FD7FBD1" w14:textId="11E78367" w:rsidR="00397533" w:rsidRDefault="00397533" w:rsidP="00397533">
      <w:pPr>
        <w:pStyle w:val="Caption"/>
      </w:pPr>
      <w:r w:rsidRPr="00A0471F">
        <w:t xml:space="preserve">Figure </w:t>
      </w:r>
      <w:r w:rsidR="004402EC">
        <w:t>16</w:t>
      </w:r>
      <w:r w:rsidRPr="00A0471F">
        <w:t>: Summary of 50% or more reduction in headache days</w:t>
      </w:r>
    </w:p>
    <w:p w14:paraId="569E567F" w14:textId="5D3B4603" w:rsidR="00397533" w:rsidRDefault="00397533" w:rsidP="00397533">
      <w:pPr>
        <w:pStyle w:val="Caption"/>
        <w:keepNext/>
      </w:pPr>
      <w:r>
        <w:t xml:space="preserve">Table </w:t>
      </w:r>
      <w:r w:rsidR="004402EC">
        <w:t>17</w:t>
      </w:r>
      <w:r>
        <w:t xml:space="preserve">: </w:t>
      </w:r>
      <w:r w:rsidRPr="000C6D93">
        <w:t xml:space="preserve">The model fit result for </w:t>
      </w:r>
      <w:r>
        <w:t>50% or more reduction in headache days</w:t>
      </w:r>
    </w:p>
    <w:tbl>
      <w:tblPr>
        <w:tblStyle w:val="TableGrid"/>
        <w:tblW w:w="0" w:type="auto"/>
        <w:tblInd w:w="5" w:type="dxa"/>
        <w:tblLook w:val="04A0" w:firstRow="1" w:lastRow="0" w:firstColumn="1" w:lastColumn="0" w:noHBand="0" w:noVBand="1"/>
      </w:tblPr>
      <w:tblGrid>
        <w:gridCol w:w="1691"/>
        <w:gridCol w:w="3261"/>
        <w:gridCol w:w="1807"/>
        <w:gridCol w:w="2253"/>
      </w:tblGrid>
      <w:tr w:rsidR="00397533" w14:paraId="090F2830" w14:textId="77777777" w:rsidTr="007B6978">
        <w:trPr>
          <w:trHeight w:val="366"/>
        </w:trPr>
        <w:tc>
          <w:tcPr>
            <w:tcW w:w="1691" w:type="dxa"/>
            <w:tcBorders>
              <w:top w:val="single" w:sz="4" w:space="0" w:color="auto"/>
              <w:left w:val="single" w:sz="4" w:space="0" w:color="auto"/>
            </w:tcBorders>
          </w:tcPr>
          <w:p w14:paraId="13691B2F" w14:textId="77777777" w:rsidR="00397533" w:rsidRPr="00253340" w:rsidRDefault="00397533" w:rsidP="007B6978">
            <w:pPr>
              <w:tabs>
                <w:tab w:val="left" w:pos="1020"/>
              </w:tabs>
              <w:rPr>
                <w:sz w:val="20"/>
                <w:szCs w:val="20"/>
              </w:rPr>
            </w:pPr>
          </w:p>
        </w:tc>
        <w:tc>
          <w:tcPr>
            <w:tcW w:w="3261" w:type="dxa"/>
          </w:tcPr>
          <w:p w14:paraId="424493C5" w14:textId="77777777" w:rsidR="00397533" w:rsidRPr="00AF507B" w:rsidRDefault="00397533" w:rsidP="007B6978">
            <w:pPr>
              <w:tabs>
                <w:tab w:val="left" w:pos="1020"/>
              </w:tabs>
              <w:jc w:val="center"/>
              <w:rPr>
                <w:b/>
                <w:bCs/>
                <w:sz w:val="20"/>
                <w:szCs w:val="20"/>
              </w:rPr>
            </w:pPr>
            <w:r w:rsidRPr="00AF507B">
              <w:rPr>
                <w:b/>
                <w:bCs/>
                <w:sz w:val="20"/>
                <w:szCs w:val="20"/>
              </w:rPr>
              <w:t>Residual deviance (</w:t>
            </w:r>
            <w:r>
              <w:rPr>
                <w:b/>
                <w:bCs/>
                <w:sz w:val="20"/>
                <w:szCs w:val="20"/>
              </w:rPr>
              <w:t>9</w:t>
            </w:r>
            <w:r w:rsidRPr="00AF507B">
              <w:rPr>
                <w:b/>
                <w:bCs/>
                <w:sz w:val="20"/>
                <w:szCs w:val="20"/>
              </w:rPr>
              <w:t xml:space="preserve"> data points)</w:t>
            </w:r>
          </w:p>
        </w:tc>
        <w:tc>
          <w:tcPr>
            <w:tcW w:w="1807" w:type="dxa"/>
          </w:tcPr>
          <w:p w14:paraId="5BE5C129" w14:textId="77777777" w:rsidR="00397533" w:rsidRPr="00AF507B" w:rsidRDefault="00397533" w:rsidP="007B6978">
            <w:pPr>
              <w:tabs>
                <w:tab w:val="left" w:pos="1020"/>
              </w:tabs>
              <w:jc w:val="center"/>
              <w:rPr>
                <w:b/>
                <w:bCs/>
                <w:sz w:val="20"/>
                <w:szCs w:val="20"/>
              </w:rPr>
            </w:pPr>
            <w:r w:rsidRPr="00AF507B">
              <w:rPr>
                <w:b/>
                <w:bCs/>
                <w:sz w:val="20"/>
                <w:szCs w:val="20"/>
              </w:rPr>
              <w:t>pD*</w:t>
            </w:r>
          </w:p>
        </w:tc>
        <w:tc>
          <w:tcPr>
            <w:tcW w:w="2253" w:type="dxa"/>
          </w:tcPr>
          <w:p w14:paraId="18301E82" w14:textId="77777777" w:rsidR="00397533" w:rsidRPr="00AF507B" w:rsidRDefault="00397533" w:rsidP="007B6978">
            <w:pPr>
              <w:tabs>
                <w:tab w:val="left" w:pos="1020"/>
              </w:tabs>
              <w:jc w:val="center"/>
              <w:rPr>
                <w:b/>
                <w:bCs/>
                <w:sz w:val="20"/>
                <w:szCs w:val="20"/>
              </w:rPr>
            </w:pPr>
            <w:r w:rsidRPr="00AF507B">
              <w:rPr>
                <w:b/>
                <w:bCs/>
                <w:sz w:val="20"/>
                <w:szCs w:val="20"/>
              </w:rPr>
              <w:t>DIC**</w:t>
            </w:r>
          </w:p>
        </w:tc>
      </w:tr>
      <w:tr w:rsidR="00397533" w14:paraId="21BA4352" w14:textId="77777777" w:rsidTr="007B6978">
        <w:trPr>
          <w:trHeight w:val="411"/>
        </w:trPr>
        <w:tc>
          <w:tcPr>
            <w:tcW w:w="1691" w:type="dxa"/>
          </w:tcPr>
          <w:p w14:paraId="25856D71" w14:textId="77777777" w:rsidR="00397533" w:rsidRPr="00253340" w:rsidRDefault="00397533" w:rsidP="007B6978">
            <w:pPr>
              <w:tabs>
                <w:tab w:val="left" w:pos="1020"/>
              </w:tabs>
              <w:rPr>
                <w:sz w:val="20"/>
                <w:szCs w:val="20"/>
              </w:rPr>
            </w:pPr>
            <w:r w:rsidRPr="00253340">
              <w:rPr>
                <w:sz w:val="20"/>
                <w:szCs w:val="20"/>
              </w:rPr>
              <w:t>Fixed model</w:t>
            </w:r>
          </w:p>
        </w:tc>
        <w:tc>
          <w:tcPr>
            <w:tcW w:w="3261" w:type="dxa"/>
          </w:tcPr>
          <w:p w14:paraId="0AC43DC7" w14:textId="77777777" w:rsidR="00397533" w:rsidRPr="00253340" w:rsidRDefault="00397533" w:rsidP="007B6978">
            <w:pPr>
              <w:tabs>
                <w:tab w:val="left" w:pos="1020"/>
              </w:tabs>
              <w:jc w:val="center"/>
              <w:rPr>
                <w:sz w:val="20"/>
                <w:szCs w:val="20"/>
              </w:rPr>
            </w:pPr>
            <w:r>
              <w:rPr>
                <w:sz w:val="20"/>
                <w:szCs w:val="20"/>
              </w:rPr>
              <w:t>10.5</w:t>
            </w:r>
          </w:p>
        </w:tc>
        <w:tc>
          <w:tcPr>
            <w:tcW w:w="1807" w:type="dxa"/>
          </w:tcPr>
          <w:p w14:paraId="2582B7D6" w14:textId="77777777" w:rsidR="00397533" w:rsidRPr="00253340" w:rsidRDefault="00397533" w:rsidP="007B6978">
            <w:pPr>
              <w:tabs>
                <w:tab w:val="left" w:pos="1020"/>
              </w:tabs>
              <w:jc w:val="center"/>
              <w:rPr>
                <w:sz w:val="20"/>
                <w:szCs w:val="20"/>
              </w:rPr>
            </w:pPr>
            <w:r>
              <w:rPr>
                <w:sz w:val="20"/>
                <w:szCs w:val="20"/>
              </w:rPr>
              <w:t>8</w:t>
            </w:r>
          </w:p>
        </w:tc>
        <w:tc>
          <w:tcPr>
            <w:tcW w:w="2253" w:type="dxa"/>
          </w:tcPr>
          <w:p w14:paraId="22D35D98" w14:textId="77777777" w:rsidR="00397533" w:rsidRPr="00253340" w:rsidRDefault="00397533" w:rsidP="007B6978">
            <w:pPr>
              <w:tabs>
                <w:tab w:val="left" w:pos="1020"/>
              </w:tabs>
              <w:jc w:val="center"/>
              <w:rPr>
                <w:sz w:val="20"/>
                <w:szCs w:val="20"/>
              </w:rPr>
            </w:pPr>
            <w:r>
              <w:rPr>
                <w:sz w:val="20"/>
                <w:szCs w:val="20"/>
              </w:rPr>
              <w:t>18.5</w:t>
            </w:r>
          </w:p>
        </w:tc>
      </w:tr>
      <w:tr w:rsidR="00397533" w14:paraId="2EF2828F" w14:textId="77777777" w:rsidTr="007B6978">
        <w:trPr>
          <w:trHeight w:val="404"/>
        </w:trPr>
        <w:tc>
          <w:tcPr>
            <w:tcW w:w="1691" w:type="dxa"/>
          </w:tcPr>
          <w:p w14:paraId="01B575FD" w14:textId="77777777" w:rsidR="00397533" w:rsidRPr="00253340" w:rsidRDefault="00397533" w:rsidP="007B6978">
            <w:pPr>
              <w:tabs>
                <w:tab w:val="left" w:pos="1020"/>
              </w:tabs>
              <w:rPr>
                <w:sz w:val="20"/>
                <w:szCs w:val="20"/>
              </w:rPr>
            </w:pPr>
            <w:r w:rsidRPr="00253340">
              <w:rPr>
                <w:sz w:val="20"/>
                <w:szCs w:val="20"/>
              </w:rPr>
              <w:t>Random model</w:t>
            </w:r>
          </w:p>
        </w:tc>
        <w:tc>
          <w:tcPr>
            <w:tcW w:w="3261" w:type="dxa"/>
          </w:tcPr>
          <w:p w14:paraId="297C0C2E" w14:textId="77777777" w:rsidR="00397533" w:rsidRPr="00253340" w:rsidRDefault="00397533" w:rsidP="007B6978">
            <w:pPr>
              <w:tabs>
                <w:tab w:val="left" w:pos="1020"/>
              </w:tabs>
              <w:jc w:val="center"/>
              <w:rPr>
                <w:sz w:val="20"/>
                <w:szCs w:val="20"/>
              </w:rPr>
            </w:pPr>
            <w:r>
              <w:rPr>
                <w:sz w:val="20"/>
                <w:szCs w:val="20"/>
              </w:rPr>
              <w:t>10</w:t>
            </w:r>
          </w:p>
        </w:tc>
        <w:tc>
          <w:tcPr>
            <w:tcW w:w="1807" w:type="dxa"/>
          </w:tcPr>
          <w:p w14:paraId="16EC0D11" w14:textId="77777777" w:rsidR="00397533" w:rsidRPr="00253340" w:rsidRDefault="00397533" w:rsidP="007B6978">
            <w:pPr>
              <w:tabs>
                <w:tab w:val="left" w:pos="1020"/>
              </w:tabs>
              <w:jc w:val="center"/>
              <w:rPr>
                <w:sz w:val="20"/>
                <w:szCs w:val="20"/>
              </w:rPr>
            </w:pPr>
            <w:r>
              <w:rPr>
                <w:sz w:val="20"/>
                <w:szCs w:val="20"/>
              </w:rPr>
              <w:t>8.1</w:t>
            </w:r>
          </w:p>
        </w:tc>
        <w:tc>
          <w:tcPr>
            <w:tcW w:w="2253" w:type="dxa"/>
          </w:tcPr>
          <w:p w14:paraId="78BE132C" w14:textId="77777777" w:rsidR="00397533" w:rsidRPr="00253340" w:rsidRDefault="00397533" w:rsidP="007B6978">
            <w:pPr>
              <w:tabs>
                <w:tab w:val="left" w:pos="1020"/>
              </w:tabs>
              <w:jc w:val="center"/>
              <w:rPr>
                <w:sz w:val="20"/>
                <w:szCs w:val="20"/>
              </w:rPr>
            </w:pPr>
            <w:r>
              <w:rPr>
                <w:sz w:val="20"/>
                <w:szCs w:val="20"/>
              </w:rPr>
              <w:t>18.1</w:t>
            </w:r>
          </w:p>
        </w:tc>
      </w:tr>
    </w:tbl>
    <w:p w14:paraId="2887804B" w14:textId="77777777" w:rsidR="00397533" w:rsidRPr="00253340" w:rsidRDefault="00397533" w:rsidP="00397533">
      <w:pPr>
        <w:pStyle w:val="EndNoteBibliography"/>
        <w:rPr>
          <w:rFonts w:asciiTheme="minorHAnsi" w:hAnsiTheme="minorHAnsi" w:cstheme="minorHAnsi"/>
          <w:noProof w:val="0"/>
          <w:sz w:val="18"/>
          <w:szCs w:val="18"/>
          <w:lang w:val="en-GB" w:eastAsia="en-GB"/>
        </w:rPr>
      </w:pPr>
      <w:r w:rsidRPr="00253340">
        <w:rPr>
          <w:rFonts w:asciiTheme="majorBidi" w:hAnsiTheme="majorBidi" w:cstheme="majorBidi"/>
          <w:sz w:val="20"/>
          <w:szCs w:val="20"/>
        </w:rPr>
        <w:t>*</w:t>
      </w:r>
      <w:r w:rsidRPr="00253340">
        <w:rPr>
          <w:rFonts w:asciiTheme="minorHAnsi" w:hAnsiTheme="minorHAnsi" w:cstheme="minorHAnsi"/>
          <w:noProof w:val="0"/>
          <w:sz w:val="18"/>
          <w:szCs w:val="18"/>
          <w:lang w:val="en-GB" w:eastAsia="en-GB"/>
        </w:rPr>
        <w:t>pD: sum of leverage, also known as the effective number of parameters</w:t>
      </w:r>
      <w:r>
        <w:rPr>
          <w:rFonts w:asciiTheme="minorHAnsi" w:hAnsiTheme="minorHAnsi" w:cstheme="minorHAnsi"/>
          <w:noProof w:val="0"/>
          <w:sz w:val="18"/>
          <w:szCs w:val="18"/>
          <w:lang w:val="en-GB" w:eastAsia="en-GB"/>
        </w:rPr>
        <w:t xml:space="preserve"> and shows the model complexity.</w:t>
      </w:r>
    </w:p>
    <w:p w14:paraId="715176A3" w14:textId="77777777" w:rsidR="00397533" w:rsidRDefault="00397533" w:rsidP="00397533">
      <w:pPr>
        <w:spacing w:line="240" w:lineRule="auto"/>
        <w:rPr>
          <w:rFonts w:cstheme="minorHAnsi"/>
          <w:sz w:val="18"/>
          <w:szCs w:val="18"/>
          <w:lang w:eastAsia="en-GB"/>
        </w:rPr>
      </w:pPr>
      <w:r w:rsidRPr="00253340">
        <w:rPr>
          <w:rFonts w:cstheme="minorHAnsi"/>
          <w:sz w:val="18"/>
          <w:szCs w:val="18"/>
          <w:lang w:eastAsia="en-GB"/>
        </w:rPr>
        <w:t>**DIC: Deviance Information Criteria</w:t>
      </w:r>
      <w:r>
        <w:rPr>
          <w:rFonts w:cstheme="minorHAnsi"/>
          <w:sz w:val="18"/>
          <w:szCs w:val="18"/>
          <w:lang w:eastAsia="en-GB"/>
        </w:rPr>
        <w:t xml:space="preserve"> (</w:t>
      </w:r>
      <w:r w:rsidRPr="00253340">
        <w:rPr>
          <w:rFonts w:cstheme="minorHAnsi"/>
          <w:sz w:val="18"/>
          <w:szCs w:val="18"/>
          <w:lang w:eastAsia="en-GB"/>
        </w:rPr>
        <w:t>DIC</w:t>
      </w:r>
      <w:r>
        <w:rPr>
          <w:rFonts w:cstheme="minorHAnsi"/>
          <w:sz w:val="18"/>
          <w:szCs w:val="18"/>
          <w:lang w:eastAsia="en-GB"/>
        </w:rPr>
        <w:t>)</w:t>
      </w:r>
      <w:r w:rsidRPr="00253340">
        <w:rPr>
          <w:rFonts w:cstheme="minorHAnsi"/>
          <w:sz w:val="18"/>
          <w:szCs w:val="18"/>
          <w:lang w:eastAsia="en-GB"/>
        </w:rPr>
        <w:t xml:space="preserve"> provides a measure of goodness of model fit that penalises model complexity</w:t>
      </w:r>
      <w:r>
        <w:rPr>
          <w:rFonts w:cstheme="minorHAnsi"/>
          <w:sz w:val="18"/>
          <w:szCs w:val="18"/>
          <w:lang w:eastAsia="en-GB"/>
        </w:rPr>
        <w:t xml:space="preserve">, the lower is more fitted. More than three difference is meaningful. </w:t>
      </w:r>
    </w:p>
    <w:p w14:paraId="6B8139ED" w14:textId="77777777" w:rsidR="00F376C6" w:rsidRDefault="00F376C6" w:rsidP="00397533">
      <w:pPr>
        <w:spacing w:line="240" w:lineRule="auto"/>
        <w:rPr>
          <w:rFonts w:cstheme="minorHAnsi"/>
          <w:sz w:val="18"/>
          <w:szCs w:val="18"/>
          <w:lang w:eastAsia="en-GB"/>
        </w:rPr>
      </w:pPr>
    </w:p>
    <w:p w14:paraId="027CB785" w14:textId="77777777" w:rsidR="00F376C6" w:rsidRPr="00253340" w:rsidRDefault="00F376C6" w:rsidP="00397533">
      <w:pPr>
        <w:spacing w:line="240" w:lineRule="auto"/>
        <w:rPr>
          <w:rFonts w:cstheme="minorHAnsi"/>
          <w:sz w:val="18"/>
          <w:szCs w:val="18"/>
          <w:lang w:eastAsia="en-GB"/>
        </w:rPr>
      </w:pPr>
    </w:p>
    <w:p w14:paraId="5D4150A9" w14:textId="7090C562" w:rsidR="00397533" w:rsidRDefault="00397533" w:rsidP="00397533">
      <w:pPr>
        <w:pStyle w:val="Caption"/>
        <w:keepNext/>
      </w:pPr>
      <w:r>
        <w:t xml:space="preserve">Table </w:t>
      </w:r>
      <w:r w:rsidR="004402EC">
        <w:t>18</w:t>
      </w:r>
      <w:r>
        <w:t xml:space="preserve">: </w:t>
      </w:r>
      <w:r w:rsidRPr="00875C0E">
        <w:t xml:space="preserve">Comparing fit of NMA and UME models for </w:t>
      </w:r>
      <w:r>
        <w:t>50% or more reduction in headache days</w:t>
      </w:r>
    </w:p>
    <w:tbl>
      <w:tblPr>
        <w:tblW w:w="3606" w:type="pct"/>
        <w:tblLook w:val="04A0" w:firstRow="1" w:lastRow="0" w:firstColumn="1" w:lastColumn="0" w:noHBand="0" w:noVBand="1"/>
      </w:tblPr>
      <w:tblGrid>
        <w:gridCol w:w="2319"/>
        <w:gridCol w:w="2900"/>
        <w:gridCol w:w="630"/>
        <w:gridCol w:w="817"/>
      </w:tblGrid>
      <w:tr w:rsidR="00397533" w:rsidRPr="00E05677" w14:paraId="66827DE2" w14:textId="77777777" w:rsidTr="007B6978">
        <w:trPr>
          <w:trHeight w:val="290"/>
        </w:trPr>
        <w:tc>
          <w:tcPr>
            <w:tcW w:w="2113" w:type="pct"/>
            <w:tcBorders>
              <w:top w:val="nil"/>
              <w:left w:val="nil"/>
              <w:bottom w:val="nil"/>
              <w:right w:val="nil"/>
            </w:tcBorders>
            <w:shd w:val="clear" w:color="auto" w:fill="FFFFFF" w:themeFill="background1"/>
            <w:noWrap/>
            <w:vAlign w:val="bottom"/>
            <w:hideMark/>
          </w:tcPr>
          <w:p w14:paraId="2DC05091" w14:textId="77777777" w:rsidR="00397533" w:rsidRPr="00253340" w:rsidRDefault="00397533" w:rsidP="007B6978">
            <w:pPr>
              <w:spacing w:line="240" w:lineRule="auto"/>
              <w:jc w:val="center"/>
              <w:rPr>
                <w:rFonts w:eastAsia="Times New Roman" w:cs="Calibri"/>
                <w:color w:val="000000"/>
                <w:sz w:val="20"/>
                <w:szCs w:val="20"/>
                <w:lang w:eastAsia="en-GB"/>
              </w:rPr>
            </w:pPr>
          </w:p>
        </w:tc>
        <w:tc>
          <w:tcPr>
            <w:tcW w:w="1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5DF971A" w14:textId="77777777" w:rsidR="00397533" w:rsidRPr="00253340" w:rsidRDefault="00397533" w:rsidP="007B6978">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Residual deviance (</w:t>
            </w:r>
            <w:r>
              <w:rPr>
                <w:rFonts w:eastAsia="Times New Roman" w:cs="Calibri"/>
                <w:color w:val="000000"/>
                <w:sz w:val="20"/>
                <w:szCs w:val="20"/>
                <w:lang w:eastAsia="en-GB"/>
              </w:rPr>
              <w:t>9</w:t>
            </w:r>
            <w:r w:rsidRPr="00253340">
              <w:rPr>
                <w:rFonts w:eastAsia="Times New Roman" w:cs="Calibri"/>
                <w:color w:val="000000"/>
                <w:sz w:val="20"/>
                <w:szCs w:val="20"/>
                <w:lang w:eastAsia="en-GB"/>
              </w:rPr>
              <w:t xml:space="preserve"> data points)</w:t>
            </w:r>
          </w:p>
        </w:tc>
        <w:tc>
          <w:tcPr>
            <w:tcW w:w="845"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2DB4A4C7" w14:textId="77777777" w:rsidR="00397533" w:rsidRPr="00253340" w:rsidRDefault="00397533" w:rsidP="007B6978">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pD*</w:t>
            </w:r>
          </w:p>
        </w:tc>
        <w:tc>
          <w:tcPr>
            <w:tcW w:w="704" w:type="pct"/>
            <w:tcBorders>
              <w:top w:val="single" w:sz="4" w:space="0" w:color="auto"/>
              <w:left w:val="nil"/>
              <w:bottom w:val="single" w:sz="4" w:space="0" w:color="auto"/>
              <w:right w:val="single" w:sz="4" w:space="0" w:color="auto"/>
            </w:tcBorders>
            <w:shd w:val="clear" w:color="auto" w:fill="FFFFFF" w:themeFill="background1"/>
            <w:vAlign w:val="bottom"/>
            <w:hideMark/>
          </w:tcPr>
          <w:p w14:paraId="06222217" w14:textId="77777777" w:rsidR="00397533" w:rsidRPr="00253340" w:rsidRDefault="00397533" w:rsidP="007B6978">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(DIC)**</w:t>
            </w:r>
          </w:p>
        </w:tc>
      </w:tr>
      <w:tr w:rsidR="00397533" w:rsidRPr="00E05677" w14:paraId="376FF918" w14:textId="77777777" w:rsidTr="007B6978">
        <w:trPr>
          <w:trHeight w:val="223"/>
        </w:trPr>
        <w:tc>
          <w:tcPr>
            <w:tcW w:w="21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24236A" w14:textId="77777777" w:rsidR="00397533" w:rsidRPr="00253340" w:rsidRDefault="00397533" w:rsidP="007B6978">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NMA (consistency) Model</w:t>
            </w:r>
          </w:p>
        </w:tc>
        <w:tc>
          <w:tcPr>
            <w:tcW w:w="1338" w:type="pct"/>
            <w:tcBorders>
              <w:top w:val="nil"/>
              <w:left w:val="nil"/>
              <w:bottom w:val="single" w:sz="4" w:space="0" w:color="auto"/>
              <w:right w:val="single" w:sz="4" w:space="0" w:color="auto"/>
            </w:tcBorders>
            <w:shd w:val="clear" w:color="auto" w:fill="FFFFFF" w:themeFill="background1"/>
            <w:noWrap/>
            <w:vAlign w:val="bottom"/>
            <w:hideMark/>
          </w:tcPr>
          <w:p w14:paraId="006F6AF6" w14:textId="77777777" w:rsidR="00397533" w:rsidRPr="00253340" w:rsidRDefault="00397533" w:rsidP="007B6978">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9.1</w:t>
            </w:r>
          </w:p>
        </w:tc>
        <w:tc>
          <w:tcPr>
            <w:tcW w:w="845" w:type="pct"/>
            <w:tcBorders>
              <w:top w:val="nil"/>
              <w:left w:val="nil"/>
              <w:bottom w:val="single" w:sz="4" w:space="0" w:color="auto"/>
              <w:right w:val="single" w:sz="4" w:space="0" w:color="auto"/>
            </w:tcBorders>
            <w:shd w:val="clear" w:color="auto" w:fill="FFFFFF" w:themeFill="background1"/>
            <w:noWrap/>
            <w:vAlign w:val="bottom"/>
            <w:hideMark/>
          </w:tcPr>
          <w:p w14:paraId="4D66FD7D" w14:textId="77777777" w:rsidR="00397533" w:rsidRPr="00253340" w:rsidRDefault="00397533" w:rsidP="007B6978">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9.1</w:t>
            </w:r>
          </w:p>
        </w:tc>
        <w:tc>
          <w:tcPr>
            <w:tcW w:w="704" w:type="pct"/>
            <w:tcBorders>
              <w:top w:val="nil"/>
              <w:left w:val="nil"/>
              <w:bottom w:val="single" w:sz="4" w:space="0" w:color="auto"/>
              <w:right w:val="single" w:sz="4" w:space="0" w:color="auto"/>
            </w:tcBorders>
            <w:shd w:val="clear" w:color="auto" w:fill="FFFFFF" w:themeFill="background1"/>
            <w:noWrap/>
            <w:vAlign w:val="bottom"/>
            <w:hideMark/>
          </w:tcPr>
          <w:p w14:paraId="03177F01" w14:textId="77777777" w:rsidR="00397533" w:rsidRPr="00253340" w:rsidRDefault="00397533" w:rsidP="007B6978">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18.2</w:t>
            </w:r>
          </w:p>
        </w:tc>
      </w:tr>
      <w:tr w:rsidR="00397533" w:rsidRPr="00E05677" w14:paraId="2F6408FA" w14:textId="77777777" w:rsidTr="007B6978">
        <w:trPr>
          <w:trHeight w:val="315"/>
        </w:trPr>
        <w:tc>
          <w:tcPr>
            <w:tcW w:w="2113" w:type="pct"/>
            <w:tcBorders>
              <w:top w:val="nil"/>
              <w:left w:val="single" w:sz="4" w:space="0" w:color="auto"/>
              <w:bottom w:val="single" w:sz="4" w:space="0" w:color="auto"/>
              <w:right w:val="single" w:sz="4" w:space="0" w:color="auto"/>
            </w:tcBorders>
            <w:shd w:val="clear" w:color="auto" w:fill="FFFFFF" w:themeFill="background1"/>
            <w:vAlign w:val="center"/>
            <w:hideMark/>
          </w:tcPr>
          <w:p w14:paraId="5DB3DC3F" w14:textId="77777777" w:rsidR="00397533" w:rsidRPr="00253340" w:rsidRDefault="00397533" w:rsidP="007B6978">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Unrelated Mean Effects (Inconsistency) Model</w:t>
            </w:r>
          </w:p>
        </w:tc>
        <w:tc>
          <w:tcPr>
            <w:tcW w:w="1338" w:type="pct"/>
            <w:tcBorders>
              <w:top w:val="nil"/>
              <w:left w:val="nil"/>
              <w:bottom w:val="single" w:sz="4" w:space="0" w:color="auto"/>
              <w:right w:val="single" w:sz="4" w:space="0" w:color="auto"/>
            </w:tcBorders>
            <w:shd w:val="clear" w:color="auto" w:fill="FFFFFF" w:themeFill="background1"/>
            <w:noWrap/>
            <w:vAlign w:val="bottom"/>
            <w:hideMark/>
          </w:tcPr>
          <w:p w14:paraId="58153527" w14:textId="77777777" w:rsidR="00397533" w:rsidRPr="00253340" w:rsidRDefault="00397533" w:rsidP="007B6978">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10.5</w:t>
            </w:r>
          </w:p>
        </w:tc>
        <w:tc>
          <w:tcPr>
            <w:tcW w:w="845" w:type="pct"/>
            <w:tcBorders>
              <w:top w:val="nil"/>
              <w:left w:val="nil"/>
              <w:bottom w:val="single" w:sz="4" w:space="0" w:color="auto"/>
              <w:right w:val="single" w:sz="4" w:space="0" w:color="auto"/>
            </w:tcBorders>
            <w:shd w:val="clear" w:color="auto" w:fill="FFFFFF" w:themeFill="background1"/>
            <w:noWrap/>
            <w:vAlign w:val="bottom"/>
            <w:hideMark/>
          </w:tcPr>
          <w:p w14:paraId="40A4F1F5" w14:textId="77777777" w:rsidR="00397533" w:rsidRPr="00253340" w:rsidRDefault="00397533" w:rsidP="007B6978">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8</w:t>
            </w:r>
          </w:p>
        </w:tc>
        <w:tc>
          <w:tcPr>
            <w:tcW w:w="704" w:type="pct"/>
            <w:tcBorders>
              <w:top w:val="nil"/>
              <w:left w:val="nil"/>
              <w:bottom w:val="single" w:sz="4" w:space="0" w:color="auto"/>
              <w:right w:val="single" w:sz="4" w:space="0" w:color="auto"/>
            </w:tcBorders>
            <w:shd w:val="clear" w:color="auto" w:fill="FFFFFF" w:themeFill="background1"/>
            <w:noWrap/>
            <w:vAlign w:val="bottom"/>
            <w:hideMark/>
          </w:tcPr>
          <w:p w14:paraId="12E32736" w14:textId="77777777" w:rsidR="00397533" w:rsidRPr="00253340" w:rsidRDefault="00397533" w:rsidP="007B6978">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18.5</w:t>
            </w:r>
          </w:p>
        </w:tc>
      </w:tr>
    </w:tbl>
    <w:p w14:paraId="2BB927CD" w14:textId="77777777" w:rsidR="00397533" w:rsidRPr="00CA3B38" w:rsidRDefault="00397533" w:rsidP="00397533">
      <w:pPr>
        <w:pStyle w:val="EndNoteBibliography"/>
        <w:rPr>
          <w:rFonts w:asciiTheme="minorHAnsi" w:hAnsiTheme="minorHAnsi" w:cstheme="minorHAnsi"/>
          <w:noProof w:val="0"/>
          <w:sz w:val="18"/>
          <w:szCs w:val="18"/>
          <w:lang w:val="en-GB" w:eastAsia="en-GB"/>
        </w:rPr>
      </w:pPr>
      <w:r w:rsidRPr="00CA3B38">
        <w:rPr>
          <w:rFonts w:asciiTheme="majorBidi" w:hAnsiTheme="majorBidi" w:cstheme="majorBidi"/>
          <w:sz w:val="20"/>
          <w:szCs w:val="20"/>
        </w:rPr>
        <w:t>*</w:t>
      </w:r>
      <w:r w:rsidRPr="00CA3B38">
        <w:rPr>
          <w:rFonts w:asciiTheme="minorHAnsi" w:hAnsiTheme="minorHAnsi" w:cstheme="minorHAnsi"/>
          <w:noProof w:val="0"/>
          <w:sz w:val="18"/>
          <w:szCs w:val="18"/>
          <w:lang w:val="en-GB" w:eastAsia="en-GB"/>
        </w:rPr>
        <w:t>pD: sum of leverage, also known as the effective number of parameters</w:t>
      </w:r>
      <w:r>
        <w:rPr>
          <w:rFonts w:asciiTheme="minorHAnsi" w:hAnsiTheme="minorHAnsi" w:cstheme="minorHAnsi"/>
          <w:noProof w:val="0"/>
          <w:sz w:val="18"/>
          <w:szCs w:val="18"/>
          <w:lang w:val="en-GB" w:eastAsia="en-GB"/>
        </w:rPr>
        <w:t xml:space="preserve"> and shows the model complexity.</w:t>
      </w:r>
    </w:p>
    <w:p w14:paraId="7938BA29" w14:textId="77777777" w:rsidR="00397533" w:rsidRDefault="00397533" w:rsidP="00397533">
      <w:pPr>
        <w:rPr>
          <w:rFonts w:cstheme="minorHAnsi"/>
          <w:sz w:val="18"/>
          <w:szCs w:val="18"/>
          <w:lang w:eastAsia="en-GB"/>
        </w:rPr>
      </w:pPr>
      <w:r w:rsidRPr="00CA3B38">
        <w:rPr>
          <w:rFonts w:cstheme="minorHAnsi"/>
          <w:sz w:val="18"/>
          <w:szCs w:val="18"/>
          <w:lang w:eastAsia="en-GB"/>
        </w:rPr>
        <w:t>**DIC: Deviance Information Criteria</w:t>
      </w:r>
      <w:r>
        <w:rPr>
          <w:rFonts w:cstheme="minorHAnsi"/>
          <w:sz w:val="18"/>
          <w:szCs w:val="18"/>
          <w:lang w:eastAsia="en-GB"/>
        </w:rPr>
        <w:t xml:space="preserve"> (</w:t>
      </w:r>
      <w:r w:rsidRPr="00CA3B38">
        <w:rPr>
          <w:rFonts w:cstheme="minorHAnsi"/>
          <w:sz w:val="18"/>
          <w:szCs w:val="18"/>
          <w:lang w:eastAsia="en-GB"/>
        </w:rPr>
        <w:t>DIC provides a measure of goodness of model fit that penalises model complexity</w:t>
      </w:r>
      <w:r>
        <w:rPr>
          <w:rFonts w:cstheme="minorHAnsi"/>
          <w:sz w:val="18"/>
          <w:szCs w:val="18"/>
          <w:lang w:eastAsia="en-GB"/>
        </w:rPr>
        <w:t>, the lower is more fitted. More than three difference is meaningful</w:t>
      </w:r>
    </w:p>
    <w:p w14:paraId="0C07A03B" w14:textId="77777777" w:rsidR="00397533" w:rsidRDefault="00397533" w:rsidP="00397533">
      <w:pPr>
        <w:rPr>
          <w:rFonts w:cstheme="minorHAnsi"/>
          <w:sz w:val="18"/>
          <w:szCs w:val="18"/>
          <w:lang w:eastAsia="en-GB"/>
        </w:rPr>
      </w:pPr>
    </w:p>
    <w:p w14:paraId="104ABD2B" w14:textId="77777777" w:rsidR="00397533" w:rsidRDefault="00397533" w:rsidP="00397533">
      <w:r>
        <w:rPr>
          <w:noProof/>
          <w:lang w:val="en-US"/>
        </w:rPr>
        <w:lastRenderedPageBreak/>
        <w:drawing>
          <wp:inline distT="0" distB="0" distL="0" distR="0" wp14:anchorId="469A45A5" wp14:editId="276EB784">
            <wp:extent cx="3691228" cy="2632710"/>
            <wp:effectExtent l="0" t="0" r="5080" b="0"/>
            <wp:docPr id="913363701" name="Picture 2" descr="A picture containing text, diagram,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363701" name="Picture 2" descr="A picture containing text, diagram, plot, screenshot&#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02503" cy="2640752"/>
                    </a:xfrm>
                    <a:prstGeom prst="rect">
                      <a:avLst/>
                    </a:prstGeom>
                    <a:noFill/>
                  </pic:spPr>
                </pic:pic>
              </a:graphicData>
            </a:graphic>
          </wp:inline>
        </w:drawing>
      </w:r>
    </w:p>
    <w:p w14:paraId="1E47E148" w14:textId="7BBF33B6" w:rsidR="00397533" w:rsidRDefault="00397533" w:rsidP="00397533">
      <w:pPr>
        <w:pStyle w:val="Caption"/>
        <w:keepNext/>
      </w:pPr>
      <w:r>
        <w:rPr>
          <w:noProof/>
          <w:lang w:val="en-US"/>
        </w:rPr>
        <mc:AlternateContent>
          <mc:Choice Requires="wps">
            <w:drawing>
              <wp:anchor distT="0" distB="0" distL="114300" distR="114300" simplePos="0" relativeHeight="251671552" behindDoc="0" locked="0" layoutInCell="1" allowOverlap="1" wp14:anchorId="5D82FDFF" wp14:editId="0556FE93">
                <wp:simplePos x="0" y="0"/>
                <wp:positionH relativeFrom="column">
                  <wp:posOffset>4851400</wp:posOffset>
                </wp:positionH>
                <wp:positionV relativeFrom="paragraph">
                  <wp:posOffset>5715</wp:posOffset>
                </wp:positionV>
                <wp:extent cx="4324350" cy="431800"/>
                <wp:effectExtent l="0" t="0" r="19050" b="25400"/>
                <wp:wrapNone/>
                <wp:docPr id="467470569" name="Text Box 1"/>
                <wp:cNvGraphicFramePr/>
                <a:graphic xmlns:a="http://schemas.openxmlformats.org/drawingml/2006/main">
                  <a:graphicData uri="http://schemas.microsoft.com/office/word/2010/wordprocessingShape">
                    <wps:wsp>
                      <wps:cNvSpPr txBox="1"/>
                      <wps:spPr>
                        <a:xfrm>
                          <a:off x="0" y="0"/>
                          <a:ext cx="4324350" cy="431800"/>
                        </a:xfrm>
                        <a:prstGeom prst="rect">
                          <a:avLst/>
                        </a:prstGeom>
                        <a:solidFill>
                          <a:schemeClr val="lt1"/>
                        </a:solidFill>
                        <a:ln w="6350">
                          <a:solidFill>
                            <a:schemeClr val="bg1"/>
                          </a:solidFill>
                        </a:ln>
                      </wps:spPr>
                      <wps:txbx>
                        <w:txbxContent>
                          <w:p w14:paraId="50E0AECA" w14:textId="77777777" w:rsidR="00397533" w:rsidRDefault="00397533" w:rsidP="003975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D82FDFF" id="_x0000_t202" coordsize="21600,21600" o:spt="202" path="m,l,21600r21600,l21600,xe">
                <v:stroke joinstyle="miter"/>
                <v:path gradientshapeok="t" o:connecttype="rect"/>
              </v:shapetype>
              <v:shape id="Text Box 1" o:spid="_x0000_s1034" type="#_x0000_t202" style="position:absolute;margin-left:382pt;margin-top:.45pt;width:340.5pt;height: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" fillcolor="white [3201]" strokecolor="white [3212]" strokeweight=".5pt">
                <v:textbox>
                  <w:txbxContent>
                    <w:p w14:paraId="50E0AECA" w14:textId="77777777" w:rsidR="00397533" w:rsidRDefault="00397533" w:rsidP="00397533"/>
                  </w:txbxContent>
                </v:textbox>
              </v:shape>
            </w:pict>
          </mc:Fallback>
        </mc:AlternateContent>
      </w:r>
      <w:r>
        <w:t xml:space="preserve">Figure </w:t>
      </w:r>
      <w:r w:rsidR="004402EC">
        <w:t>17</w:t>
      </w:r>
      <w:r>
        <w:t>: Local</w:t>
      </w:r>
      <w:r w:rsidRPr="00993F69">
        <w:t xml:space="preserve"> Consistency</w:t>
      </w:r>
      <w:r>
        <w:t xml:space="preserve"> test for 50% or more reduction in headache days</w:t>
      </w:r>
    </w:p>
    <w:p w14:paraId="53250B8E" w14:textId="18209FB1" w:rsidR="00C15993" w:rsidRPr="00386BB6" w:rsidRDefault="00C15993" w:rsidP="00C15993">
      <w:pPr>
        <w:spacing w:after="0" w:line="360" w:lineRule="auto"/>
        <w:jc w:val="both"/>
        <w:rPr>
          <w:rFonts w:cstheme="minorHAnsi"/>
          <w:noProof/>
          <w:lang w:val="en-US"/>
        </w:rPr>
      </w:pPr>
    </w:p>
    <w:tbl>
      <w:tblPr>
        <w:tblStyle w:val="TableGrid"/>
        <w:tblW w:w="10060" w:type="dxa"/>
        <w:tblLook w:val="04A0" w:firstRow="1" w:lastRow="0" w:firstColumn="1" w:lastColumn="0" w:noHBand="0" w:noVBand="1"/>
      </w:tblPr>
      <w:tblGrid>
        <w:gridCol w:w="10060"/>
      </w:tblGrid>
      <w:tr w:rsidR="00C15993" w:rsidRPr="00386BB6" w14:paraId="1E79D9B2" w14:textId="77777777" w:rsidTr="00FE0AE3">
        <w:tc>
          <w:tcPr>
            <w:tcW w:w="10060" w:type="dxa"/>
            <w:vAlign w:val="bottom"/>
          </w:tcPr>
          <w:bookmarkStart w:id="53" w:name="_Hlk137971661"/>
          <w:p w14:paraId="4F3925BF" w14:textId="7CCD51D9" w:rsidR="00C15993" w:rsidRPr="00386BB6" w:rsidRDefault="00C15993" w:rsidP="00611803">
            <w:pPr>
              <w:jc w:val="center"/>
              <w:rPr>
                <w:rFonts w:cs="Calibri"/>
                <w:noProof/>
                <w:lang w:val="en-US"/>
              </w:rPr>
            </w:pPr>
            <w:r w:rsidRPr="00386BB6">
              <w:rPr>
                <w:rFonts w:asciiTheme="majorBidi" w:hAnsiTheme="majorBidi" w:cstheme="majorBidi"/>
                <w:noProof/>
                <w:sz w:val="24"/>
                <w:szCs w:val="24"/>
                <w:lang w:val="en-US"/>
              </w:rPr>
              <mc:AlternateContent>
                <mc:Choice Requires="wps">
                  <w:drawing>
                    <wp:anchor distT="0" distB="0" distL="114300" distR="114300" simplePos="0" relativeHeight="251679744" behindDoc="0" locked="0" layoutInCell="1" allowOverlap="1" wp14:anchorId="2EFCDC9F" wp14:editId="4F95F399">
                      <wp:simplePos x="0" y="0"/>
                      <wp:positionH relativeFrom="column">
                        <wp:posOffset>8255</wp:posOffset>
                      </wp:positionH>
                      <wp:positionV relativeFrom="paragraph">
                        <wp:posOffset>2025650</wp:posOffset>
                      </wp:positionV>
                      <wp:extent cx="267970" cy="274955"/>
                      <wp:effectExtent l="0" t="0" r="17780" b="10795"/>
                      <wp:wrapNone/>
                      <wp:docPr id="1382656638" name="Flowchart: Connector 1382656638"/>
                      <wp:cNvGraphicFramePr/>
                      <a:graphic xmlns:a="http://schemas.openxmlformats.org/drawingml/2006/main">
                        <a:graphicData uri="http://schemas.microsoft.com/office/word/2010/wordprocessingShape">
                          <wps:wsp>
                            <wps:cNvSpPr/>
                            <wps:spPr>
                              <a:xfrm>
                                <a:off x="0" y="0"/>
                                <a:ext cx="267970" cy="274955"/>
                              </a:xfrm>
                              <a:prstGeom prst="flowChartConnector">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056E24D6" w14:textId="77777777" w:rsidR="00C15993" w:rsidRPr="00CB5AED" w:rsidRDefault="00C15993" w:rsidP="00C15993">
                                  <w:pPr>
                                    <w:jc w:val="center"/>
                                    <w:rPr>
                                      <w:rFonts w:cstheme="minorHAnsi"/>
                                      <w:b/>
                                      <w:bCs/>
                                      <w:sz w:val="6"/>
                                      <w:szCs w:val="6"/>
                                    </w:rPr>
                                  </w:pPr>
                                  <w:r w:rsidRPr="00CB5AED">
                                    <w:rPr>
                                      <w:rFonts w:cstheme="minorHAnsi"/>
                                      <w:b/>
                                      <w:bCs/>
                                      <w:sz w:val="16"/>
                                      <w:szCs w:val="16"/>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FCDC9F" id="Flowchart: Connector 1382656638" o:spid="_x0000_s1035" type="#_x0000_t120" style="position:absolute;left:0;text-align:left;margin-left:.65pt;margin-top:159.5pt;width:21.1pt;height:2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" fillcolor="#b1cbe9" strokecolor="#5b9bd5" strokeweight=".5pt">
                      <v:fill color2="#92b9e4" rotate="t" colors="0 #b1cbe9;.5 #a3c1e5;1 #92b9e4" focus="100%" type="gradient">
                        <o:fill v:ext="view" type="gradientUnscaled"/>
                      </v:fill>
                      <v:stroke joinstyle="miter"/>
                      <v:textbox>
                        <w:txbxContent>
                          <w:p w14:paraId="056E24D6" w14:textId="77777777" w:rsidR="00C15993" w:rsidRPr="00CB5AED" w:rsidRDefault="00C15993" w:rsidP="00C15993">
                            <w:pPr>
                              <w:jc w:val="center"/>
                              <w:rPr>
                                <w:rFonts w:cstheme="minorHAnsi"/>
                                <w:b/>
                                <w:bCs/>
                                <w:sz w:val="6"/>
                                <w:szCs w:val="6"/>
                              </w:rPr>
                            </w:pPr>
                            <w:r w:rsidRPr="00CB5AED">
                              <w:rPr>
                                <w:rFonts w:cstheme="minorHAnsi"/>
                                <w:b/>
                                <w:bCs/>
                                <w:sz w:val="16"/>
                                <w:szCs w:val="16"/>
                              </w:rPr>
                              <w:t>B</w:t>
                            </w:r>
                          </w:p>
                        </w:txbxContent>
                      </v:textbox>
                    </v:shape>
                  </w:pict>
                </mc:Fallback>
              </mc:AlternateContent>
            </w:r>
            <w:r>
              <w:rPr>
                <w:rFonts w:cs="Calibri"/>
                <w:noProof/>
                <w:lang w:val="en-US"/>
              </w:rPr>
              <w:t xml:space="preserve"> </w:t>
            </w:r>
            <w:r w:rsidRPr="00386BB6">
              <w:rPr>
                <w:rFonts w:asciiTheme="majorBidi" w:hAnsiTheme="majorBidi" w:cstheme="majorBidi"/>
                <w:noProof/>
                <w:sz w:val="24"/>
                <w:szCs w:val="24"/>
                <w:lang w:val="en-US"/>
              </w:rPr>
              <mc:AlternateContent>
                <mc:Choice Requires="wps">
                  <w:drawing>
                    <wp:anchor distT="0" distB="0" distL="114300" distR="114300" simplePos="0" relativeHeight="251678720" behindDoc="0" locked="0" layoutInCell="1" allowOverlap="1" wp14:anchorId="1D3F06BE" wp14:editId="6BC9F28E">
                      <wp:simplePos x="0" y="0"/>
                      <wp:positionH relativeFrom="column">
                        <wp:posOffset>23495</wp:posOffset>
                      </wp:positionH>
                      <wp:positionV relativeFrom="paragraph">
                        <wp:posOffset>83820</wp:posOffset>
                      </wp:positionV>
                      <wp:extent cx="267970" cy="274955"/>
                      <wp:effectExtent l="0" t="0" r="17780" b="10795"/>
                      <wp:wrapNone/>
                      <wp:docPr id="35493512" name="Flowchart: Connector 35493512"/>
                      <wp:cNvGraphicFramePr/>
                      <a:graphic xmlns:a="http://schemas.openxmlformats.org/drawingml/2006/main">
                        <a:graphicData uri="http://schemas.microsoft.com/office/word/2010/wordprocessingShape">
                          <wps:wsp>
                            <wps:cNvSpPr/>
                            <wps:spPr>
                              <a:xfrm>
                                <a:off x="0" y="0"/>
                                <a:ext cx="267970" cy="274955"/>
                              </a:xfrm>
                              <a:prstGeom prst="flowChartConnector">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0E129D20" w14:textId="77777777" w:rsidR="00C15993" w:rsidRPr="00CB5AED" w:rsidRDefault="00C15993" w:rsidP="00C15993">
                                  <w:pPr>
                                    <w:jc w:val="center"/>
                                    <w:rPr>
                                      <w:rFonts w:cstheme="minorHAnsi"/>
                                      <w:b/>
                                      <w:bCs/>
                                      <w:sz w:val="6"/>
                                      <w:szCs w:val="6"/>
                                    </w:rPr>
                                  </w:pPr>
                                  <w:r w:rsidRPr="00CB5AED">
                                    <w:rPr>
                                      <w:rFonts w:cstheme="minorHAnsi"/>
                                      <w:b/>
                                      <w:bCs/>
                                      <w:sz w:val="16"/>
                                      <w:szCs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3F06BE" id="Flowchart: Connector 35493512" o:spid="_x0000_s1036" type="#_x0000_t120" style="position:absolute;left:0;text-align:left;margin-left:1.85pt;margin-top:6.6pt;width:21.1pt;height:2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" fillcolor="#b1cbe9" strokecolor="#5b9bd5" strokeweight=".5pt">
                      <v:fill color2="#92b9e4" rotate="t" colors="0 #b1cbe9;.5 #a3c1e5;1 #92b9e4" focus="100%" type="gradient">
                        <o:fill v:ext="view" type="gradientUnscaled"/>
                      </v:fill>
                      <v:stroke joinstyle="miter"/>
                      <v:textbox>
                        <w:txbxContent>
                          <w:p w14:paraId="0E129D20" w14:textId="77777777" w:rsidR="00C15993" w:rsidRPr="00CB5AED" w:rsidRDefault="00C15993" w:rsidP="00C15993">
                            <w:pPr>
                              <w:jc w:val="center"/>
                              <w:rPr>
                                <w:rFonts w:cstheme="minorHAnsi"/>
                                <w:b/>
                                <w:bCs/>
                                <w:sz w:val="6"/>
                                <w:szCs w:val="6"/>
                              </w:rPr>
                            </w:pPr>
                            <w:r w:rsidRPr="00CB5AED">
                              <w:rPr>
                                <w:rFonts w:cstheme="minorHAnsi"/>
                                <w:b/>
                                <w:bCs/>
                                <w:sz w:val="16"/>
                                <w:szCs w:val="16"/>
                              </w:rPr>
                              <w:t>A</w:t>
                            </w:r>
                          </w:p>
                        </w:txbxContent>
                      </v:textbox>
                    </v:shape>
                  </w:pict>
                </mc:Fallback>
              </mc:AlternateContent>
            </w:r>
          </w:p>
          <w:p w14:paraId="5E69DE16" w14:textId="49B28AEB" w:rsidR="00C15993" w:rsidRPr="00386BB6" w:rsidRDefault="00E934BE" w:rsidP="00611803">
            <w:pPr>
              <w:jc w:val="center"/>
              <w:rPr>
                <w:rFonts w:cs="Calibri"/>
                <w:noProof/>
                <w:lang w:val="en-US"/>
              </w:rPr>
            </w:pPr>
            <w:r>
              <w:rPr>
                <w:noProof/>
                <w:lang w:val="en-US"/>
              </w:rPr>
              <w:drawing>
                <wp:inline distT="0" distB="0" distL="0" distR="0" wp14:anchorId="7225EDF7" wp14:editId="61882E1D">
                  <wp:extent cx="5732145" cy="2025748"/>
                  <wp:effectExtent l="0" t="0" r="1905" b="0"/>
                  <wp:docPr id="1945990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90095" name=""/>
                          <pic:cNvPicPr/>
                        </pic:nvPicPr>
                        <pic:blipFill>
                          <a:blip r:embed="rId33"/>
                          <a:stretch>
                            <a:fillRect/>
                          </a:stretch>
                        </pic:blipFill>
                        <pic:spPr>
                          <a:xfrm>
                            <a:off x="0" y="0"/>
                            <a:ext cx="5745669" cy="2030527"/>
                          </a:xfrm>
                          <a:prstGeom prst="rect">
                            <a:avLst/>
                          </a:prstGeom>
                        </pic:spPr>
                      </pic:pic>
                    </a:graphicData>
                  </a:graphic>
                </wp:inline>
              </w:drawing>
            </w:r>
            <w:r w:rsidR="002246BA">
              <w:rPr>
                <w:noProof/>
                <w:lang w:val="en-US"/>
              </w:rPr>
              <w:drawing>
                <wp:inline distT="0" distB="0" distL="0" distR="0" wp14:anchorId="433C3D35" wp14:editId="123375E8">
                  <wp:extent cx="5731752" cy="2004646"/>
                  <wp:effectExtent l="0" t="0" r="2540" b="0"/>
                  <wp:docPr id="1315547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547730" name=""/>
                          <pic:cNvPicPr/>
                        </pic:nvPicPr>
                        <pic:blipFill>
                          <a:blip r:embed="rId34"/>
                          <a:stretch>
                            <a:fillRect/>
                          </a:stretch>
                        </pic:blipFill>
                        <pic:spPr>
                          <a:xfrm>
                            <a:off x="0" y="0"/>
                            <a:ext cx="5747631" cy="2010200"/>
                          </a:xfrm>
                          <a:prstGeom prst="rect">
                            <a:avLst/>
                          </a:prstGeom>
                        </pic:spPr>
                      </pic:pic>
                    </a:graphicData>
                  </a:graphic>
                </wp:inline>
              </w:drawing>
            </w:r>
          </w:p>
        </w:tc>
      </w:tr>
      <w:tr w:rsidR="00C15993" w:rsidRPr="00386BB6" w14:paraId="2A220DDC" w14:textId="77777777" w:rsidTr="00611803">
        <w:tc>
          <w:tcPr>
            <w:tcW w:w="10060" w:type="dxa"/>
          </w:tcPr>
          <w:p w14:paraId="1CBF5DE3" w14:textId="5C27A2B1" w:rsidR="00C15993" w:rsidRPr="00386BB6" w:rsidRDefault="00521284" w:rsidP="00611803">
            <w:pPr>
              <w:pStyle w:val="EndNoteBibliography"/>
              <w:tabs>
                <w:tab w:val="left" w:pos="993"/>
              </w:tabs>
              <w:jc w:val="both"/>
              <w:rPr>
                <w:rFonts w:asciiTheme="minorHAnsi" w:hAnsiTheme="minorHAnsi" w:cstheme="minorHAnsi"/>
                <w:sz w:val="18"/>
                <w:szCs w:val="18"/>
              </w:rPr>
            </w:pPr>
            <w:r>
              <w:rPr>
                <w:rFonts w:asciiTheme="minorHAnsi" w:hAnsiTheme="minorHAnsi" w:cstheme="minorHAnsi"/>
                <w:sz w:val="18"/>
                <w:szCs w:val="18"/>
                <w:lang w:val="en-GB"/>
              </w:rPr>
              <w:t>A</w:t>
            </w:r>
            <w:r w:rsidR="00C15993" w:rsidRPr="00386BB6">
              <w:rPr>
                <w:rFonts w:asciiTheme="minorHAnsi" w:hAnsiTheme="minorHAnsi" w:cstheme="minorHAnsi"/>
                <w:sz w:val="18"/>
                <w:szCs w:val="18"/>
              </w:rPr>
              <w:t xml:space="preserve">  - The forest plot shows the risk ratios (RRs) and 95% credible interval (CrI) compared with placebo as reference treatment. RRs larger than 1 indicate favoured results for the intervention.</w:t>
            </w:r>
          </w:p>
          <w:p w14:paraId="74819445" w14:textId="4D46F505" w:rsidR="00C15993" w:rsidRPr="00386BB6" w:rsidRDefault="00521284" w:rsidP="00611803">
            <w:pPr>
              <w:keepNext/>
              <w:tabs>
                <w:tab w:val="left" w:pos="993"/>
              </w:tabs>
              <w:jc w:val="both"/>
              <w:rPr>
                <w:rFonts w:cs="Calibri"/>
                <w:noProof/>
                <w:lang w:val="en-US"/>
              </w:rPr>
            </w:pPr>
            <w:r>
              <w:rPr>
                <w:rFonts w:cstheme="minorHAnsi"/>
                <w:sz w:val="18"/>
                <w:szCs w:val="18"/>
              </w:rPr>
              <w:t>B</w:t>
            </w:r>
            <w:r w:rsidR="00C15993" w:rsidRPr="00386BB6">
              <w:rPr>
                <w:rFonts w:cstheme="minorHAnsi"/>
                <w:sz w:val="18"/>
                <w:szCs w:val="18"/>
              </w:rPr>
              <w:t xml:space="preserve"> - </w:t>
            </w:r>
            <w:r w:rsidR="00171031">
              <w:rPr>
                <w:rFonts w:cstheme="minorHAnsi"/>
                <w:sz w:val="18"/>
                <w:szCs w:val="18"/>
              </w:rPr>
              <w:t>T</w:t>
            </w:r>
            <w:r w:rsidR="00C15993" w:rsidRPr="00386BB6">
              <w:rPr>
                <w:rFonts w:cstheme="minorHAnsi"/>
                <w:sz w:val="18"/>
                <w:szCs w:val="18"/>
              </w:rPr>
              <w:t>he SUCRA values for each treatment</w:t>
            </w:r>
            <w:r w:rsidR="00171031">
              <w:rPr>
                <w:rFonts w:cstheme="minorHAnsi"/>
                <w:sz w:val="18"/>
                <w:szCs w:val="18"/>
              </w:rPr>
              <w:t>.</w:t>
            </w:r>
          </w:p>
        </w:tc>
      </w:tr>
    </w:tbl>
    <w:bookmarkEnd w:id="53"/>
    <w:p w14:paraId="777A6EE2" w14:textId="3F7EBAE8" w:rsidR="00C15993" w:rsidRDefault="00C15993" w:rsidP="00C15993">
      <w:pPr>
        <w:pStyle w:val="Caption"/>
      </w:pPr>
      <w:r w:rsidRPr="00386BB6">
        <w:t xml:space="preserve">Figure </w:t>
      </w:r>
      <w:r w:rsidR="004402EC">
        <w:t>18</w:t>
      </w:r>
      <w:r w:rsidRPr="00386BB6">
        <w:t>: Summary of 50% or more reduction in migraine days</w:t>
      </w:r>
    </w:p>
    <w:p w14:paraId="00BD6C59" w14:textId="77777777" w:rsidR="00C15993" w:rsidRDefault="00C15993" w:rsidP="00D05FF5">
      <w:pPr>
        <w:spacing w:line="240" w:lineRule="auto"/>
        <w:jc w:val="both"/>
        <w:rPr>
          <w:rFonts w:cstheme="minorHAnsi"/>
          <w:noProof/>
          <w:sz w:val="18"/>
          <w:szCs w:val="18"/>
        </w:rPr>
      </w:pPr>
    </w:p>
    <w:p w14:paraId="7DF235FF" w14:textId="7BD526C0" w:rsidR="00C15993" w:rsidRDefault="00C15993" w:rsidP="00C15993">
      <w:pPr>
        <w:pStyle w:val="Caption"/>
        <w:keepNext/>
      </w:pPr>
      <w:r>
        <w:lastRenderedPageBreak/>
        <w:t xml:space="preserve">Table </w:t>
      </w:r>
      <w:r w:rsidR="004402EC">
        <w:t>1</w:t>
      </w:r>
      <w:r>
        <w:t xml:space="preserve">9: </w:t>
      </w:r>
      <w:r w:rsidRPr="000C6D93">
        <w:t xml:space="preserve">The model fit result for </w:t>
      </w:r>
      <w:r>
        <w:t>50% or more reduction in migraine days</w:t>
      </w:r>
    </w:p>
    <w:tbl>
      <w:tblPr>
        <w:tblStyle w:val="TableGrid"/>
        <w:tblW w:w="0" w:type="auto"/>
        <w:tblInd w:w="5" w:type="dxa"/>
        <w:tblLook w:val="04A0" w:firstRow="1" w:lastRow="0" w:firstColumn="1" w:lastColumn="0" w:noHBand="0" w:noVBand="1"/>
      </w:tblPr>
      <w:tblGrid>
        <w:gridCol w:w="1691"/>
        <w:gridCol w:w="3261"/>
        <w:gridCol w:w="1807"/>
        <w:gridCol w:w="2253"/>
      </w:tblGrid>
      <w:tr w:rsidR="00C15993" w14:paraId="368803D0" w14:textId="77777777" w:rsidTr="00611803">
        <w:trPr>
          <w:trHeight w:val="366"/>
        </w:trPr>
        <w:tc>
          <w:tcPr>
            <w:tcW w:w="1691" w:type="dxa"/>
            <w:tcBorders>
              <w:top w:val="single" w:sz="4" w:space="0" w:color="auto"/>
              <w:left w:val="single" w:sz="4" w:space="0" w:color="auto"/>
            </w:tcBorders>
          </w:tcPr>
          <w:p w14:paraId="500E6329" w14:textId="77777777" w:rsidR="00C15993" w:rsidRPr="00253340" w:rsidRDefault="00C15993" w:rsidP="00611803">
            <w:pPr>
              <w:tabs>
                <w:tab w:val="left" w:pos="1020"/>
              </w:tabs>
              <w:rPr>
                <w:sz w:val="20"/>
                <w:szCs w:val="20"/>
              </w:rPr>
            </w:pPr>
          </w:p>
        </w:tc>
        <w:tc>
          <w:tcPr>
            <w:tcW w:w="3261" w:type="dxa"/>
          </w:tcPr>
          <w:p w14:paraId="52FEF416" w14:textId="77777777" w:rsidR="00C15993" w:rsidRPr="00AF507B" w:rsidRDefault="00C15993" w:rsidP="00611803">
            <w:pPr>
              <w:tabs>
                <w:tab w:val="left" w:pos="1020"/>
              </w:tabs>
              <w:jc w:val="center"/>
              <w:rPr>
                <w:b/>
                <w:bCs/>
                <w:sz w:val="20"/>
                <w:szCs w:val="20"/>
              </w:rPr>
            </w:pPr>
            <w:r w:rsidRPr="00AF507B">
              <w:rPr>
                <w:b/>
                <w:bCs/>
                <w:sz w:val="20"/>
                <w:szCs w:val="20"/>
              </w:rPr>
              <w:t>Residual deviance (</w:t>
            </w:r>
            <w:r>
              <w:rPr>
                <w:b/>
                <w:bCs/>
                <w:sz w:val="20"/>
                <w:szCs w:val="20"/>
              </w:rPr>
              <w:t>19</w:t>
            </w:r>
            <w:r w:rsidRPr="00AF507B">
              <w:rPr>
                <w:b/>
                <w:bCs/>
                <w:sz w:val="20"/>
                <w:szCs w:val="20"/>
              </w:rPr>
              <w:t xml:space="preserve"> data points)</w:t>
            </w:r>
          </w:p>
        </w:tc>
        <w:tc>
          <w:tcPr>
            <w:tcW w:w="1807" w:type="dxa"/>
          </w:tcPr>
          <w:p w14:paraId="19E6C1D1" w14:textId="77777777" w:rsidR="00C15993" w:rsidRPr="00AF507B" w:rsidRDefault="00C15993" w:rsidP="00611803">
            <w:pPr>
              <w:tabs>
                <w:tab w:val="left" w:pos="1020"/>
              </w:tabs>
              <w:jc w:val="center"/>
              <w:rPr>
                <w:b/>
                <w:bCs/>
                <w:sz w:val="20"/>
                <w:szCs w:val="20"/>
              </w:rPr>
            </w:pPr>
            <w:r w:rsidRPr="00AF507B">
              <w:rPr>
                <w:b/>
                <w:bCs/>
                <w:sz w:val="20"/>
                <w:szCs w:val="20"/>
              </w:rPr>
              <w:t>pD*</w:t>
            </w:r>
          </w:p>
        </w:tc>
        <w:tc>
          <w:tcPr>
            <w:tcW w:w="2253" w:type="dxa"/>
          </w:tcPr>
          <w:p w14:paraId="44A62FE3" w14:textId="77777777" w:rsidR="00C15993" w:rsidRPr="00AF507B" w:rsidRDefault="00C15993" w:rsidP="00611803">
            <w:pPr>
              <w:tabs>
                <w:tab w:val="left" w:pos="1020"/>
              </w:tabs>
              <w:jc w:val="center"/>
              <w:rPr>
                <w:b/>
                <w:bCs/>
                <w:sz w:val="20"/>
                <w:szCs w:val="20"/>
              </w:rPr>
            </w:pPr>
            <w:r w:rsidRPr="00AF507B">
              <w:rPr>
                <w:b/>
                <w:bCs/>
                <w:sz w:val="20"/>
                <w:szCs w:val="20"/>
              </w:rPr>
              <w:t>DIC**</w:t>
            </w:r>
          </w:p>
        </w:tc>
      </w:tr>
      <w:tr w:rsidR="00C15993" w14:paraId="5A1D0FFA" w14:textId="77777777" w:rsidTr="00611803">
        <w:trPr>
          <w:trHeight w:val="411"/>
        </w:trPr>
        <w:tc>
          <w:tcPr>
            <w:tcW w:w="1691" w:type="dxa"/>
          </w:tcPr>
          <w:p w14:paraId="1B070F11" w14:textId="77777777" w:rsidR="00C15993" w:rsidRPr="00253340" w:rsidRDefault="00C15993" w:rsidP="00611803">
            <w:pPr>
              <w:tabs>
                <w:tab w:val="left" w:pos="1020"/>
              </w:tabs>
              <w:rPr>
                <w:sz w:val="20"/>
                <w:szCs w:val="20"/>
              </w:rPr>
            </w:pPr>
            <w:r w:rsidRPr="00253340">
              <w:rPr>
                <w:sz w:val="20"/>
                <w:szCs w:val="20"/>
              </w:rPr>
              <w:t>Fixed model</w:t>
            </w:r>
          </w:p>
        </w:tc>
        <w:tc>
          <w:tcPr>
            <w:tcW w:w="3261" w:type="dxa"/>
          </w:tcPr>
          <w:p w14:paraId="78D9C41B" w14:textId="1D006B87" w:rsidR="00C15993" w:rsidRPr="00253340" w:rsidRDefault="00696F80" w:rsidP="00611803">
            <w:pPr>
              <w:tabs>
                <w:tab w:val="left" w:pos="1020"/>
              </w:tabs>
              <w:jc w:val="center"/>
              <w:rPr>
                <w:sz w:val="20"/>
                <w:szCs w:val="20"/>
              </w:rPr>
            </w:pPr>
            <w:r>
              <w:rPr>
                <w:sz w:val="20"/>
                <w:szCs w:val="20"/>
              </w:rPr>
              <w:t>18.1</w:t>
            </w:r>
          </w:p>
        </w:tc>
        <w:tc>
          <w:tcPr>
            <w:tcW w:w="1807" w:type="dxa"/>
          </w:tcPr>
          <w:p w14:paraId="55454435" w14:textId="7716D450" w:rsidR="00C15993" w:rsidRPr="00253340" w:rsidRDefault="00696F80" w:rsidP="00611803">
            <w:pPr>
              <w:tabs>
                <w:tab w:val="left" w:pos="1020"/>
              </w:tabs>
              <w:jc w:val="center"/>
              <w:rPr>
                <w:sz w:val="20"/>
                <w:szCs w:val="20"/>
              </w:rPr>
            </w:pPr>
            <w:r>
              <w:rPr>
                <w:sz w:val="20"/>
                <w:szCs w:val="20"/>
              </w:rPr>
              <w:t>14</w:t>
            </w:r>
          </w:p>
        </w:tc>
        <w:tc>
          <w:tcPr>
            <w:tcW w:w="2253" w:type="dxa"/>
          </w:tcPr>
          <w:p w14:paraId="5D567D98" w14:textId="77777777" w:rsidR="00C15993" w:rsidRPr="00253340" w:rsidRDefault="00C15993" w:rsidP="00611803">
            <w:pPr>
              <w:tabs>
                <w:tab w:val="left" w:pos="1020"/>
              </w:tabs>
              <w:jc w:val="center"/>
              <w:rPr>
                <w:sz w:val="20"/>
                <w:szCs w:val="20"/>
              </w:rPr>
            </w:pPr>
            <w:r>
              <w:rPr>
                <w:sz w:val="20"/>
                <w:szCs w:val="20"/>
              </w:rPr>
              <w:t>32.1</w:t>
            </w:r>
          </w:p>
        </w:tc>
      </w:tr>
      <w:tr w:rsidR="00C15993" w14:paraId="1A61EE81" w14:textId="77777777" w:rsidTr="00611803">
        <w:trPr>
          <w:trHeight w:val="404"/>
        </w:trPr>
        <w:tc>
          <w:tcPr>
            <w:tcW w:w="1691" w:type="dxa"/>
          </w:tcPr>
          <w:p w14:paraId="27FAC8E8" w14:textId="77777777" w:rsidR="00C15993" w:rsidRPr="00253340" w:rsidRDefault="00C15993" w:rsidP="00611803">
            <w:pPr>
              <w:tabs>
                <w:tab w:val="left" w:pos="1020"/>
              </w:tabs>
              <w:rPr>
                <w:sz w:val="20"/>
                <w:szCs w:val="20"/>
              </w:rPr>
            </w:pPr>
            <w:r w:rsidRPr="00253340">
              <w:rPr>
                <w:sz w:val="20"/>
                <w:szCs w:val="20"/>
              </w:rPr>
              <w:t>Random model</w:t>
            </w:r>
          </w:p>
        </w:tc>
        <w:tc>
          <w:tcPr>
            <w:tcW w:w="3261" w:type="dxa"/>
          </w:tcPr>
          <w:p w14:paraId="5AFA3303" w14:textId="5BFE1F29" w:rsidR="00C15993" w:rsidRPr="00253340" w:rsidRDefault="00C15993" w:rsidP="00611803">
            <w:pPr>
              <w:tabs>
                <w:tab w:val="left" w:pos="1020"/>
              </w:tabs>
              <w:jc w:val="center"/>
              <w:rPr>
                <w:sz w:val="20"/>
                <w:szCs w:val="20"/>
              </w:rPr>
            </w:pPr>
            <w:r>
              <w:rPr>
                <w:sz w:val="20"/>
                <w:szCs w:val="20"/>
              </w:rPr>
              <w:t>17.</w:t>
            </w:r>
            <w:r w:rsidR="00696F80">
              <w:rPr>
                <w:sz w:val="20"/>
                <w:szCs w:val="20"/>
              </w:rPr>
              <w:t>9</w:t>
            </w:r>
          </w:p>
        </w:tc>
        <w:tc>
          <w:tcPr>
            <w:tcW w:w="1807" w:type="dxa"/>
          </w:tcPr>
          <w:p w14:paraId="4B83E5E9" w14:textId="51949628" w:rsidR="00C15993" w:rsidRPr="00253340" w:rsidRDefault="00696F80" w:rsidP="00611803">
            <w:pPr>
              <w:tabs>
                <w:tab w:val="left" w:pos="1020"/>
              </w:tabs>
              <w:jc w:val="center"/>
              <w:rPr>
                <w:sz w:val="20"/>
                <w:szCs w:val="20"/>
              </w:rPr>
            </w:pPr>
            <w:r>
              <w:rPr>
                <w:sz w:val="20"/>
                <w:szCs w:val="20"/>
              </w:rPr>
              <w:t>14.6</w:t>
            </w:r>
          </w:p>
        </w:tc>
        <w:tc>
          <w:tcPr>
            <w:tcW w:w="2253" w:type="dxa"/>
          </w:tcPr>
          <w:p w14:paraId="1E180419" w14:textId="074B37E1" w:rsidR="00C15993" w:rsidRPr="00253340" w:rsidRDefault="00696F80" w:rsidP="00611803">
            <w:pPr>
              <w:tabs>
                <w:tab w:val="left" w:pos="1020"/>
              </w:tabs>
              <w:jc w:val="center"/>
              <w:rPr>
                <w:sz w:val="20"/>
                <w:szCs w:val="20"/>
              </w:rPr>
            </w:pPr>
            <w:r>
              <w:rPr>
                <w:sz w:val="20"/>
                <w:szCs w:val="20"/>
              </w:rPr>
              <w:t>32.6</w:t>
            </w:r>
          </w:p>
        </w:tc>
      </w:tr>
    </w:tbl>
    <w:p w14:paraId="3A077FEA" w14:textId="77777777" w:rsidR="00C15993" w:rsidRPr="00253340" w:rsidRDefault="00C15993" w:rsidP="00C15993">
      <w:pPr>
        <w:pStyle w:val="EndNoteBibliography"/>
        <w:rPr>
          <w:rFonts w:asciiTheme="minorHAnsi" w:hAnsiTheme="minorHAnsi" w:cstheme="minorHAnsi"/>
          <w:noProof w:val="0"/>
          <w:sz w:val="18"/>
          <w:szCs w:val="18"/>
          <w:lang w:val="en-GB" w:eastAsia="en-GB"/>
        </w:rPr>
      </w:pPr>
      <w:r w:rsidRPr="00253340">
        <w:rPr>
          <w:rFonts w:asciiTheme="majorBidi" w:hAnsiTheme="majorBidi" w:cstheme="majorBidi"/>
          <w:sz w:val="20"/>
          <w:szCs w:val="20"/>
        </w:rPr>
        <w:t>*</w:t>
      </w:r>
      <w:r w:rsidRPr="00253340">
        <w:rPr>
          <w:rFonts w:asciiTheme="minorHAnsi" w:hAnsiTheme="minorHAnsi" w:cstheme="minorHAnsi"/>
          <w:noProof w:val="0"/>
          <w:sz w:val="18"/>
          <w:szCs w:val="18"/>
          <w:lang w:val="en-GB" w:eastAsia="en-GB"/>
        </w:rPr>
        <w:t>pD: sum of leverage, also known as the effective number of parameters</w:t>
      </w:r>
      <w:r>
        <w:rPr>
          <w:rFonts w:asciiTheme="minorHAnsi" w:hAnsiTheme="minorHAnsi" w:cstheme="minorHAnsi"/>
          <w:noProof w:val="0"/>
          <w:sz w:val="18"/>
          <w:szCs w:val="18"/>
          <w:lang w:val="en-GB" w:eastAsia="en-GB"/>
        </w:rPr>
        <w:t xml:space="preserve"> and shows the model complexity.</w:t>
      </w:r>
    </w:p>
    <w:p w14:paraId="4CC2FE90" w14:textId="77777777" w:rsidR="00C15993" w:rsidRPr="00253340" w:rsidRDefault="00C15993" w:rsidP="00C15993">
      <w:pPr>
        <w:spacing w:line="240" w:lineRule="auto"/>
        <w:rPr>
          <w:rFonts w:cstheme="minorHAnsi"/>
          <w:sz w:val="18"/>
          <w:szCs w:val="18"/>
          <w:lang w:eastAsia="en-GB"/>
        </w:rPr>
      </w:pPr>
      <w:r w:rsidRPr="00253340">
        <w:rPr>
          <w:rFonts w:cstheme="minorHAnsi"/>
          <w:sz w:val="18"/>
          <w:szCs w:val="18"/>
          <w:lang w:eastAsia="en-GB"/>
        </w:rPr>
        <w:t>**DIC: Deviance Information Criteria</w:t>
      </w:r>
      <w:r>
        <w:rPr>
          <w:rFonts w:cstheme="minorHAnsi"/>
          <w:sz w:val="18"/>
          <w:szCs w:val="18"/>
          <w:lang w:eastAsia="en-GB"/>
        </w:rPr>
        <w:t xml:space="preserve"> (</w:t>
      </w:r>
      <w:r w:rsidRPr="00253340">
        <w:rPr>
          <w:rFonts w:cstheme="minorHAnsi"/>
          <w:sz w:val="18"/>
          <w:szCs w:val="18"/>
          <w:lang w:eastAsia="en-GB"/>
        </w:rPr>
        <w:t>DIC</w:t>
      </w:r>
      <w:r>
        <w:rPr>
          <w:rFonts w:cstheme="minorHAnsi"/>
          <w:sz w:val="18"/>
          <w:szCs w:val="18"/>
          <w:lang w:eastAsia="en-GB"/>
        </w:rPr>
        <w:t>)</w:t>
      </w:r>
      <w:r w:rsidRPr="00253340">
        <w:rPr>
          <w:rFonts w:cstheme="minorHAnsi"/>
          <w:sz w:val="18"/>
          <w:szCs w:val="18"/>
          <w:lang w:eastAsia="en-GB"/>
        </w:rPr>
        <w:t xml:space="preserve"> provides a measure of goodness of model fit that penalises model complexity</w:t>
      </w:r>
      <w:r>
        <w:rPr>
          <w:rFonts w:cstheme="minorHAnsi"/>
          <w:sz w:val="18"/>
          <w:szCs w:val="18"/>
          <w:lang w:eastAsia="en-GB"/>
        </w:rPr>
        <w:t xml:space="preserve">, the lower is more fitted. More than three difference is meaningful. </w:t>
      </w:r>
    </w:p>
    <w:p w14:paraId="6FACA9E2" w14:textId="1E7D83F5" w:rsidR="00C15993" w:rsidRDefault="00C15993" w:rsidP="00C15993">
      <w:pPr>
        <w:pStyle w:val="Caption"/>
        <w:keepNext/>
      </w:pPr>
      <w:r>
        <w:t xml:space="preserve">Table </w:t>
      </w:r>
      <w:r w:rsidR="004402EC">
        <w:t>2</w:t>
      </w:r>
      <w:r>
        <w:t xml:space="preserve">0: </w:t>
      </w:r>
      <w:r w:rsidRPr="00875C0E">
        <w:t xml:space="preserve">Comparing fit of NMA and UME models for </w:t>
      </w:r>
      <w:r>
        <w:t>50% or more reduction in migraine days</w:t>
      </w:r>
    </w:p>
    <w:tbl>
      <w:tblPr>
        <w:tblW w:w="3606" w:type="pct"/>
        <w:tblLook w:val="04A0" w:firstRow="1" w:lastRow="0" w:firstColumn="1" w:lastColumn="0" w:noHBand="0" w:noVBand="1"/>
      </w:tblPr>
      <w:tblGrid>
        <w:gridCol w:w="2315"/>
        <w:gridCol w:w="3002"/>
        <w:gridCol w:w="571"/>
        <w:gridCol w:w="817"/>
      </w:tblGrid>
      <w:tr w:rsidR="00C15993" w:rsidRPr="00E05677" w14:paraId="329FE335" w14:textId="77777777" w:rsidTr="00611803">
        <w:trPr>
          <w:trHeight w:val="290"/>
        </w:trPr>
        <w:tc>
          <w:tcPr>
            <w:tcW w:w="2113" w:type="pct"/>
            <w:tcBorders>
              <w:top w:val="nil"/>
              <w:left w:val="nil"/>
              <w:bottom w:val="nil"/>
              <w:right w:val="nil"/>
            </w:tcBorders>
            <w:shd w:val="clear" w:color="auto" w:fill="FFFFFF" w:themeFill="background1"/>
            <w:noWrap/>
            <w:vAlign w:val="bottom"/>
            <w:hideMark/>
          </w:tcPr>
          <w:p w14:paraId="4DFE3F8F" w14:textId="77777777" w:rsidR="00C15993" w:rsidRPr="00253340" w:rsidRDefault="00C15993" w:rsidP="00611803">
            <w:pPr>
              <w:spacing w:line="240" w:lineRule="auto"/>
              <w:jc w:val="center"/>
              <w:rPr>
                <w:rFonts w:eastAsia="Times New Roman" w:cs="Calibri"/>
                <w:color w:val="000000"/>
                <w:sz w:val="20"/>
                <w:szCs w:val="20"/>
                <w:lang w:eastAsia="en-GB"/>
              </w:rPr>
            </w:pPr>
          </w:p>
        </w:tc>
        <w:tc>
          <w:tcPr>
            <w:tcW w:w="133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D91F8D" w14:textId="77777777" w:rsidR="00C15993" w:rsidRPr="00253340" w:rsidRDefault="00C15993" w:rsidP="00611803">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Residual deviance (</w:t>
            </w:r>
            <w:r>
              <w:rPr>
                <w:rFonts w:eastAsia="Times New Roman" w:cs="Calibri"/>
                <w:color w:val="000000"/>
                <w:sz w:val="20"/>
                <w:szCs w:val="20"/>
                <w:lang w:eastAsia="en-GB"/>
              </w:rPr>
              <w:t>19</w:t>
            </w:r>
            <w:r w:rsidRPr="00253340">
              <w:rPr>
                <w:rFonts w:eastAsia="Times New Roman" w:cs="Calibri"/>
                <w:color w:val="000000"/>
                <w:sz w:val="20"/>
                <w:szCs w:val="20"/>
                <w:lang w:eastAsia="en-GB"/>
              </w:rPr>
              <w:t xml:space="preserve"> data points)</w:t>
            </w:r>
          </w:p>
        </w:tc>
        <w:tc>
          <w:tcPr>
            <w:tcW w:w="845" w:type="pct"/>
            <w:tcBorders>
              <w:top w:val="single" w:sz="4" w:space="0" w:color="auto"/>
              <w:left w:val="nil"/>
              <w:bottom w:val="single" w:sz="4" w:space="0" w:color="auto"/>
              <w:right w:val="single" w:sz="4" w:space="0" w:color="auto"/>
            </w:tcBorders>
            <w:shd w:val="clear" w:color="auto" w:fill="FFFFFF" w:themeFill="background1"/>
            <w:noWrap/>
            <w:vAlign w:val="bottom"/>
            <w:hideMark/>
          </w:tcPr>
          <w:p w14:paraId="7D9C2C73" w14:textId="77777777" w:rsidR="00C15993" w:rsidRPr="00253340" w:rsidRDefault="00C15993" w:rsidP="00611803">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pD*</w:t>
            </w:r>
          </w:p>
        </w:tc>
        <w:tc>
          <w:tcPr>
            <w:tcW w:w="704" w:type="pct"/>
            <w:tcBorders>
              <w:top w:val="single" w:sz="4" w:space="0" w:color="auto"/>
              <w:left w:val="nil"/>
              <w:bottom w:val="single" w:sz="4" w:space="0" w:color="auto"/>
              <w:right w:val="single" w:sz="4" w:space="0" w:color="auto"/>
            </w:tcBorders>
            <w:shd w:val="clear" w:color="auto" w:fill="FFFFFF" w:themeFill="background1"/>
            <w:vAlign w:val="bottom"/>
            <w:hideMark/>
          </w:tcPr>
          <w:p w14:paraId="6B623BE0" w14:textId="77777777" w:rsidR="00C15993" w:rsidRPr="00253340" w:rsidRDefault="00C15993" w:rsidP="00611803">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(DIC)**</w:t>
            </w:r>
          </w:p>
        </w:tc>
      </w:tr>
      <w:tr w:rsidR="00C15993" w:rsidRPr="00E05677" w14:paraId="5E8B9210" w14:textId="77777777" w:rsidTr="00611803">
        <w:trPr>
          <w:trHeight w:val="223"/>
        </w:trPr>
        <w:tc>
          <w:tcPr>
            <w:tcW w:w="21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DC3235" w14:textId="77777777" w:rsidR="00C15993" w:rsidRPr="00253340" w:rsidRDefault="00C15993" w:rsidP="00611803">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NMA (consistency) Model</w:t>
            </w:r>
          </w:p>
        </w:tc>
        <w:tc>
          <w:tcPr>
            <w:tcW w:w="1338" w:type="pct"/>
            <w:tcBorders>
              <w:top w:val="nil"/>
              <w:left w:val="nil"/>
              <w:bottom w:val="single" w:sz="4" w:space="0" w:color="auto"/>
              <w:right w:val="single" w:sz="4" w:space="0" w:color="auto"/>
            </w:tcBorders>
            <w:shd w:val="clear" w:color="auto" w:fill="FFFFFF" w:themeFill="background1"/>
            <w:noWrap/>
            <w:vAlign w:val="bottom"/>
            <w:hideMark/>
          </w:tcPr>
          <w:p w14:paraId="2C7EFFCF" w14:textId="7117C164" w:rsidR="00C15993" w:rsidRPr="00253340" w:rsidRDefault="00371B38"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18.1</w:t>
            </w:r>
          </w:p>
        </w:tc>
        <w:tc>
          <w:tcPr>
            <w:tcW w:w="845" w:type="pct"/>
            <w:tcBorders>
              <w:top w:val="nil"/>
              <w:left w:val="nil"/>
              <w:bottom w:val="single" w:sz="4" w:space="0" w:color="auto"/>
              <w:right w:val="single" w:sz="4" w:space="0" w:color="auto"/>
            </w:tcBorders>
            <w:shd w:val="clear" w:color="auto" w:fill="FFFFFF" w:themeFill="background1"/>
            <w:noWrap/>
            <w:vAlign w:val="bottom"/>
            <w:hideMark/>
          </w:tcPr>
          <w:p w14:paraId="1F2878E6" w14:textId="17A6E150" w:rsidR="00C15993" w:rsidRPr="00253340" w:rsidRDefault="00371B38" w:rsidP="00371B38">
            <w:pPr>
              <w:spacing w:line="240" w:lineRule="auto"/>
              <w:rPr>
                <w:rFonts w:eastAsia="Times New Roman" w:cs="Calibri"/>
                <w:color w:val="000000"/>
                <w:sz w:val="20"/>
                <w:szCs w:val="20"/>
                <w:lang w:eastAsia="en-GB"/>
              </w:rPr>
            </w:pPr>
            <w:r>
              <w:rPr>
                <w:rFonts w:eastAsia="Times New Roman" w:cs="Calibri"/>
                <w:color w:val="000000"/>
                <w:sz w:val="20"/>
                <w:szCs w:val="20"/>
                <w:lang w:eastAsia="en-GB"/>
              </w:rPr>
              <w:t>14</w:t>
            </w:r>
          </w:p>
        </w:tc>
        <w:tc>
          <w:tcPr>
            <w:tcW w:w="704" w:type="pct"/>
            <w:tcBorders>
              <w:top w:val="nil"/>
              <w:left w:val="nil"/>
              <w:bottom w:val="single" w:sz="4" w:space="0" w:color="auto"/>
              <w:right w:val="single" w:sz="4" w:space="0" w:color="auto"/>
            </w:tcBorders>
            <w:shd w:val="clear" w:color="auto" w:fill="FFFFFF" w:themeFill="background1"/>
            <w:noWrap/>
            <w:vAlign w:val="bottom"/>
            <w:hideMark/>
          </w:tcPr>
          <w:p w14:paraId="6EB2DB14" w14:textId="77777777" w:rsidR="00C15993" w:rsidRPr="00253340" w:rsidRDefault="00C15993"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32.1</w:t>
            </w:r>
          </w:p>
        </w:tc>
      </w:tr>
      <w:tr w:rsidR="00C15993" w:rsidRPr="00E05677" w14:paraId="488C5CFA" w14:textId="77777777" w:rsidTr="00611803">
        <w:trPr>
          <w:trHeight w:val="315"/>
        </w:trPr>
        <w:tc>
          <w:tcPr>
            <w:tcW w:w="2113" w:type="pct"/>
            <w:tcBorders>
              <w:top w:val="nil"/>
              <w:left w:val="single" w:sz="4" w:space="0" w:color="auto"/>
              <w:bottom w:val="single" w:sz="4" w:space="0" w:color="auto"/>
              <w:right w:val="single" w:sz="4" w:space="0" w:color="auto"/>
            </w:tcBorders>
            <w:shd w:val="clear" w:color="auto" w:fill="FFFFFF" w:themeFill="background1"/>
            <w:vAlign w:val="center"/>
            <w:hideMark/>
          </w:tcPr>
          <w:p w14:paraId="2B6F5D22" w14:textId="77777777" w:rsidR="00C15993" w:rsidRPr="00253340" w:rsidRDefault="00C15993" w:rsidP="00611803">
            <w:pPr>
              <w:spacing w:line="240" w:lineRule="auto"/>
              <w:jc w:val="center"/>
              <w:rPr>
                <w:rFonts w:eastAsia="Times New Roman" w:cs="Calibri"/>
                <w:color w:val="000000"/>
                <w:sz w:val="20"/>
                <w:szCs w:val="20"/>
                <w:lang w:eastAsia="en-GB"/>
              </w:rPr>
            </w:pPr>
            <w:r w:rsidRPr="00253340">
              <w:rPr>
                <w:rFonts w:eastAsia="Times New Roman" w:cs="Calibri"/>
                <w:color w:val="000000"/>
                <w:sz w:val="20"/>
                <w:szCs w:val="20"/>
                <w:lang w:eastAsia="en-GB"/>
              </w:rPr>
              <w:t>Unrelated Mean Effects (Inconsistency) Model</w:t>
            </w:r>
          </w:p>
        </w:tc>
        <w:tc>
          <w:tcPr>
            <w:tcW w:w="1338" w:type="pct"/>
            <w:tcBorders>
              <w:top w:val="nil"/>
              <w:left w:val="nil"/>
              <w:bottom w:val="single" w:sz="4" w:space="0" w:color="auto"/>
              <w:right w:val="single" w:sz="4" w:space="0" w:color="auto"/>
            </w:tcBorders>
            <w:shd w:val="clear" w:color="auto" w:fill="FFFFFF" w:themeFill="background1"/>
            <w:noWrap/>
            <w:vAlign w:val="bottom"/>
            <w:hideMark/>
          </w:tcPr>
          <w:p w14:paraId="6A54BBB6" w14:textId="45E5EFF7" w:rsidR="00C15993" w:rsidRPr="00253340" w:rsidRDefault="00371B38"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18.2</w:t>
            </w:r>
          </w:p>
        </w:tc>
        <w:tc>
          <w:tcPr>
            <w:tcW w:w="845" w:type="pct"/>
            <w:tcBorders>
              <w:top w:val="nil"/>
              <w:left w:val="nil"/>
              <w:bottom w:val="single" w:sz="4" w:space="0" w:color="auto"/>
              <w:right w:val="single" w:sz="4" w:space="0" w:color="auto"/>
            </w:tcBorders>
            <w:shd w:val="clear" w:color="auto" w:fill="FFFFFF" w:themeFill="background1"/>
            <w:noWrap/>
            <w:vAlign w:val="bottom"/>
            <w:hideMark/>
          </w:tcPr>
          <w:p w14:paraId="4FB23791" w14:textId="65401050" w:rsidR="00C15993" w:rsidRPr="00253340" w:rsidRDefault="00371B38"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14.5</w:t>
            </w:r>
          </w:p>
        </w:tc>
        <w:tc>
          <w:tcPr>
            <w:tcW w:w="704" w:type="pct"/>
            <w:tcBorders>
              <w:top w:val="nil"/>
              <w:left w:val="nil"/>
              <w:bottom w:val="single" w:sz="4" w:space="0" w:color="auto"/>
              <w:right w:val="single" w:sz="4" w:space="0" w:color="auto"/>
            </w:tcBorders>
            <w:shd w:val="clear" w:color="auto" w:fill="FFFFFF" w:themeFill="background1"/>
            <w:noWrap/>
            <w:vAlign w:val="bottom"/>
            <w:hideMark/>
          </w:tcPr>
          <w:p w14:paraId="030A9896" w14:textId="77777777" w:rsidR="00C15993" w:rsidRPr="00253340" w:rsidRDefault="00C15993" w:rsidP="00611803">
            <w:pPr>
              <w:spacing w:line="240" w:lineRule="auto"/>
              <w:jc w:val="center"/>
              <w:rPr>
                <w:rFonts w:eastAsia="Times New Roman" w:cs="Calibri"/>
                <w:color w:val="000000"/>
                <w:sz w:val="20"/>
                <w:szCs w:val="20"/>
                <w:lang w:eastAsia="en-GB"/>
              </w:rPr>
            </w:pPr>
            <w:r>
              <w:rPr>
                <w:rFonts w:eastAsia="Times New Roman" w:cs="Calibri"/>
                <w:color w:val="000000"/>
                <w:sz w:val="20"/>
                <w:szCs w:val="20"/>
                <w:lang w:eastAsia="en-GB"/>
              </w:rPr>
              <w:t>32.7</w:t>
            </w:r>
          </w:p>
        </w:tc>
      </w:tr>
    </w:tbl>
    <w:p w14:paraId="4BD7BC49" w14:textId="77777777" w:rsidR="00C15993" w:rsidRPr="00CA3B38" w:rsidRDefault="00C15993" w:rsidP="00C15993">
      <w:pPr>
        <w:pStyle w:val="EndNoteBibliography"/>
        <w:rPr>
          <w:rFonts w:asciiTheme="minorHAnsi" w:hAnsiTheme="minorHAnsi" w:cstheme="minorHAnsi"/>
          <w:noProof w:val="0"/>
          <w:sz w:val="18"/>
          <w:szCs w:val="18"/>
          <w:lang w:val="en-GB" w:eastAsia="en-GB"/>
        </w:rPr>
      </w:pPr>
      <w:r w:rsidRPr="00CA3B38">
        <w:rPr>
          <w:rFonts w:asciiTheme="majorBidi" w:hAnsiTheme="majorBidi" w:cstheme="majorBidi"/>
          <w:sz w:val="20"/>
          <w:szCs w:val="20"/>
        </w:rPr>
        <w:t>*</w:t>
      </w:r>
      <w:r w:rsidRPr="00CA3B38">
        <w:rPr>
          <w:rFonts w:asciiTheme="minorHAnsi" w:hAnsiTheme="minorHAnsi" w:cstheme="minorHAnsi"/>
          <w:noProof w:val="0"/>
          <w:sz w:val="18"/>
          <w:szCs w:val="18"/>
          <w:lang w:val="en-GB" w:eastAsia="en-GB"/>
        </w:rPr>
        <w:t>pD: sum of leverage, also known as the effective number of parameters</w:t>
      </w:r>
      <w:r>
        <w:rPr>
          <w:rFonts w:asciiTheme="minorHAnsi" w:hAnsiTheme="minorHAnsi" w:cstheme="minorHAnsi"/>
          <w:noProof w:val="0"/>
          <w:sz w:val="18"/>
          <w:szCs w:val="18"/>
          <w:lang w:val="en-GB" w:eastAsia="en-GB"/>
        </w:rPr>
        <w:t xml:space="preserve"> and shows the model complexity.</w:t>
      </w:r>
    </w:p>
    <w:p w14:paraId="683A3934" w14:textId="77777777" w:rsidR="00E064E1" w:rsidRDefault="00E064E1" w:rsidP="00D05FF5">
      <w:pPr>
        <w:spacing w:line="240" w:lineRule="auto"/>
        <w:jc w:val="both"/>
        <w:rPr>
          <w:rFonts w:cstheme="minorHAnsi"/>
          <w:noProof/>
          <w:sz w:val="18"/>
          <w:szCs w:val="18"/>
        </w:rPr>
        <w:sectPr w:rsidR="00E064E1" w:rsidSect="00015F1F">
          <w:pgSz w:w="11907" w:h="16840" w:orient="landscape" w:code="9"/>
          <w:pgMar w:top="1440" w:right="1440" w:bottom="1440" w:left="1440" w:header="709" w:footer="709" w:gutter="0"/>
          <w:cols w:space="708"/>
          <w:docGrid w:linePitch="360"/>
        </w:sectPr>
      </w:pPr>
    </w:p>
    <w:p w14:paraId="2FE20D55" w14:textId="1FFFAF6E" w:rsidR="00AA79C8" w:rsidRDefault="00F36C0E" w:rsidP="00BF7C86">
      <w:pPr>
        <w:rPr>
          <w:b/>
          <w:bCs/>
        </w:rPr>
      </w:pPr>
      <w:r w:rsidRPr="004C1709">
        <w:rPr>
          <w:b/>
          <w:bCs/>
        </w:rPr>
        <w:lastRenderedPageBreak/>
        <w:t xml:space="preserve">Additional file </w:t>
      </w:r>
      <w:r>
        <w:rPr>
          <w:b/>
          <w:bCs/>
        </w:rPr>
        <w:t>2</w:t>
      </w:r>
      <w:r w:rsidRPr="004C1709">
        <w:rPr>
          <w:b/>
          <w:bCs/>
        </w:rPr>
        <w:t>:</w:t>
      </w:r>
      <w:r>
        <w:rPr>
          <w:b/>
          <w:bCs/>
        </w:rPr>
        <w:t xml:space="preserve"> </w:t>
      </w:r>
      <w:r w:rsidR="00AA79C8">
        <w:rPr>
          <w:b/>
          <w:bCs/>
        </w:rPr>
        <w:t>Appendix 6</w:t>
      </w:r>
      <w:r>
        <w:rPr>
          <w:b/>
          <w:bCs/>
        </w:rPr>
        <w:t>.</w:t>
      </w:r>
      <w:r w:rsidR="00AA79C8">
        <w:rPr>
          <w:b/>
          <w:bCs/>
        </w:rPr>
        <w:t xml:space="preserve"> </w:t>
      </w:r>
      <w:r w:rsidR="00AA79C8" w:rsidRPr="00AA79C8">
        <w:rPr>
          <w:b/>
          <w:bCs/>
        </w:rPr>
        <w:t>Risk of bias assessment result</w:t>
      </w:r>
    </w:p>
    <w:tbl>
      <w:tblPr>
        <w:tblStyle w:val="TableGrid"/>
        <w:tblW w:w="0" w:type="auto"/>
        <w:tblLook w:val="04A0" w:firstRow="1" w:lastRow="0" w:firstColumn="1" w:lastColumn="0" w:noHBand="0" w:noVBand="1"/>
      </w:tblPr>
      <w:tblGrid>
        <w:gridCol w:w="9242"/>
      </w:tblGrid>
      <w:tr w:rsidR="00AA79C8" w:rsidRPr="003E7E0D" w14:paraId="79EF2826" w14:textId="77777777" w:rsidTr="00233CA1">
        <w:tc>
          <w:tcPr>
            <w:tcW w:w="9016" w:type="dxa"/>
          </w:tcPr>
          <w:p w14:paraId="66A59918" w14:textId="0413887F" w:rsidR="00AA79C8" w:rsidRPr="003E7E0D" w:rsidRDefault="00DE7B44" w:rsidP="00233CA1">
            <w:pPr>
              <w:spacing w:line="360" w:lineRule="auto"/>
              <w:jc w:val="both"/>
              <w:rPr>
                <w:rFonts w:cstheme="minorHAnsi"/>
              </w:rPr>
            </w:pPr>
            <w:r>
              <w:rPr>
                <w:noProof/>
                <w:lang w:val="en-US"/>
              </w:rPr>
              <w:drawing>
                <wp:inline distT="0" distB="0" distL="0" distR="0" wp14:anchorId="7C683538" wp14:editId="53B92344">
                  <wp:extent cx="5731510" cy="1899138"/>
                  <wp:effectExtent l="0" t="0" r="2540" b="6350"/>
                  <wp:docPr id="1560359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359173" name=""/>
                          <pic:cNvPicPr/>
                        </pic:nvPicPr>
                        <pic:blipFill>
                          <a:blip r:embed="rId35"/>
                          <a:stretch>
                            <a:fillRect/>
                          </a:stretch>
                        </pic:blipFill>
                        <pic:spPr>
                          <a:xfrm>
                            <a:off x="0" y="0"/>
                            <a:ext cx="5746676" cy="1904163"/>
                          </a:xfrm>
                          <a:prstGeom prst="rect">
                            <a:avLst/>
                          </a:prstGeom>
                        </pic:spPr>
                      </pic:pic>
                    </a:graphicData>
                  </a:graphic>
                </wp:inline>
              </w:drawing>
            </w:r>
          </w:p>
        </w:tc>
      </w:tr>
      <w:tr w:rsidR="00AA79C8" w:rsidRPr="003E7E0D" w14:paraId="5B6CFDAA" w14:textId="77777777" w:rsidTr="00233CA1">
        <w:tc>
          <w:tcPr>
            <w:tcW w:w="9016" w:type="dxa"/>
          </w:tcPr>
          <w:p w14:paraId="66E4325D" w14:textId="77777777" w:rsidR="00AA79C8" w:rsidRPr="003E7E0D" w:rsidRDefault="00AA79C8" w:rsidP="00AA79C8">
            <w:pPr>
              <w:pStyle w:val="ListParagraph"/>
              <w:numPr>
                <w:ilvl w:val="0"/>
                <w:numId w:val="27"/>
              </w:numPr>
              <w:spacing w:line="360" w:lineRule="auto"/>
              <w:jc w:val="both"/>
              <w:rPr>
                <w:rFonts w:asciiTheme="minorHAnsi" w:hAnsiTheme="minorHAnsi" w:cstheme="minorHAnsi"/>
                <w:b/>
                <w:bCs/>
              </w:rPr>
            </w:pPr>
            <w:r w:rsidRPr="003E7E0D">
              <w:rPr>
                <w:rFonts w:asciiTheme="minorHAnsi" w:hAnsiTheme="minorHAnsi" w:cstheme="minorHAnsi"/>
                <w:b/>
                <w:bCs/>
              </w:rPr>
              <w:t>Summary of risk of bias assessment</w:t>
            </w:r>
          </w:p>
        </w:tc>
      </w:tr>
      <w:tr w:rsidR="00AA79C8" w:rsidRPr="003E7E0D" w14:paraId="2B7862D9" w14:textId="77777777" w:rsidTr="00233CA1">
        <w:tc>
          <w:tcPr>
            <w:tcW w:w="9016" w:type="dxa"/>
          </w:tcPr>
          <w:p w14:paraId="7F4C4177" w14:textId="57C6CB99" w:rsidR="00AA79C8" w:rsidRPr="003E7E0D" w:rsidRDefault="00DE7B44" w:rsidP="00233CA1">
            <w:pPr>
              <w:spacing w:line="360" w:lineRule="auto"/>
              <w:jc w:val="both"/>
              <w:rPr>
                <w:rFonts w:cstheme="minorHAnsi"/>
              </w:rPr>
            </w:pPr>
            <w:r>
              <w:rPr>
                <w:noProof/>
                <w:lang w:val="en-US"/>
              </w:rPr>
              <w:drawing>
                <wp:inline distT="0" distB="0" distL="0" distR="0" wp14:anchorId="007D8B25" wp14:editId="6B4FC6C2">
                  <wp:extent cx="5731510" cy="2285365"/>
                  <wp:effectExtent l="0" t="0" r="2540" b="635"/>
                  <wp:docPr id="1781918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18524" name=""/>
                          <pic:cNvPicPr/>
                        </pic:nvPicPr>
                        <pic:blipFill>
                          <a:blip r:embed="rId36"/>
                          <a:stretch>
                            <a:fillRect/>
                          </a:stretch>
                        </pic:blipFill>
                        <pic:spPr>
                          <a:xfrm>
                            <a:off x="0" y="0"/>
                            <a:ext cx="5731510" cy="2285365"/>
                          </a:xfrm>
                          <a:prstGeom prst="rect">
                            <a:avLst/>
                          </a:prstGeom>
                        </pic:spPr>
                      </pic:pic>
                    </a:graphicData>
                  </a:graphic>
                </wp:inline>
              </w:drawing>
            </w:r>
          </w:p>
        </w:tc>
      </w:tr>
      <w:tr w:rsidR="00AA79C8" w:rsidRPr="003E7E0D" w14:paraId="56802FA3" w14:textId="77777777" w:rsidTr="00233CA1">
        <w:tc>
          <w:tcPr>
            <w:tcW w:w="9016" w:type="dxa"/>
          </w:tcPr>
          <w:p w14:paraId="4474F8F9" w14:textId="77777777" w:rsidR="00AA79C8" w:rsidRPr="003E7E0D" w:rsidRDefault="00AA79C8" w:rsidP="00AA79C8">
            <w:pPr>
              <w:pStyle w:val="ListParagraph"/>
              <w:keepNext/>
              <w:numPr>
                <w:ilvl w:val="0"/>
                <w:numId w:val="27"/>
              </w:numPr>
              <w:spacing w:line="360" w:lineRule="auto"/>
              <w:jc w:val="both"/>
              <w:rPr>
                <w:rFonts w:asciiTheme="minorHAnsi" w:hAnsiTheme="minorHAnsi" w:cstheme="minorHAnsi"/>
                <w:b/>
                <w:bCs/>
              </w:rPr>
            </w:pPr>
            <w:r w:rsidRPr="003E7E0D">
              <w:rPr>
                <w:rFonts w:asciiTheme="minorHAnsi" w:hAnsiTheme="minorHAnsi" w:cstheme="minorHAnsi"/>
                <w:b/>
                <w:bCs/>
              </w:rPr>
              <w:t>Traffic lights for the risk of bias for each included study</w:t>
            </w:r>
          </w:p>
        </w:tc>
      </w:tr>
    </w:tbl>
    <w:p w14:paraId="0EB06F7D" w14:textId="3C858C96" w:rsidR="00AA79C8" w:rsidRDefault="00AA79C8" w:rsidP="00AA79C8">
      <w:pPr>
        <w:pStyle w:val="Caption"/>
      </w:pPr>
      <w:r>
        <w:t xml:space="preserve">Figure 1: </w:t>
      </w:r>
      <w:bookmarkStart w:id="54" w:name="_Hlk134576058"/>
      <w:r w:rsidRPr="00EF204D">
        <w:t>Risk of bias assessment result</w:t>
      </w:r>
      <w:bookmarkEnd w:id="54"/>
    </w:p>
    <w:p w14:paraId="051CD57B" w14:textId="77777777" w:rsidR="00AA79C8" w:rsidRDefault="00AA79C8" w:rsidP="00BF7C86">
      <w:pPr>
        <w:rPr>
          <w:b/>
          <w:bCs/>
        </w:rPr>
      </w:pPr>
    </w:p>
    <w:p w14:paraId="4B781765" w14:textId="77777777" w:rsidR="00AA79C8" w:rsidRDefault="00AA79C8" w:rsidP="00BF7C86">
      <w:pPr>
        <w:rPr>
          <w:b/>
          <w:bCs/>
        </w:rPr>
      </w:pPr>
    </w:p>
    <w:p w14:paraId="4322E6A4" w14:textId="77777777" w:rsidR="00AA79C8" w:rsidRDefault="00AA79C8" w:rsidP="00BF7C86">
      <w:pPr>
        <w:rPr>
          <w:b/>
          <w:bCs/>
        </w:rPr>
      </w:pPr>
    </w:p>
    <w:p w14:paraId="67915DBC" w14:textId="77777777" w:rsidR="00AA79C8" w:rsidRDefault="00AA79C8" w:rsidP="00BF7C86">
      <w:pPr>
        <w:rPr>
          <w:b/>
          <w:bCs/>
        </w:rPr>
      </w:pPr>
    </w:p>
    <w:p w14:paraId="176B8F16" w14:textId="77777777" w:rsidR="00AA79C8" w:rsidRDefault="00AA79C8" w:rsidP="00BF7C86">
      <w:pPr>
        <w:rPr>
          <w:b/>
          <w:bCs/>
        </w:rPr>
      </w:pPr>
    </w:p>
    <w:p w14:paraId="4D83CF1E" w14:textId="77777777" w:rsidR="00AA79C8" w:rsidRDefault="00AA79C8" w:rsidP="00BF7C86">
      <w:pPr>
        <w:rPr>
          <w:b/>
          <w:bCs/>
        </w:rPr>
      </w:pPr>
    </w:p>
    <w:p w14:paraId="221B74B8" w14:textId="77777777" w:rsidR="00AA79C8" w:rsidRDefault="00AA79C8" w:rsidP="00BF7C86">
      <w:pPr>
        <w:rPr>
          <w:b/>
          <w:bCs/>
        </w:rPr>
      </w:pPr>
    </w:p>
    <w:p w14:paraId="10330535" w14:textId="77777777" w:rsidR="00AA79C8" w:rsidRDefault="00AA79C8" w:rsidP="00BF7C86">
      <w:pPr>
        <w:rPr>
          <w:b/>
          <w:bCs/>
        </w:rPr>
      </w:pPr>
    </w:p>
    <w:p w14:paraId="213EA768" w14:textId="77777777" w:rsidR="00AA79C8" w:rsidRDefault="00AA79C8" w:rsidP="00BF7C86">
      <w:pPr>
        <w:rPr>
          <w:b/>
          <w:bCs/>
        </w:rPr>
      </w:pPr>
    </w:p>
    <w:p w14:paraId="1FB74B39" w14:textId="77777777" w:rsidR="00AA79C8" w:rsidRDefault="00AA79C8" w:rsidP="00BF7C86">
      <w:pPr>
        <w:rPr>
          <w:b/>
          <w:bCs/>
        </w:rPr>
      </w:pPr>
    </w:p>
    <w:p w14:paraId="49BAE98E" w14:textId="77777777" w:rsidR="00AA79C8" w:rsidRDefault="00AA79C8" w:rsidP="00BF7C86">
      <w:pPr>
        <w:rPr>
          <w:b/>
          <w:bCs/>
        </w:rPr>
      </w:pPr>
    </w:p>
    <w:p w14:paraId="3DB6B1B9" w14:textId="77777777" w:rsidR="00AA79C8" w:rsidRDefault="00AA79C8" w:rsidP="00BF7C86">
      <w:pPr>
        <w:rPr>
          <w:b/>
          <w:bCs/>
        </w:rPr>
      </w:pPr>
    </w:p>
    <w:p w14:paraId="44FB8F85" w14:textId="40CC2ACA" w:rsidR="00013827" w:rsidRDefault="00CC2F87" w:rsidP="00BF7C86">
      <w:pPr>
        <w:rPr>
          <w:b/>
          <w:bCs/>
        </w:rPr>
      </w:pPr>
      <w:r w:rsidRPr="004C1709">
        <w:rPr>
          <w:b/>
          <w:bCs/>
        </w:rPr>
        <w:lastRenderedPageBreak/>
        <w:t xml:space="preserve">Additional file </w:t>
      </w:r>
      <w:r>
        <w:rPr>
          <w:b/>
          <w:bCs/>
        </w:rPr>
        <w:t>2</w:t>
      </w:r>
      <w:r w:rsidRPr="004C1709">
        <w:rPr>
          <w:b/>
          <w:bCs/>
        </w:rPr>
        <w:t>:</w:t>
      </w:r>
      <w:r>
        <w:rPr>
          <w:b/>
          <w:bCs/>
        </w:rPr>
        <w:t xml:space="preserve"> </w:t>
      </w:r>
      <w:r w:rsidR="00013827" w:rsidRPr="00BF7C86">
        <w:rPr>
          <w:b/>
          <w:bCs/>
        </w:rPr>
        <w:t>Appendix</w:t>
      </w:r>
      <w:r w:rsidR="00BF7C86" w:rsidRPr="00BF7C86">
        <w:rPr>
          <w:b/>
          <w:bCs/>
        </w:rPr>
        <w:t xml:space="preserve"> </w:t>
      </w:r>
      <w:r w:rsidR="00AA79C8">
        <w:rPr>
          <w:b/>
          <w:bCs/>
        </w:rPr>
        <w:t>7</w:t>
      </w:r>
      <w:r>
        <w:rPr>
          <w:b/>
          <w:bCs/>
        </w:rPr>
        <w:t>.</w:t>
      </w:r>
      <w:bookmarkStart w:id="55" w:name="_GoBack"/>
      <w:bookmarkEnd w:id="55"/>
      <w:r w:rsidR="00013827" w:rsidRPr="00BF7C86">
        <w:rPr>
          <w:b/>
          <w:bCs/>
        </w:rPr>
        <w:t xml:space="preserve"> </w:t>
      </w:r>
      <w:r w:rsidR="00013827" w:rsidRPr="001C72BE">
        <w:rPr>
          <w:rStyle w:val="Heading1Char"/>
          <w:rFonts w:cstheme="minorHAnsi"/>
          <w:sz w:val="22"/>
          <w:szCs w:val="22"/>
        </w:rPr>
        <w:t>The Grading</w:t>
      </w:r>
      <w:r w:rsidR="00013827" w:rsidRPr="00BF7C86">
        <w:rPr>
          <w:b/>
          <w:bCs/>
        </w:rPr>
        <w:t xml:space="preserve"> of Recommendations Assessment, Development and Evaluation (GRADE) approach for rating the quality of estimates of treatment effect size</w:t>
      </w:r>
      <w:r w:rsidR="00BF7C86" w:rsidRPr="00BF7C86">
        <w:rPr>
          <w:b/>
          <w:bCs/>
        </w:rPr>
        <w:t>.</w:t>
      </w:r>
      <w:r w:rsidR="00013827" w:rsidRPr="00BF7C86">
        <w:rPr>
          <w:b/>
          <w:bCs/>
        </w:rPr>
        <w:t xml:space="preserve"> </w:t>
      </w:r>
    </w:p>
    <w:p w14:paraId="4AFC700D" w14:textId="77777777" w:rsidR="006D6B59" w:rsidRPr="00B22822" w:rsidRDefault="006D6B59" w:rsidP="006D6B59">
      <w:pPr>
        <w:pStyle w:val="ListParagraph"/>
        <w:numPr>
          <w:ilvl w:val="0"/>
          <w:numId w:val="19"/>
        </w:numPr>
        <w:spacing w:after="0" w:line="360" w:lineRule="auto"/>
        <w:ind w:left="1077" w:hanging="357"/>
        <w:rPr>
          <w:rFonts w:asciiTheme="minorHAnsi" w:hAnsiTheme="minorHAnsi" w:cstheme="minorHAnsi"/>
        </w:rPr>
      </w:pPr>
      <w:r w:rsidRPr="00B22822">
        <w:rPr>
          <w:rFonts w:asciiTheme="minorHAnsi" w:hAnsiTheme="minorHAnsi" w:cstheme="minorHAnsi"/>
          <w:b/>
          <w:bCs/>
        </w:rPr>
        <w:t>Study Limitations:</w:t>
      </w:r>
      <w:r w:rsidRPr="00B22822">
        <w:rPr>
          <w:rFonts w:asciiTheme="minorHAnsi" w:hAnsiTheme="minorHAnsi" w:cstheme="minorHAnsi"/>
        </w:rPr>
        <w:t xml:space="preserve"> Determining risk of bias; the rating was downgraded by one level when the studies with high risk of bias in at least one domain contributed to the comparisons.</w:t>
      </w:r>
    </w:p>
    <w:p w14:paraId="5163785D" w14:textId="77777777" w:rsidR="006D6B59" w:rsidRPr="00B22822" w:rsidRDefault="006D6B59" w:rsidP="006D6B59">
      <w:pPr>
        <w:pStyle w:val="ListParagraph"/>
        <w:numPr>
          <w:ilvl w:val="0"/>
          <w:numId w:val="19"/>
        </w:numPr>
        <w:spacing w:after="0" w:line="360" w:lineRule="auto"/>
        <w:ind w:left="1077" w:hanging="357"/>
        <w:rPr>
          <w:rFonts w:asciiTheme="minorHAnsi" w:hAnsiTheme="minorHAnsi" w:cstheme="minorHAnsi"/>
        </w:rPr>
      </w:pPr>
      <w:r w:rsidRPr="00B22822">
        <w:rPr>
          <w:rFonts w:asciiTheme="minorHAnsi" w:eastAsia="Times New Roman" w:hAnsiTheme="minorHAnsi" w:cstheme="minorHAnsi"/>
          <w:b/>
          <w:bCs/>
          <w:color w:val="000000"/>
          <w:lang w:eastAsia="en-GB"/>
        </w:rPr>
        <w:t>Imprecision</w:t>
      </w:r>
      <w:r w:rsidRPr="00B22822">
        <w:rPr>
          <w:rFonts w:asciiTheme="minorHAnsi" w:hAnsiTheme="minorHAnsi" w:cstheme="minorHAnsi"/>
        </w:rPr>
        <w:t>: Focusing on width of the confidence interval; the rating was downgraded by one level when the null value lies within the 95% C</w:t>
      </w:r>
      <w:r>
        <w:rPr>
          <w:rFonts w:asciiTheme="minorHAnsi" w:hAnsiTheme="minorHAnsi" w:cstheme="minorHAnsi"/>
        </w:rPr>
        <w:t>redible Interva</w:t>
      </w:r>
      <w:r w:rsidRPr="00B22822">
        <w:rPr>
          <w:rFonts w:asciiTheme="minorHAnsi" w:hAnsiTheme="minorHAnsi" w:cstheme="minorHAnsi"/>
        </w:rPr>
        <w:t>Is. The null value is zero for continuous outcomes.</w:t>
      </w:r>
    </w:p>
    <w:p w14:paraId="700D7939" w14:textId="77777777" w:rsidR="006D6B59" w:rsidRPr="00B22822" w:rsidRDefault="006D6B59" w:rsidP="006D6B59">
      <w:pPr>
        <w:pStyle w:val="ListParagraph"/>
        <w:numPr>
          <w:ilvl w:val="0"/>
          <w:numId w:val="19"/>
        </w:numPr>
        <w:spacing w:after="0" w:line="360" w:lineRule="auto"/>
        <w:ind w:left="1077" w:hanging="357"/>
        <w:rPr>
          <w:rFonts w:asciiTheme="minorHAnsi" w:hAnsiTheme="minorHAnsi" w:cstheme="minorHAnsi"/>
        </w:rPr>
      </w:pPr>
      <w:r w:rsidRPr="00B22822">
        <w:rPr>
          <w:rFonts w:asciiTheme="minorHAnsi" w:eastAsia="Times New Roman" w:hAnsiTheme="minorHAnsi" w:cstheme="minorHAnsi"/>
          <w:b/>
          <w:bCs/>
          <w:color w:val="000000"/>
          <w:lang w:eastAsia="en-GB"/>
        </w:rPr>
        <w:t xml:space="preserve">Inconsistency: </w:t>
      </w:r>
      <w:r w:rsidRPr="00B22822">
        <w:rPr>
          <w:rFonts w:asciiTheme="minorHAnsi" w:hAnsiTheme="minorHAnsi" w:cstheme="minorHAnsi"/>
        </w:rPr>
        <w:t>Judging the extent of heterogeneity; tau-squared values were very low with little suggestion of heterogeneity for all outcomes. And</w:t>
      </w:r>
      <w:r>
        <w:rPr>
          <w:rFonts w:asciiTheme="minorHAnsi" w:hAnsiTheme="minorHAnsi" w:cstheme="minorHAnsi"/>
        </w:rPr>
        <w:t>, also</w:t>
      </w:r>
      <w:r w:rsidRPr="00B22822">
        <w:rPr>
          <w:rFonts w:asciiTheme="minorHAnsi" w:hAnsiTheme="minorHAnsi" w:cstheme="minorHAnsi"/>
        </w:rPr>
        <w:t xml:space="preserve"> evaluating the inconsistent loops of evidence which in our six NMA model, there was no evidence of close loops to assess local inconsistency. Global inconsistency test showed a consistent evidence of data points. </w:t>
      </w:r>
    </w:p>
    <w:p w14:paraId="4FF0800F" w14:textId="77777777" w:rsidR="006D6B59" w:rsidRPr="00B22822" w:rsidRDefault="006D6B59" w:rsidP="006D6B59">
      <w:pPr>
        <w:pStyle w:val="ListParagraph"/>
        <w:numPr>
          <w:ilvl w:val="0"/>
          <w:numId w:val="19"/>
        </w:numPr>
        <w:spacing w:after="0" w:line="360" w:lineRule="auto"/>
        <w:ind w:left="1077" w:hanging="357"/>
        <w:rPr>
          <w:rFonts w:asciiTheme="minorHAnsi" w:hAnsiTheme="minorHAnsi" w:cstheme="minorHAnsi"/>
        </w:rPr>
      </w:pPr>
      <w:r w:rsidRPr="00B22822">
        <w:rPr>
          <w:rFonts w:asciiTheme="minorHAnsi" w:eastAsia="Times New Roman" w:hAnsiTheme="minorHAnsi" w:cstheme="minorHAnsi"/>
          <w:b/>
          <w:bCs/>
          <w:color w:val="000000"/>
          <w:lang w:eastAsia="en-GB"/>
        </w:rPr>
        <w:t xml:space="preserve">Indirectness: </w:t>
      </w:r>
      <w:r w:rsidRPr="00B22822">
        <w:rPr>
          <w:rFonts w:asciiTheme="minorHAnsi" w:hAnsiTheme="minorHAnsi" w:cstheme="minorHAnsi"/>
        </w:rPr>
        <w:t>Evaluating indirectness of populations, interventions and outcomes; these w</w:t>
      </w:r>
      <w:r>
        <w:rPr>
          <w:rFonts w:asciiTheme="minorHAnsi" w:hAnsiTheme="minorHAnsi" w:cstheme="minorHAnsi"/>
        </w:rPr>
        <w:t>ere</w:t>
      </w:r>
      <w:r w:rsidRPr="00B22822">
        <w:rPr>
          <w:rFonts w:asciiTheme="minorHAnsi" w:hAnsiTheme="minorHAnsi" w:cstheme="minorHAnsi"/>
        </w:rPr>
        <w:t xml:space="preserve"> assured in the network by limiting the included outcomes specific to adult with chronic migraine at week 12 and only for double blind phase of RCTs. Effect modifiers are balanced across the network. Thus, there is no evidence of intransitivity. </w:t>
      </w:r>
    </w:p>
    <w:p w14:paraId="586D9F22" w14:textId="77777777" w:rsidR="006D6B59" w:rsidRPr="00B22822" w:rsidRDefault="006D6B59" w:rsidP="006D6B59">
      <w:pPr>
        <w:pStyle w:val="ListParagraph"/>
        <w:numPr>
          <w:ilvl w:val="0"/>
          <w:numId w:val="19"/>
        </w:numPr>
        <w:spacing w:after="0" w:line="360" w:lineRule="auto"/>
        <w:ind w:left="1077" w:hanging="357"/>
        <w:rPr>
          <w:rFonts w:asciiTheme="minorHAnsi" w:hAnsiTheme="minorHAnsi" w:cstheme="minorHAnsi"/>
        </w:rPr>
      </w:pPr>
      <w:r w:rsidRPr="00B22822">
        <w:rPr>
          <w:rFonts w:asciiTheme="minorHAnsi" w:eastAsia="Times New Roman" w:hAnsiTheme="minorHAnsi" w:cstheme="minorHAnsi"/>
          <w:b/>
          <w:bCs/>
          <w:color w:val="000000"/>
          <w:lang w:eastAsia="en-GB"/>
        </w:rPr>
        <w:t>Publication Bias:</w:t>
      </w:r>
      <w:r w:rsidRPr="00B22822">
        <w:rPr>
          <w:rFonts w:asciiTheme="minorHAnsi" w:hAnsiTheme="minorHAnsi" w:cstheme="minorHAnsi"/>
        </w:rPr>
        <w:t xml:space="preserve"> Non-statistical consideration of likelihood of non-publication of evidence, was assured through comprehensive searching in registered trials in the clinicaltrials.gov.  </w:t>
      </w:r>
    </w:p>
    <w:p w14:paraId="1B3F110E" w14:textId="5D7DF7F2" w:rsidR="00E816DE" w:rsidRPr="00F428CC" w:rsidRDefault="00E816DE" w:rsidP="00F428CC">
      <w:pPr>
        <w:spacing w:after="0" w:line="360" w:lineRule="auto"/>
        <w:rPr>
          <w:bCs/>
        </w:rPr>
      </w:pPr>
    </w:p>
    <w:p w14:paraId="35C43820" w14:textId="0CDAC4C5" w:rsidR="00E816DE" w:rsidRDefault="00E816DE" w:rsidP="00F428CC">
      <w:pPr>
        <w:pStyle w:val="Caption"/>
        <w:keepNext/>
        <w:spacing w:after="0" w:line="360" w:lineRule="auto"/>
        <w:rPr>
          <w:b w:val="0"/>
          <w:bCs/>
        </w:rPr>
      </w:pPr>
      <w:r w:rsidRPr="00F428CC">
        <w:rPr>
          <w:b w:val="0"/>
          <w:bCs/>
        </w:rPr>
        <w:t xml:space="preserve">GRADE assessments indicated a relative certainty of evidence. The robust certainty degree was particularly highlighted for those estimations which drugs were compared with </w:t>
      </w:r>
      <w:r w:rsidR="00F428CC">
        <w:rPr>
          <w:b w:val="0"/>
          <w:bCs/>
        </w:rPr>
        <w:t>p</w:t>
      </w:r>
      <w:r w:rsidRPr="00F428CC">
        <w:rPr>
          <w:b w:val="0"/>
          <w:bCs/>
        </w:rPr>
        <w:t>lacebo.</w:t>
      </w:r>
    </w:p>
    <w:p w14:paraId="636C83B5" w14:textId="3F9E1FD0" w:rsidR="00E816DE" w:rsidRDefault="00E816DE" w:rsidP="00F428CC">
      <w:pPr>
        <w:pStyle w:val="Caption"/>
        <w:keepNext/>
        <w:spacing w:after="0" w:line="360" w:lineRule="auto"/>
      </w:pPr>
      <w:r w:rsidRPr="00F428CC">
        <w:t>Table 1: Summary of GRADE results for each outcomes</w:t>
      </w:r>
      <w:r>
        <w:t xml:space="preserve"> </w:t>
      </w:r>
    </w:p>
    <w:tbl>
      <w:tblPr>
        <w:tblStyle w:val="TableGrid"/>
        <w:tblW w:w="5000" w:type="pct"/>
        <w:tblLook w:val="04A0" w:firstRow="1" w:lastRow="0" w:firstColumn="1" w:lastColumn="0" w:noHBand="0" w:noVBand="1"/>
      </w:tblPr>
      <w:tblGrid>
        <w:gridCol w:w="3017"/>
        <w:gridCol w:w="1482"/>
        <w:gridCol w:w="1896"/>
        <w:gridCol w:w="1185"/>
        <w:gridCol w:w="1662"/>
      </w:tblGrid>
      <w:tr w:rsidR="00E816DE" w14:paraId="3AF8347B" w14:textId="77777777" w:rsidTr="00F428CC">
        <w:trPr>
          <w:trHeight w:val="746"/>
        </w:trPr>
        <w:tc>
          <w:tcPr>
            <w:tcW w:w="1632" w:type="pct"/>
            <w:tcBorders>
              <w:tl2br w:val="single" w:sz="4" w:space="0" w:color="auto"/>
            </w:tcBorders>
          </w:tcPr>
          <w:p w14:paraId="55059251" w14:textId="76ECF2CB" w:rsidR="00E816DE" w:rsidRPr="007F0713" w:rsidRDefault="00E816DE" w:rsidP="00F428CC">
            <w:pPr>
              <w:spacing w:line="360" w:lineRule="auto"/>
              <w:rPr>
                <w:b/>
                <w:bCs/>
              </w:rPr>
            </w:pPr>
            <w:r w:rsidRPr="007F0713">
              <w:rPr>
                <w:b/>
                <w:bCs/>
              </w:rPr>
              <w:t xml:space="preserve">          </w:t>
            </w:r>
            <w:r w:rsidR="00F428CC" w:rsidRPr="007F0713">
              <w:rPr>
                <w:b/>
                <w:bCs/>
              </w:rPr>
              <w:t xml:space="preserve">        </w:t>
            </w:r>
            <w:r w:rsidRPr="007F0713">
              <w:rPr>
                <w:b/>
                <w:bCs/>
              </w:rPr>
              <w:t xml:space="preserve"> GRADE level</w:t>
            </w:r>
          </w:p>
          <w:p w14:paraId="51CB05EA" w14:textId="77777777" w:rsidR="00E816DE" w:rsidRPr="00F428CC" w:rsidRDefault="00E816DE" w:rsidP="00F428CC">
            <w:pPr>
              <w:spacing w:line="360" w:lineRule="auto"/>
            </w:pPr>
            <w:r w:rsidRPr="007F0713">
              <w:rPr>
                <w:b/>
                <w:bCs/>
              </w:rPr>
              <w:t>Outcomes</w:t>
            </w:r>
          </w:p>
        </w:tc>
        <w:tc>
          <w:tcPr>
            <w:tcW w:w="802" w:type="pct"/>
          </w:tcPr>
          <w:p w14:paraId="74AECFB3" w14:textId="77777777" w:rsidR="00E816DE" w:rsidRPr="007F0713" w:rsidRDefault="00E816DE" w:rsidP="00F428CC">
            <w:pPr>
              <w:spacing w:line="360" w:lineRule="auto"/>
              <w:jc w:val="center"/>
              <w:rPr>
                <w:b/>
                <w:bCs/>
              </w:rPr>
            </w:pPr>
            <w:r w:rsidRPr="007F0713">
              <w:rPr>
                <w:b/>
                <w:bCs/>
              </w:rPr>
              <w:t>High</w:t>
            </w:r>
          </w:p>
        </w:tc>
        <w:tc>
          <w:tcPr>
            <w:tcW w:w="1026" w:type="pct"/>
          </w:tcPr>
          <w:p w14:paraId="7163033B" w14:textId="77777777" w:rsidR="00E816DE" w:rsidRPr="007F0713" w:rsidRDefault="00E816DE" w:rsidP="00F428CC">
            <w:pPr>
              <w:spacing w:line="360" w:lineRule="auto"/>
              <w:jc w:val="center"/>
              <w:rPr>
                <w:b/>
                <w:bCs/>
              </w:rPr>
            </w:pPr>
            <w:r w:rsidRPr="007F0713">
              <w:rPr>
                <w:b/>
                <w:bCs/>
              </w:rPr>
              <w:t>Moderate</w:t>
            </w:r>
          </w:p>
        </w:tc>
        <w:tc>
          <w:tcPr>
            <w:tcW w:w="641" w:type="pct"/>
          </w:tcPr>
          <w:p w14:paraId="7E7FDC5A" w14:textId="77777777" w:rsidR="00E816DE" w:rsidRPr="007F0713" w:rsidRDefault="00E816DE" w:rsidP="00F428CC">
            <w:pPr>
              <w:spacing w:line="360" w:lineRule="auto"/>
              <w:jc w:val="center"/>
              <w:rPr>
                <w:b/>
                <w:bCs/>
              </w:rPr>
            </w:pPr>
            <w:r w:rsidRPr="007F0713">
              <w:rPr>
                <w:b/>
                <w:bCs/>
              </w:rPr>
              <w:t>Low</w:t>
            </w:r>
          </w:p>
        </w:tc>
        <w:tc>
          <w:tcPr>
            <w:tcW w:w="899" w:type="pct"/>
          </w:tcPr>
          <w:p w14:paraId="0A355485" w14:textId="77777777" w:rsidR="00E816DE" w:rsidRPr="007F0713" w:rsidRDefault="00E816DE" w:rsidP="00F428CC">
            <w:pPr>
              <w:spacing w:line="360" w:lineRule="auto"/>
              <w:jc w:val="center"/>
              <w:rPr>
                <w:b/>
                <w:bCs/>
              </w:rPr>
            </w:pPr>
            <w:r w:rsidRPr="007F0713">
              <w:rPr>
                <w:b/>
                <w:bCs/>
              </w:rPr>
              <w:t>Very low</w:t>
            </w:r>
          </w:p>
        </w:tc>
      </w:tr>
      <w:tr w:rsidR="00E816DE" w14:paraId="2F1DC758" w14:textId="77777777" w:rsidTr="00F428CC">
        <w:tc>
          <w:tcPr>
            <w:tcW w:w="1632" w:type="pct"/>
          </w:tcPr>
          <w:p w14:paraId="5F021512" w14:textId="77777777" w:rsidR="00E816DE" w:rsidRPr="007F0713" w:rsidRDefault="00E816DE" w:rsidP="00F428CC">
            <w:pPr>
              <w:spacing w:line="360" w:lineRule="auto"/>
              <w:rPr>
                <w:b/>
                <w:bCs/>
              </w:rPr>
            </w:pPr>
            <w:r w:rsidRPr="007F0713">
              <w:rPr>
                <w:b/>
                <w:bCs/>
              </w:rPr>
              <w:t>MHDs</w:t>
            </w:r>
          </w:p>
        </w:tc>
        <w:tc>
          <w:tcPr>
            <w:tcW w:w="802" w:type="pct"/>
          </w:tcPr>
          <w:p w14:paraId="6DEF2AD4" w14:textId="77777777" w:rsidR="00E816DE" w:rsidRPr="00F428CC" w:rsidRDefault="00E816DE" w:rsidP="00F428CC">
            <w:pPr>
              <w:spacing w:line="360" w:lineRule="auto"/>
              <w:jc w:val="center"/>
            </w:pPr>
            <w:r w:rsidRPr="00F428CC">
              <w:t>*</w:t>
            </w:r>
          </w:p>
        </w:tc>
        <w:tc>
          <w:tcPr>
            <w:tcW w:w="1026" w:type="pct"/>
          </w:tcPr>
          <w:p w14:paraId="0B4AF850" w14:textId="77777777" w:rsidR="00E816DE" w:rsidRPr="00F428CC" w:rsidRDefault="00E816DE" w:rsidP="00F428CC">
            <w:pPr>
              <w:spacing w:line="360" w:lineRule="auto"/>
              <w:jc w:val="center"/>
            </w:pPr>
            <w:r w:rsidRPr="00F428CC">
              <w:t>*</w:t>
            </w:r>
          </w:p>
        </w:tc>
        <w:tc>
          <w:tcPr>
            <w:tcW w:w="641" w:type="pct"/>
          </w:tcPr>
          <w:p w14:paraId="5624BAC0" w14:textId="77777777" w:rsidR="00E816DE" w:rsidRPr="00F428CC" w:rsidRDefault="00E816DE" w:rsidP="00F428CC">
            <w:pPr>
              <w:spacing w:line="360" w:lineRule="auto"/>
              <w:jc w:val="center"/>
            </w:pPr>
            <w:r w:rsidRPr="00F428CC">
              <w:t>*</w:t>
            </w:r>
          </w:p>
        </w:tc>
        <w:tc>
          <w:tcPr>
            <w:tcW w:w="899" w:type="pct"/>
          </w:tcPr>
          <w:p w14:paraId="5A1D3F99" w14:textId="77777777" w:rsidR="00E816DE" w:rsidRPr="00F428CC" w:rsidRDefault="00E816DE" w:rsidP="00F428CC">
            <w:pPr>
              <w:spacing w:line="360" w:lineRule="auto"/>
              <w:jc w:val="center"/>
            </w:pPr>
          </w:p>
        </w:tc>
      </w:tr>
      <w:tr w:rsidR="00E816DE" w14:paraId="0F990849" w14:textId="77777777" w:rsidTr="00F428CC">
        <w:tc>
          <w:tcPr>
            <w:tcW w:w="1632" w:type="pct"/>
          </w:tcPr>
          <w:p w14:paraId="247550FD" w14:textId="77777777" w:rsidR="00E816DE" w:rsidRPr="007F0713" w:rsidRDefault="00E816DE" w:rsidP="00F428CC">
            <w:pPr>
              <w:spacing w:line="360" w:lineRule="auto"/>
              <w:rPr>
                <w:b/>
                <w:bCs/>
              </w:rPr>
            </w:pPr>
            <w:r w:rsidRPr="007F0713">
              <w:rPr>
                <w:b/>
                <w:bCs/>
              </w:rPr>
              <w:t>MMDs</w:t>
            </w:r>
          </w:p>
        </w:tc>
        <w:tc>
          <w:tcPr>
            <w:tcW w:w="802" w:type="pct"/>
          </w:tcPr>
          <w:p w14:paraId="43B0C177" w14:textId="77777777" w:rsidR="00E816DE" w:rsidRPr="00F428CC" w:rsidRDefault="00E816DE" w:rsidP="00F428CC">
            <w:pPr>
              <w:spacing w:line="360" w:lineRule="auto"/>
              <w:jc w:val="center"/>
            </w:pPr>
            <w:r w:rsidRPr="00F428CC">
              <w:t>*</w:t>
            </w:r>
          </w:p>
        </w:tc>
        <w:tc>
          <w:tcPr>
            <w:tcW w:w="1026" w:type="pct"/>
          </w:tcPr>
          <w:p w14:paraId="6EFADDFA" w14:textId="77777777" w:rsidR="00E816DE" w:rsidRPr="00F428CC" w:rsidRDefault="00E816DE" w:rsidP="00F428CC">
            <w:pPr>
              <w:spacing w:line="360" w:lineRule="auto"/>
              <w:jc w:val="center"/>
            </w:pPr>
            <w:r w:rsidRPr="00F428CC">
              <w:t>*</w:t>
            </w:r>
          </w:p>
        </w:tc>
        <w:tc>
          <w:tcPr>
            <w:tcW w:w="641" w:type="pct"/>
          </w:tcPr>
          <w:p w14:paraId="2922A14E" w14:textId="77777777" w:rsidR="00E816DE" w:rsidRPr="00F428CC" w:rsidRDefault="00E816DE" w:rsidP="00F428CC">
            <w:pPr>
              <w:spacing w:line="360" w:lineRule="auto"/>
              <w:jc w:val="center"/>
            </w:pPr>
          </w:p>
        </w:tc>
        <w:tc>
          <w:tcPr>
            <w:tcW w:w="899" w:type="pct"/>
          </w:tcPr>
          <w:p w14:paraId="3092ECF4" w14:textId="77777777" w:rsidR="00E816DE" w:rsidRPr="00F428CC" w:rsidRDefault="00E816DE" w:rsidP="00F428CC">
            <w:pPr>
              <w:spacing w:line="360" w:lineRule="auto"/>
              <w:jc w:val="center"/>
            </w:pPr>
          </w:p>
        </w:tc>
      </w:tr>
      <w:tr w:rsidR="00E816DE" w14:paraId="67E0DC6A" w14:textId="77777777" w:rsidTr="00F428CC">
        <w:tc>
          <w:tcPr>
            <w:tcW w:w="1632" w:type="pct"/>
          </w:tcPr>
          <w:p w14:paraId="7CDFA278" w14:textId="77777777" w:rsidR="00E816DE" w:rsidRPr="007F0713" w:rsidRDefault="00E816DE" w:rsidP="00F428CC">
            <w:pPr>
              <w:spacing w:line="360" w:lineRule="auto"/>
              <w:rPr>
                <w:b/>
                <w:bCs/>
              </w:rPr>
            </w:pPr>
            <w:r w:rsidRPr="007F0713">
              <w:rPr>
                <w:b/>
                <w:bCs/>
              </w:rPr>
              <w:t>MSQ-RR</w:t>
            </w:r>
          </w:p>
        </w:tc>
        <w:tc>
          <w:tcPr>
            <w:tcW w:w="802" w:type="pct"/>
          </w:tcPr>
          <w:p w14:paraId="2A68E083" w14:textId="77777777" w:rsidR="00E816DE" w:rsidRPr="00F428CC" w:rsidRDefault="00E816DE" w:rsidP="00F428CC">
            <w:pPr>
              <w:spacing w:line="360" w:lineRule="auto"/>
              <w:jc w:val="center"/>
            </w:pPr>
            <w:r w:rsidRPr="00F428CC">
              <w:t>*</w:t>
            </w:r>
          </w:p>
        </w:tc>
        <w:tc>
          <w:tcPr>
            <w:tcW w:w="1026" w:type="pct"/>
          </w:tcPr>
          <w:p w14:paraId="1479D271" w14:textId="77777777" w:rsidR="00E816DE" w:rsidRPr="00F428CC" w:rsidRDefault="00E816DE" w:rsidP="00F428CC">
            <w:pPr>
              <w:spacing w:line="360" w:lineRule="auto"/>
              <w:jc w:val="center"/>
            </w:pPr>
            <w:r w:rsidRPr="00F428CC">
              <w:t>*</w:t>
            </w:r>
          </w:p>
        </w:tc>
        <w:tc>
          <w:tcPr>
            <w:tcW w:w="641" w:type="pct"/>
          </w:tcPr>
          <w:p w14:paraId="208AEC27" w14:textId="77777777" w:rsidR="00E816DE" w:rsidRPr="00F428CC" w:rsidRDefault="00E816DE" w:rsidP="00F428CC">
            <w:pPr>
              <w:spacing w:line="360" w:lineRule="auto"/>
              <w:jc w:val="center"/>
            </w:pPr>
          </w:p>
        </w:tc>
        <w:tc>
          <w:tcPr>
            <w:tcW w:w="899" w:type="pct"/>
          </w:tcPr>
          <w:p w14:paraId="0C92695D" w14:textId="77777777" w:rsidR="00E816DE" w:rsidRPr="00F428CC" w:rsidRDefault="00E816DE" w:rsidP="00F428CC">
            <w:pPr>
              <w:spacing w:line="360" w:lineRule="auto"/>
              <w:jc w:val="center"/>
            </w:pPr>
          </w:p>
        </w:tc>
      </w:tr>
      <w:tr w:rsidR="00E816DE" w14:paraId="25605A3B" w14:textId="77777777" w:rsidTr="00F428CC">
        <w:tc>
          <w:tcPr>
            <w:tcW w:w="1632" w:type="pct"/>
          </w:tcPr>
          <w:p w14:paraId="3874C139" w14:textId="77777777" w:rsidR="00E816DE" w:rsidRPr="007F0713" w:rsidRDefault="00E816DE" w:rsidP="00F428CC">
            <w:pPr>
              <w:spacing w:line="360" w:lineRule="auto"/>
              <w:rPr>
                <w:b/>
                <w:bCs/>
              </w:rPr>
            </w:pPr>
            <w:r w:rsidRPr="007F0713">
              <w:rPr>
                <w:b/>
                <w:bCs/>
              </w:rPr>
              <w:t>MSQ-PR</w:t>
            </w:r>
          </w:p>
        </w:tc>
        <w:tc>
          <w:tcPr>
            <w:tcW w:w="802" w:type="pct"/>
          </w:tcPr>
          <w:p w14:paraId="72258511" w14:textId="77777777" w:rsidR="00E816DE" w:rsidRPr="00F428CC" w:rsidRDefault="00E816DE" w:rsidP="00F428CC">
            <w:pPr>
              <w:spacing w:line="360" w:lineRule="auto"/>
              <w:jc w:val="center"/>
            </w:pPr>
            <w:r w:rsidRPr="00F428CC">
              <w:t>*</w:t>
            </w:r>
          </w:p>
        </w:tc>
        <w:tc>
          <w:tcPr>
            <w:tcW w:w="1026" w:type="pct"/>
          </w:tcPr>
          <w:p w14:paraId="246EC374" w14:textId="77777777" w:rsidR="00E816DE" w:rsidRPr="00F428CC" w:rsidRDefault="00E816DE" w:rsidP="00F428CC">
            <w:pPr>
              <w:spacing w:line="360" w:lineRule="auto"/>
              <w:jc w:val="center"/>
            </w:pPr>
          </w:p>
        </w:tc>
        <w:tc>
          <w:tcPr>
            <w:tcW w:w="641" w:type="pct"/>
          </w:tcPr>
          <w:p w14:paraId="484D10BB" w14:textId="77777777" w:rsidR="00E816DE" w:rsidRPr="00F428CC" w:rsidRDefault="00E816DE" w:rsidP="00F428CC">
            <w:pPr>
              <w:spacing w:line="360" w:lineRule="auto"/>
              <w:jc w:val="center"/>
            </w:pPr>
            <w:r w:rsidRPr="00F428CC">
              <w:t>*</w:t>
            </w:r>
          </w:p>
        </w:tc>
        <w:tc>
          <w:tcPr>
            <w:tcW w:w="899" w:type="pct"/>
          </w:tcPr>
          <w:p w14:paraId="4F87BCBC" w14:textId="77777777" w:rsidR="00E816DE" w:rsidRPr="00F428CC" w:rsidRDefault="00E816DE" w:rsidP="00F428CC">
            <w:pPr>
              <w:spacing w:line="360" w:lineRule="auto"/>
              <w:jc w:val="center"/>
            </w:pPr>
          </w:p>
        </w:tc>
      </w:tr>
      <w:tr w:rsidR="00E816DE" w14:paraId="1533DE8D" w14:textId="77777777" w:rsidTr="00F428CC">
        <w:tc>
          <w:tcPr>
            <w:tcW w:w="1632" w:type="pct"/>
          </w:tcPr>
          <w:p w14:paraId="7C724C6B" w14:textId="77777777" w:rsidR="00E816DE" w:rsidRPr="007F0713" w:rsidRDefault="00E816DE" w:rsidP="00F428CC">
            <w:pPr>
              <w:spacing w:line="360" w:lineRule="auto"/>
              <w:rPr>
                <w:b/>
                <w:bCs/>
              </w:rPr>
            </w:pPr>
            <w:r w:rsidRPr="007F0713">
              <w:rPr>
                <w:b/>
                <w:bCs/>
              </w:rPr>
              <w:t>MSQ-EF</w:t>
            </w:r>
          </w:p>
        </w:tc>
        <w:tc>
          <w:tcPr>
            <w:tcW w:w="802" w:type="pct"/>
          </w:tcPr>
          <w:p w14:paraId="47EA8D8C" w14:textId="77777777" w:rsidR="00E816DE" w:rsidRPr="00F428CC" w:rsidRDefault="00E816DE" w:rsidP="00F428CC">
            <w:pPr>
              <w:spacing w:line="360" w:lineRule="auto"/>
              <w:jc w:val="center"/>
            </w:pPr>
            <w:r w:rsidRPr="00F428CC">
              <w:t>*</w:t>
            </w:r>
          </w:p>
        </w:tc>
        <w:tc>
          <w:tcPr>
            <w:tcW w:w="1026" w:type="pct"/>
          </w:tcPr>
          <w:p w14:paraId="0C450443" w14:textId="77777777" w:rsidR="00E816DE" w:rsidRPr="00F428CC" w:rsidRDefault="00E816DE" w:rsidP="00F428CC">
            <w:pPr>
              <w:spacing w:line="360" w:lineRule="auto"/>
              <w:jc w:val="center"/>
            </w:pPr>
            <w:r w:rsidRPr="00F428CC">
              <w:t>*</w:t>
            </w:r>
          </w:p>
        </w:tc>
        <w:tc>
          <w:tcPr>
            <w:tcW w:w="641" w:type="pct"/>
          </w:tcPr>
          <w:p w14:paraId="4EC12DFE" w14:textId="77777777" w:rsidR="00E816DE" w:rsidRPr="00F428CC" w:rsidRDefault="00E816DE" w:rsidP="00F428CC">
            <w:pPr>
              <w:spacing w:line="360" w:lineRule="auto"/>
              <w:jc w:val="center"/>
            </w:pPr>
          </w:p>
        </w:tc>
        <w:tc>
          <w:tcPr>
            <w:tcW w:w="899" w:type="pct"/>
          </w:tcPr>
          <w:p w14:paraId="640E5731" w14:textId="77777777" w:rsidR="00E816DE" w:rsidRPr="00F428CC" w:rsidRDefault="00E816DE" w:rsidP="00F428CC">
            <w:pPr>
              <w:spacing w:line="360" w:lineRule="auto"/>
              <w:jc w:val="center"/>
            </w:pPr>
          </w:p>
        </w:tc>
      </w:tr>
      <w:tr w:rsidR="00E816DE" w14:paraId="7C2BA59B" w14:textId="77777777" w:rsidTr="00F428CC">
        <w:tc>
          <w:tcPr>
            <w:tcW w:w="1632" w:type="pct"/>
          </w:tcPr>
          <w:p w14:paraId="01ED8258" w14:textId="77777777" w:rsidR="00E816DE" w:rsidRPr="007F0713" w:rsidRDefault="00E816DE" w:rsidP="00F428CC">
            <w:pPr>
              <w:spacing w:line="360" w:lineRule="auto"/>
              <w:rPr>
                <w:b/>
                <w:bCs/>
              </w:rPr>
            </w:pPr>
            <w:r w:rsidRPr="007F0713">
              <w:rPr>
                <w:b/>
                <w:bCs/>
              </w:rPr>
              <w:t>HIT-6</w:t>
            </w:r>
          </w:p>
        </w:tc>
        <w:tc>
          <w:tcPr>
            <w:tcW w:w="802" w:type="pct"/>
          </w:tcPr>
          <w:p w14:paraId="0FAE2983" w14:textId="77777777" w:rsidR="00E816DE" w:rsidRPr="00F428CC" w:rsidRDefault="00E816DE" w:rsidP="00F428CC">
            <w:pPr>
              <w:spacing w:line="360" w:lineRule="auto"/>
              <w:jc w:val="center"/>
            </w:pPr>
            <w:r w:rsidRPr="00F428CC">
              <w:t>*</w:t>
            </w:r>
          </w:p>
        </w:tc>
        <w:tc>
          <w:tcPr>
            <w:tcW w:w="1026" w:type="pct"/>
          </w:tcPr>
          <w:p w14:paraId="277B3B45" w14:textId="77777777" w:rsidR="00E816DE" w:rsidRPr="00F428CC" w:rsidRDefault="00E816DE" w:rsidP="00F428CC">
            <w:pPr>
              <w:spacing w:line="360" w:lineRule="auto"/>
              <w:jc w:val="center"/>
            </w:pPr>
            <w:r w:rsidRPr="00F428CC">
              <w:t>*</w:t>
            </w:r>
          </w:p>
        </w:tc>
        <w:tc>
          <w:tcPr>
            <w:tcW w:w="641" w:type="pct"/>
          </w:tcPr>
          <w:p w14:paraId="3D9D84C8" w14:textId="77777777" w:rsidR="00E816DE" w:rsidRPr="00F428CC" w:rsidRDefault="00E816DE" w:rsidP="00F428CC">
            <w:pPr>
              <w:spacing w:line="360" w:lineRule="auto"/>
              <w:jc w:val="center"/>
            </w:pPr>
          </w:p>
        </w:tc>
        <w:tc>
          <w:tcPr>
            <w:tcW w:w="899" w:type="pct"/>
          </w:tcPr>
          <w:p w14:paraId="5EFBC7C4" w14:textId="77777777" w:rsidR="00E816DE" w:rsidRPr="00F428CC" w:rsidRDefault="00E816DE" w:rsidP="00F428CC">
            <w:pPr>
              <w:spacing w:line="360" w:lineRule="auto"/>
              <w:jc w:val="center"/>
            </w:pPr>
          </w:p>
        </w:tc>
      </w:tr>
    </w:tbl>
    <w:p w14:paraId="449DF6C3" w14:textId="7B1071F3" w:rsidR="00E816DE" w:rsidRDefault="00E816DE" w:rsidP="00F428CC">
      <w:pPr>
        <w:spacing w:after="0" w:line="360" w:lineRule="auto"/>
        <w:rPr>
          <w:b/>
          <w:bCs/>
        </w:rPr>
      </w:pPr>
    </w:p>
    <w:p w14:paraId="131EC60F" w14:textId="77777777" w:rsidR="006C084C" w:rsidRDefault="006C084C">
      <w:pPr>
        <w:rPr>
          <w:rFonts w:eastAsia="Calibri" w:cs="Calibri"/>
          <w:b/>
          <w:bCs/>
        </w:rPr>
      </w:pPr>
      <w:r>
        <w:rPr>
          <w:rFonts w:eastAsia="Calibri" w:cs="Calibri"/>
          <w:b/>
          <w:bCs/>
        </w:rPr>
        <w:br w:type="page"/>
      </w:r>
    </w:p>
    <w:p w14:paraId="69A23E9D" w14:textId="7C2E311B" w:rsidR="001D58B3" w:rsidRPr="001D58B3" w:rsidRDefault="001D58B3" w:rsidP="00013827">
      <w:pPr>
        <w:ind w:left="567" w:right="633"/>
        <w:rPr>
          <w:rFonts w:eastAsia="Calibri" w:cs="Calibri"/>
          <w:b/>
          <w:bCs/>
        </w:rPr>
      </w:pPr>
      <w:r w:rsidRPr="001D58B3">
        <w:rPr>
          <w:rFonts w:eastAsia="Calibri" w:cs="Calibri"/>
          <w:b/>
          <w:bCs/>
        </w:rPr>
        <w:lastRenderedPageBreak/>
        <w:t>References</w:t>
      </w:r>
    </w:p>
    <w:p w14:paraId="5ADBA6FA" w14:textId="77777777" w:rsidR="009C1144" w:rsidRPr="009C1144" w:rsidRDefault="00CC67A5" w:rsidP="009C1144">
      <w:pPr>
        <w:pStyle w:val="EndNoteBibliography"/>
        <w:ind w:left="720" w:hanging="720"/>
      </w:pPr>
      <w:r>
        <w:fldChar w:fldCharType="begin"/>
      </w:r>
      <w:r>
        <w:instrText xml:space="preserve"> ADDIN EN.REFLIST </w:instrText>
      </w:r>
      <w:r>
        <w:fldChar w:fldCharType="separate"/>
      </w:r>
      <w:r w:rsidR="009C1144" w:rsidRPr="009C1144">
        <w:t xml:space="preserve">1. Aurora S, Dodick D, Turkel C, et al. OnabotulinumtoxinA for treatment of chronic migraine: results from the double-blind, randomized, placebo-controlled phase of the PREEMPT 1 trial. </w:t>
      </w:r>
      <w:r w:rsidR="009C1144" w:rsidRPr="009C1144">
        <w:rPr>
          <w:i/>
        </w:rPr>
        <w:t>Cephalalgia</w:t>
      </w:r>
      <w:r w:rsidR="009C1144" w:rsidRPr="009C1144">
        <w:t xml:space="preserve"> 2010;30(7):793-803.</w:t>
      </w:r>
    </w:p>
    <w:p w14:paraId="396BF96C" w14:textId="77777777" w:rsidR="009C1144" w:rsidRPr="009C1144" w:rsidRDefault="009C1144" w:rsidP="009C1144">
      <w:pPr>
        <w:pStyle w:val="EndNoteBibliography"/>
        <w:ind w:left="720" w:hanging="720"/>
      </w:pPr>
      <w:r w:rsidRPr="009C1144">
        <w:t xml:space="preserve">2. Dodick DW, Silberstein SD, Lipton RB, et al. Early onset of effect of onabotulinumtoxinA for chronic migraine treatment: analysis of PREEMPT data. </w:t>
      </w:r>
      <w:r w:rsidRPr="009C1144">
        <w:rPr>
          <w:i/>
        </w:rPr>
        <w:t>Cephalalgia</w:t>
      </w:r>
      <w:r w:rsidRPr="009C1144">
        <w:t xml:space="preserve"> 2019;39(8):945-56.</w:t>
      </w:r>
    </w:p>
    <w:p w14:paraId="0D5F840C" w14:textId="77777777" w:rsidR="009C1144" w:rsidRPr="009C1144" w:rsidRDefault="009C1144" w:rsidP="009C1144">
      <w:pPr>
        <w:pStyle w:val="EndNoteBibliography"/>
        <w:ind w:left="720" w:hanging="720"/>
      </w:pPr>
      <w:r w:rsidRPr="009C1144">
        <w:t xml:space="preserve">3. Dodick DW, Turkel CC, DeGryse RE, et al. OnabotulinumtoxinA for treatment of chronic migraine: Pooled results from the double‐blind, randomized, placebo‐controlled phases of the PREEMPT clinical program. </w:t>
      </w:r>
      <w:r w:rsidRPr="009C1144">
        <w:rPr>
          <w:i/>
        </w:rPr>
        <w:t>Headache: The Journal of Head and Face Pain</w:t>
      </w:r>
      <w:r w:rsidRPr="009C1144">
        <w:t xml:space="preserve"> 2010;50(6):921-36.</w:t>
      </w:r>
    </w:p>
    <w:p w14:paraId="7D84D088" w14:textId="77777777" w:rsidR="009C1144" w:rsidRPr="009C1144" w:rsidRDefault="009C1144" w:rsidP="009C1144">
      <w:pPr>
        <w:pStyle w:val="EndNoteBibliography"/>
        <w:ind w:left="720" w:hanging="720"/>
      </w:pPr>
      <w:r w:rsidRPr="009C1144">
        <w:t xml:space="preserve">4. Silberstein SD, Diener H-C, Dodick DW, et al. The impact of onabotulinumtoxinA vs. placebo on efficacy outcomes in headache day responder and nonresponder patients with chronic migraine. </w:t>
      </w:r>
      <w:r w:rsidRPr="009C1144">
        <w:rPr>
          <w:i/>
        </w:rPr>
        <w:t>Pain and Therapy</w:t>
      </w:r>
      <w:r w:rsidRPr="009C1144">
        <w:t xml:space="preserve"> 2020;9(2):695-707.</w:t>
      </w:r>
    </w:p>
    <w:p w14:paraId="6F259475" w14:textId="77777777" w:rsidR="009C1144" w:rsidRPr="009C1144" w:rsidRDefault="009C1144" w:rsidP="009C1144">
      <w:pPr>
        <w:pStyle w:val="EndNoteBibliography"/>
        <w:ind w:left="720" w:hanging="720"/>
      </w:pPr>
      <w:r w:rsidRPr="009C1144">
        <w:t xml:space="preserve">5. Aurora S, Dodick D, Diener HC, et al. OnabotulinumtoxinA for chronic migraine: efficacy, safety, and tolerability in patients who received all five treatment cycles in the PREEMPT clinical program. </w:t>
      </w:r>
      <w:r w:rsidRPr="009C1144">
        <w:rPr>
          <w:i/>
        </w:rPr>
        <w:t>Acta Neurologica Scandinavica</w:t>
      </w:r>
      <w:r w:rsidRPr="009C1144">
        <w:t xml:space="preserve"> 2014;129(1):61-70.</w:t>
      </w:r>
    </w:p>
    <w:p w14:paraId="78B16B8D" w14:textId="77777777" w:rsidR="009C1144" w:rsidRPr="009C1144" w:rsidRDefault="009C1144" w:rsidP="009C1144">
      <w:pPr>
        <w:pStyle w:val="EndNoteBibliography"/>
        <w:ind w:left="720" w:hanging="720"/>
      </w:pPr>
      <w:r w:rsidRPr="009C1144">
        <w:t xml:space="preserve">6. Lipton RB, Rosen NL, Ailani J, et al. OnabotulinumtoxinA improves quality of life and reduces impact of chronic migraine over one year of treatment: pooled results from the PREEMPT randomized clinical trial program. </w:t>
      </w:r>
      <w:r w:rsidRPr="009C1144">
        <w:rPr>
          <w:i/>
        </w:rPr>
        <w:t>Cephalalgia</w:t>
      </w:r>
      <w:r w:rsidRPr="009C1144">
        <w:t xml:space="preserve"> 2016;36(9):899-908.</w:t>
      </w:r>
    </w:p>
    <w:p w14:paraId="3957882A" w14:textId="77777777" w:rsidR="009C1144" w:rsidRPr="009C1144" w:rsidRDefault="009C1144" w:rsidP="009C1144">
      <w:pPr>
        <w:pStyle w:val="EndNoteBibliography"/>
        <w:ind w:left="720" w:hanging="720"/>
      </w:pPr>
      <w:r w:rsidRPr="009C1144">
        <w:t xml:space="preserve">7. Detke HC, Goadsby PJ, Wang S, et al. Galcanezumab in chronic migraine: the randomized, double-blind, placebo-controlled REGAIN study. </w:t>
      </w:r>
      <w:r w:rsidRPr="009C1144">
        <w:rPr>
          <w:i/>
        </w:rPr>
        <w:t>Neurology</w:t>
      </w:r>
      <w:r w:rsidRPr="009C1144">
        <w:t xml:space="preserve"> 2018;91(24):e2211-e21.</w:t>
      </w:r>
    </w:p>
    <w:p w14:paraId="66234410" w14:textId="77777777" w:rsidR="009C1144" w:rsidRPr="009C1144" w:rsidRDefault="009C1144" w:rsidP="009C1144">
      <w:pPr>
        <w:pStyle w:val="EndNoteBibliography"/>
        <w:ind w:left="720" w:hanging="720"/>
      </w:pPr>
      <w:r w:rsidRPr="009C1144">
        <w:t xml:space="preserve">8. Ruff DD, Ford JH, Tockhorn-Heidenreich A, et al. Efficacy of galcanezumab in patients with chronic migraine and a history of preventive treatment failure. </w:t>
      </w:r>
      <w:r w:rsidRPr="009C1144">
        <w:rPr>
          <w:i/>
        </w:rPr>
        <w:t>Cephalalgia</w:t>
      </w:r>
      <w:r w:rsidRPr="009C1144">
        <w:t xml:space="preserve"> 2019;39(8):931-44.</w:t>
      </w:r>
    </w:p>
    <w:p w14:paraId="449D6746" w14:textId="77777777" w:rsidR="009C1144" w:rsidRPr="009C1144" w:rsidRDefault="009C1144" w:rsidP="009C1144">
      <w:pPr>
        <w:pStyle w:val="EndNoteBibliography"/>
        <w:ind w:left="720" w:hanging="720"/>
      </w:pPr>
      <w:r w:rsidRPr="009C1144">
        <w:t xml:space="preserve">9. Ford J, Tassorelli C, Leroux E, et al. Changes in patient functioning and disability: results from a phase 3, double-blind, randomized, placebo-controlled clinical trial evaluating galcanezumab for chronic migraine prevention (REGAIN). </w:t>
      </w:r>
      <w:r w:rsidRPr="009C1144">
        <w:rPr>
          <w:i/>
        </w:rPr>
        <w:t>Quality of Life Research</w:t>
      </w:r>
      <w:r w:rsidRPr="009C1144">
        <w:t xml:space="preserve"> 2021;30(1):105-15.</w:t>
      </w:r>
    </w:p>
    <w:p w14:paraId="0CF3474D" w14:textId="77777777" w:rsidR="009C1144" w:rsidRPr="009C1144" w:rsidRDefault="009C1144" w:rsidP="009C1144">
      <w:pPr>
        <w:pStyle w:val="EndNoteBibliography"/>
        <w:ind w:left="720" w:hanging="720"/>
      </w:pPr>
      <w:r w:rsidRPr="009C1144">
        <w:t xml:space="preserve">10. Förderreuther S, Zhang Q, Stauffer VL, et al. Preventive effects of galcanezumab in adult patients with episodic or chronic migraine are persistent: data from the phase 3, randomized, double-blind, placebo-controlled EVOLVE-1, EVOLVE-2, and REGAIN studies. </w:t>
      </w:r>
      <w:r w:rsidRPr="009C1144">
        <w:rPr>
          <w:i/>
        </w:rPr>
        <w:t>The journal of headache and pain</w:t>
      </w:r>
      <w:r w:rsidRPr="009C1144">
        <w:t xml:space="preserve"> 2018;19(1):1-9.</w:t>
      </w:r>
    </w:p>
    <w:p w14:paraId="7BAF6FCB" w14:textId="77777777" w:rsidR="009C1144" w:rsidRPr="009C1144" w:rsidRDefault="009C1144" w:rsidP="009C1144">
      <w:pPr>
        <w:pStyle w:val="EndNoteBibliography"/>
        <w:ind w:left="720" w:hanging="720"/>
      </w:pPr>
      <w:r w:rsidRPr="009C1144">
        <w:t xml:space="preserve">11. Ailani J, Andrews JS, Rettiganti M, et al. Impact of galcanezumab on total pain burden: findings from phase 3 randomized, double-blind, placebo-controlled studies in patients with episodic or chronic migraine (EVOLVE-1, EVOLVE-2, and REGAIN trials). </w:t>
      </w:r>
      <w:r w:rsidRPr="009C1144">
        <w:rPr>
          <w:i/>
        </w:rPr>
        <w:t>The journal of headache and pain</w:t>
      </w:r>
      <w:r w:rsidRPr="009C1144">
        <w:t xml:space="preserve"> 2020;21(1):1-9.</w:t>
      </w:r>
    </w:p>
    <w:p w14:paraId="6D886B2D" w14:textId="77777777" w:rsidR="009C1144" w:rsidRPr="009C1144" w:rsidRDefault="009C1144" w:rsidP="009C1144">
      <w:pPr>
        <w:pStyle w:val="EndNoteBibliography"/>
        <w:ind w:left="720" w:hanging="720"/>
      </w:pPr>
      <w:r w:rsidRPr="009C1144">
        <w:t xml:space="preserve">12. Ament M, Day K, Stauffer VL, et al. Effect of galcanezumab on severity and symptoms of migraine in phase 3 trials in patients with episodic or chronic migraine. </w:t>
      </w:r>
      <w:r w:rsidRPr="009C1144">
        <w:rPr>
          <w:i/>
        </w:rPr>
        <w:t>The journal of headache and pain</w:t>
      </w:r>
      <w:r w:rsidRPr="009C1144">
        <w:t xml:space="preserve"> 2021;22(1):1-10.</w:t>
      </w:r>
    </w:p>
    <w:p w14:paraId="0F0298F9" w14:textId="77777777" w:rsidR="009C1144" w:rsidRPr="009C1144" w:rsidRDefault="009C1144" w:rsidP="009C1144">
      <w:pPr>
        <w:pStyle w:val="EndNoteBibliography"/>
        <w:ind w:left="720" w:hanging="720"/>
      </w:pPr>
      <w:r w:rsidRPr="009C1144">
        <w:t xml:space="preserve">13. Ailani J, Kuruppu DK, Rettiganti M, et al. Does “wearing off” of efficacy occur in galcanezumab‐treated patients at the end of the monthly treatment cycle? Post hoc analyses of four phase III randomized trials. </w:t>
      </w:r>
      <w:r w:rsidRPr="009C1144">
        <w:rPr>
          <w:i/>
        </w:rPr>
        <w:t>Headache: The Journal of Head and Face Pain</w:t>
      </w:r>
      <w:r w:rsidRPr="009C1144">
        <w:t xml:space="preserve"> 2022;62(2):198-207.</w:t>
      </w:r>
    </w:p>
    <w:p w14:paraId="57502F4B" w14:textId="77777777" w:rsidR="009C1144" w:rsidRPr="009C1144" w:rsidRDefault="009C1144" w:rsidP="009C1144">
      <w:pPr>
        <w:pStyle w:val="EndNoteBibliography"/>
        <w:ind w:left="720" w:hanging="720"/>
      </w:pPr>
      <w:r w:rsidRPr="009C1144">
        <w:t xml:space="preserve">14. Tobin JA, Joshi S, Ford JH, et al. Reductions in acute medication use and healthcare resource utilization in patients with chronic migraine: a secondary analysis of a phase 3, randomized, double-blind, placebo-controlled study of galcanezumab with open-label extension (REGAIN). </w:t>
      </w:r>
      <w:r w:rsidRPr="009C1144">
        <w:rPr>
          <w:i/>
        </w:rPr>
        <w:t>J Med Econ</w:t>
      </w:r>
      <w:r w:rsidRPr="009C1144">
        <w:t xml:space="preserve"> 2022;25(1):1030-38.</w:t>
      </w:r>
    </w:p>
    <w:p w14:paraId="39135431" w14:textId="77777777" w:rsidR="009C1144" w:rsidRPr="009C1144" w:rsidRDefault="009C1144" w:rsidP="009C1144">
      <w:pPr>
        <w:pStyle w:val="EndNoteBibliography"/>
        <w:ind w:left="720" w:hanging="720"/>
      </w:pPr>
      <w:r w:rsidRPr="009C1144">
        <w:t xml:space="preserve">15. Pozo-Rosich P, Dodick DW, Ettrup A, et al. Shift in diagnostic classification of migraine after initiation of preventive treatment with eptinezumab: post hoc analysis of the PROMISE studies. </w:t>
      </w:r>
      <w:r w:rsidRPr="009C1144">
        <w:rPr>
          <w:i/>
        </w:rPr>
        <w:t>BMC Neurol</w:t>
      </w:r>
      <w:r w:rsidRPr="009C1144">
        <w:t xml:space="preserve"> 2022;22(1):1-10.</w:t>
      </w:r>
    </w:p>
    <w:p w14:paraId="634F730D" w14:textId="77777777" w:rsidR="009C1144" w:rsidRPr="009C1144" w:rsidRDefault="009C1144" w:rsidP="009C1144">
      <w:pPr>
        <w:pStyle w:val="EndNoteBibliography"/>
        <w:ind w:left="720" w:hanging="720"/>
      </w:pPr>
      <w:r w:rsidRPr="009C1144">
        <w:t xml:space="preserve">16. Diener H, Dodick D, Aurora S, et al. OnabotulinumtoxinA for treatment of chronic migraine: results from the double-blind, randomized, placebo-controlled phase of the PREEMPT 2 trial. </w:t>
      </w:r>
      <w:r w:rsidRPr="009C1144">
        <w:rPr>
          <w:i/>
        </w:rPr>
        <w:t>Cephalalgia</w:t>
      </w:r>
      <w:r w:rsidRPr="009C1144">
        <w:t xml:space="preserve"> 2010;30(7):804-14.</w:t>
      </w:r>
    </w:p>
    <w:p w14:paraId="14121EF3" w14:textId="77777777" w:rsidR="009C1144" w:rsidRPr="009C1144" w:rsidRDefault="009C1144" w:rsidP="009C1144">
      <w:pPr>
        <w:pStyle w:val="EndNoteBibliography"/>
        <w:ind w:left="720" w:hanging="720"/>
      </w:pPr>
      <w:r w:rsidRPr="009C1144">
        <w:t xml:space="preserve">17. Dodick DW, Lipton RB, Silberstein S, et al. Eptinezumab for prevention of chronic migraine: a randomized phase 2b clinical trial. </w:t>
      </w:r>
      <w:r w:rsidRPr="009C1144">
        <w:rPr>
          <w:i/>
        </w:rPr>
        <w:t>Cephalalgia</w:t>
      </w:r>
      <w:r w:rsidRPr="009C1144">
        <w:t xml:space="preserve"> 2019;39(9):1075-85.</w:t>
      </w:r>
    </w:p>
    <w:p w14:paraId="1628FC6B" w14:textId="77777777" w:rsidR="009C1144" w:rsidRPr="009C1144" w:rsidRDefault="009C1144" w:rsidP="009C1144">
      <w:pPr>
        <w:pStyle w:val="EndNoteBibliography"/>
        <w:ind w:left="720" w:hanging="720"/>
      </w:pPr>
      <w:r w:rsidRPr="009C1144">
        <w:lastRenderedPageBreak/>
        <w:t xml:space="preserve">18. Ferrari MD, Diener HC, Ning X, et al. Fremanezumab versus placebo for migraine prevention in patients with documented failure to up to four migraine preventive medication classes (FOCUS): a randomised, double-blind, placebo-controlled, phase 3b trial. </w:t>
      </w:r>
      <w:r w:rsidRPr="009C1144">
        <w:rPr>
          <w:i/>
        </w:rPr>
        <w:t>The Lancet</w:t>
      </w:r>
      <w:r w:rsidRPr="009C1144">
        <w:t xml:space="preserve"> 2019;394(10203):1030-40.</w:t>
      </w:r>
    </w:p>
    <w:p w14:paraId="2F6F2253" w14:textId="77777777" w:rsidR="009C1144" w:rsidRPr="009C1144" w:rsidRDefault="009C1144" w:rsidP="009C1144">
      <w:pPr>
        <w:pStyle w:val="EndNoteBibliography"/>
        <w:ind w:left="720" w:hanging="720"/>
      </w:pPr>
      <w:r w:rsidRPr="009C1144">
        <w:t xml:space="preserve">19. Spierings EL, Ning X, Ramirez Campos V, et al. Improvements in quality of life and work productivity with up to 6 months of fremanezumab treatment in patients with episodic and chronic migraine and documented inadequate response to 2 to 4 classes of migraine‐preventive medications in the phase 3b FOCUS study. </w:t>
      </w:r>
      <w:r w:rsidRPr="009C1144">
        <w:rPr>
          <w:i/>
        </w:rPr>
        <w:t>Headache: The Journal of Head and Face Pain</w:t>
      </w:r>
      <w:r w:rsidRPr="009C1144">
        <w:t xml:space="preserve"> 2021;61(9):1376-86.</w:t>
      </w:r>
    </w:p>
    <w:p w14:paraId="7FD1850F" w14:textId="77777777" w:rsidR="009C1144" w:rsidRPr="009C1144" w:rsidRDefault="009C1144" w:rsidP="009C1144">
      <w:pPr>
        <w:pStyle w:val="EndNoteBibliography"/>
        <w:ind w:left="720" w:hanging="720"/>
      </w:pPr>
      <w:r w:rsidRPr="009C1144">
        <w:t xml:space="preserve">20. Ferrari MD, Zuurbier KW, Barash S, et al. Fremanezumab in individuals with chronic migraine who had inadequate response to onabotulinumtoxinA and topiramate or valproic acid. </w:t>
      </w:r>
      <w:r w:rsidRPr="009C1144">
        <w:rPr>
          <w:i/>
        </w:rPr>
        <w:t>Headache</w:t>
      </w:r>
      <w:r w:rsidRPr="009C1144">
        <w:t xml:space="preserve"> 2022;62(4):530.</w:t>
      </w:r>
    </w:p>
    <w:p w14:paraId="1EBF2CA5" w14:textId="77777777" w:rsidR="009C1144" w:rsidRPr="009C1144" w:rsidRDefault="009C1144" w:rsidP="009C1144">
      <w:pPr>
        <w:pStyle w:val="EndNoteBibliography"/>
        <w:ind w:left="720" w:hanging="720"/>
      </w:pPr>
      <w:r w:rsidRPr="009C1144">
        <w:t xml:space="preserve">21. MaassenVanDenBrink A, Terwindt GM, Cohen JM, et al. Impact of age and sex on the efficacy of fremanezumab in patients with difficult-to-treat migraine: results of the randomized, placebo-controlled, phase 3b FOCUS study. </w:t>
      </w:r>
      <w:r w:rsidRPr="009C1144">
        <w:rPr>
          <w:i/>
        </w:rPr>
        <w:t>The journal of headache and pain</w:t>
      </w:r>
      <w:r w:rsidRPr="009C1144">
        <w:t xml:space="preserve"> 2021;22(1):152.</w:t>
      </w:r>
    </w:p>
    <w:p w14:paraId="7C8C6CC4" w14:textId="77777777" w:rsidR="009C1144" w:rsidRPr="009C1144" w:rsidRDefault="009C1144" w:rsidP="009C1144">
      <w:pPr>
        <w:pStyle w:val="EndNoteBibliography"/>
        <w:ind w:left="720" w:hanging="720"/>
      </w:pPr>
      <w:r w:rsidRPr="009C1144">
        <w:t xml:space="preserve">22. Lipton RB, Goadsby PJ, Smith J, et al. Efficacy and safety of eptinezumab in patients with chronic migraine: PROMISE-2. </w:t>
      </w:r>
      <w:r w:rsidRPr="009C1144">
        <w:rPr>
          <w:i/>
        </w:rPr>
        <w:t>Neurology</w:t>
      </w:r>
      <w:r w:rsidRPr="009C1144">
        <w:t xml:space="preserve"> 2020;94(13):e1365-e77.</w:t>
      </w:r>
    </w:p>
    <w:p w14:paraId="3F0237D9" w14:textId="77777777" w:rsidR="009C1144" w:rsidRPr="009C1144" w:rsidRDefault="009C1144" w:rsidP="009C1144">
      <w:pPr>
        <w:pStyle w:val="EndNoteBibliography"/>
        <w:ind w:left="720" w:hanging="720"/>
      </w:pPr>
      <w:r w:rsidRPr="009C1144">
        <w:t xml:space="preserve">23. Diener HC, Marmura MJ, Tepper SJ, et al. Efficacy, tolerability, and safety of eptinezumab in patients with a dual diagnosis of chronic migraine and medication‐overuse headache: subgroup analysis of PROMISE‐2. </w:t>
      </w:r>
      <w:r w:rsidRPr="009C1144">
        <w:rPr>
          <w:i/>
        </w:rPr>
        <w:t>Headache: The Journal of Head and Face Pain</w:t>
      </w:r>
      <w:r w:rsidRPr="009C1144">
        <w:t xml:space="preserve"> 2021;61(1):125-36.</w:t>
      </w:r>
    </w:p>
    <w:p w14:paraId="00578386" w14:textId="77777777" w:rsidR="009C1144" w:rsidRPr="009C1144" w:rsidRDefault="009C1144" w:rsidP="009C1144">
      <w:pPr>
        <w:pStyle w:val="EndNoteBibliography"/>
        <w:ind w:left="720" w:hanging="720"/>
      </w:pPr>
      <w:r w:rsidRPr="009C1144">
        <w:t xml:space="preserve">24. Silberstein S, Diamond M, Hindiyeh NA, et al. Eptinezumab for the prevention of chronic migraine: efficacy and safety through 24 weeks of treatment in the phase 3 PROMISE-2 (Prevention of migraine via intravenous ALD403 safety and efficacy–2) study. </w:t>
      </w:r>
      <w:r w:rsidRPr="009C1144">
        <w:rPr>
          <w:i/>
        </w:rPr>
        <w:t>The journal of headache and pain</w:t>
      </w:r>
      <w:r w:rsidRPr="009C1144">
        <w:t xml:space="preserve"> 2020;21(1):1-12.</w:t>
      </w:r>
    </w:p>
    <w:p w14:paraId="360CD194" w14:textId="77777777" w:rsidR="009C1144" w:rsidRPr="009C1144" w:rsidRDefault="009C1144" w:rsidP="009C1144">
      <w:pPr>
        <w:pStyle w:val="EndNoteBibliography"/>
        <w:ind w:left="720" w:hanging="720"/>
      </w:pPr>
      <w:r w:rsidRPr="009C1144">
        <w:t xml:space="preserve">25. Buse DC, Winner PK, Charleston IV L, et al. Early response to eptinezumab indicates high likelihood of continued response in patients with chronic migraine. </w:t>
      </w:r>
      <w:r w:rsidRPr="009C1144">
        <w:rPr>
          <w:i/>
        </w:rPr>
        <w:t>The journal of headache and pain</w:t>
      </w:r>
      <w:r w:rsidRPr="009C1144">
        <w:t xml:space="preserve"> 2022;23(1):29.</w:t>
      </w:r>
    </w:p>
    <w:p w14:paraId="656EA323" w14:textId="77777777" w:rsidR="009C1144" w:rsidRPr="009C1144" w:rsidRDefault="009C1144" w:rsidP="009C1144">
      <w:pPr>
        <w:pStyle w:val="EndNoteBibliography"/>
        <w:ind w:left="720" w:hanging="720"/>
      </w:pPr>
      <w:r w:rsidRPr="009C1144">
        <w:t xml:space="preserve">26. Cowan RP, Marmura MJ, Diener H-C, et al. Quantity changes in acute headache medication use among patients with chronic migraine treated with eptinezumab: subanalysis of the PROMISE-2 study. </w:t>
      </w:r>
      <w:r w:rsidRPr="009C1144">
        <w:rPr>
          <w:i/>
        </w:rPr>
        <w:t>The Journal of Headache and Pain</w:t>
      </w:r>
      <w:r w:rsidRPr="009C1144">
        <w:t xml:space="preserve"> 2022;23(1):1-11.</w:t>
      </w:r>
    </w:p>
    <w:p w14:paraId="593C885D" w14:textId="77777777" w:rsidR="009C1144" w:rsidRPr="009C1144" w:rsidRDefault="009C1144" w:rsidP="009C1144">
      <w:pPr>
        <w:pStyle w:val="EndNoteBibliography"/>
        <w:ind w:left="720" w:hanging="720"/>
      </w:pPr>
      <w:r w:rsidRPr="009C1144">
        <w:t xml:space="preserve">27. Marmura MJ, Diener HC, Cowan RP, et al. Preventive migraine treatment with eptinezumab reduced acute headache medication and headache frequency to below diagnostic thresholds in patients with chronic migraine and medication‐overuse headache. </w:t>
      </w:r>
      <w:r w:rsidRPr="009C1144">
        <w:rPr>
          <w:i/>
        </w:rPr>
        <w:t>Headache: The Journal of Head and Face Pain</w:t>
      </w:r>
      <w:r w:rsidRPr="009C1144">
        <w:t xml:space="preserve"> 2021;61(9):1421-31.</w:t>
      </w:r>
    </w:p>
    <w:p w14:paraId="38C196AD" w14:textId="77777777" w:rsidR="009C1144" w:rsidRPr="009C1144" w:rsidRDefault="009C1144" w:rsidP="009C1144">
      <w:pPr>
        <w:pStyle w:val="EndNoteBibliography"/>
        <w:ind w:left="720" w:hanging="720"/>
      </w:pPr>
      <w:r w:rsidRPr="009C1144">
        <w:t xml:space="preserve">28. Lipton RB, Goadsby PJ, Dodick DW, et al. Evaluating the clinical utility of the patient‐identified most bothersome symptom measure from PROMISE‐2 for research in migraine prevention. </w:t>
      </w:r>
      <w:r w:rsidRPr="009C1144">
        <w:rPr>
          <w:i/>
        </w:rPr>
        <w:t>Headache: The Journal of Head and Face Pain</w:t>
      </w:r>
      <w:r w:rsidRPr="009C1144">
        <w:t xml:space="preserve"> 2022;62(6):690-99.</w:t>
      </w:r>
    </w:p>
    <w:p w14:paraId="17604261" w14:textId="77777777" w:rsidR="009C1144" w:rsidRPr="009C1144" w:rsidRDefault="009C1144" w:rsidP="009C1144">
      <w:pPr>
        <w:pStyle w:val="EndNoteBibliography"/>
        <w:ind w:left="720" w:hanging="720"/>
      </w:pPr>
      <w:r w:rsidRPr="009C1144">
        <w:t xml:space="preserve">29. Apelian R, Boyle L, Hirman J, et al. Measuring dose-related efficacy of eptinezumab for migraine prevention: post hoc analysis of PROMISE-1 and PROMISE-2. </w:t>
      </w:r>
      <w:r w:rsidRPr="009C1144">
        <w:rPr>
          <w:i/>
        </w:rPr>
        <w:t>The journal of headache and pain</w:t>
      </w:r>
      <w:r w:rsidRPr="009C1144">
        <w:t xml:space="preserve"> 2022;23(1):1-12.</w:t>
      </w:r>
    </w:p>
    <w:p w14:paraId="29652F18" w14:textId="77777777" w:rsidR="009C1144" w:rsidRPr="009C1144" w:rsidRDefault="009C1144" w:rsidP="009C1144">
      <w:pPr>
        <w:pStyle w:val="EndNoteBibliography"/>
        <w:ind w:left="720" w:hanging="720"/>
      </w:pPr>
      <w:r w:rsidRPr="009C1144">
        <w:t xml:space="preserve">30. Ashina M, McAllister P, Cady R, et al. Efficacy and safety of eptinezumab in patients with migraine and self-reported aura: Post hoc analysis of PROMISE-1 and PROMISE-2. </w:t>
      </w:r>
      <w:r w:rsidRPr="009C1144">
        <w:rPr>
          <w:i/>
        </w:rPr>
        <w:t>Cephalalgia</w:t>
      </w:r>
      <w:r w:rsidRPr="009C1144">
        <w:t xml:space="preserve"> 2022;42(8):696-704.</w:t>
      </w:r>
    </w:p>
    <w:p w14:paraId="1F68935F" w14:textId="77777777" w:rsidR="009C1144" w:rsidRPr="009C1144" w:rsidRDefault="009C1144" w:rsidP="009C1144">
      <w:pPr>
        <w:pStyle w:val="EndNoteBibliography"/>
        <w:ind w:left="720" w:hanging="720"/>
      </w:pPr>
      <w:r w:rsidRPr="009C1144">
        <w:t xml:space="preserve">31. Martin V, Nagy AJ, Janelidze M, et al. Impact of baseline characteristics on the efficacy and safety of Eptinezumab in patients with migraine: subgroup analyses of PROMISE-1 and PROMISE-2. </w:t>
      </w:r>
      <w:r w:rsidRPr="009C1144">
        <w:rPr>
          <w:i/>
        </w:rPr>
        <w:t>Clinical Therapeutics</w:t>
      </w:r>
      <w:r w:rsidRPr="009C1144">
        <w:t xml:space="preserve"> 2022;44(3):389-402.</w:t>
      </w:r>
    </w:p>
    <w:p w14:paraId="1FD15CA7" w14:textId="77777777" w:rsidR="009C1144" w:rsidRPr="009C1144" w:rsidRDefault="009C1144" w:rsidP="009C1144">
      <w:pPr>
        <w:pStyle w:val="EndNoteBibliography"/>
        <w:ind w:left="720" w:hanging="720"/>
      </w:pPr>
      <w:r w:rsidRPr="009C1144">
        <w:t xml:space="preserve">32. Martin V, Tassorelli C, Ettrup A, et al. Eptinezumab for migraine prevention in patients 50 years or older. </w:t>
      </w:r>
      <w:r w:rsidRPr="009C1144">
        <w:rPr>
          <w:i/>
        </w:rPr>
        <w:t>Acta Neurologica Scandinavica</w:t>
      </w:r>
      <w:r w:rsidRPr="009C1144">
        <w:t xml:space="preserve"> 2022;145(6):698-705.</w:t>
      </w:r>
    </w:p>
    <w:p w14:paraId="123275B0" w14:textId="77777777" w:rsidR="009C1144" w:rsidRPr="009C1144" w:rsidRDefault="009C1144" w:rsidP="009C1144">
      <w:pPr>
        <w:pStyle w:val="EndNoteBibliography"/>
        <w:ind w:left="720" w:hanging="720"/>
      </w:pPr>
      <w:r w:rsidRPr="009C1144">
        <w:lastRenderedPageBreak/>
        <w:t xml:space="preserve">33. McAllister P, Kudrow D, Cady R, et al. Reduction in migraine-associated burden after eptinezumab treatment in patients with chronic migraine. </w:t>
      </w:r>
      <w:r w:rsidRPr="009C1144">
        <w:rPr>
          <w:i/>
        </w:rPr>
        <w:t>Cephalalgia</w:t>
      </w:r>
      <w:r w:rsidRPr="009C1144">
        <w:t xml:space="preserve"> 2022;42(10):1005-12.</w:t>
      </w:r>
    </w:p>
    <w:p w14:paraId="45FAFFF3" w14:textId="77777777" w:rsidR="009C1144" w:rsidRPr="009C1144" w:rsidRDefault="009C1144" w:rsidP="009C1144">
      <w:pPr>
        <w:pStyle w:val="EndNoteBibliography"/>
        <w:ind w:left="720" w:hanging="720"/>
      </w:pPr>
      <w:r w:rsidRPr="009C1144">
        <w:t xml:space="preserve">34. Ashina M, Tepper SJ, Brandes JL, et al. Long‐term efficacy and safety of erenumab in patients with chronic migraine in whom prior preventive treatments had failed: A subgroup analysis. </w:t>
      </w:r>
      <w:r w:rsidRPr="009C1144">
        <w:rPr>
          <w:i/>
        </w:rPr>
        <w:t>Headache: The Journal of Head and Face Pain</w:t>
      </w:r>
      <w:r w:rsidRPr="009C1144">
        <w:t xml:space="preserve"> 2022;62(5):624-33.</w:t>
      </w:r>
    </w:p>
    <w:p w14:paraId="5023959B" w14:textId="77777777" w:rsidR="009C1144" w:rsidRPr="009C1144" w:rsidRDefault="009C1144" w:rsidP="009C1144">
      <w:pPr>
        <w:pStyle w:val="EndNoteBibliography"/>
        <w:ind w:left="720" w:hanging="720"/>
      </w:pPr>
      <w:r w:rsidRPr="009C1144">
        <w:t xml:space="preserve">35. Starling AJ, Cowan RP, Buse DC, et al. Eptinezumab improved patient‐reported outcomes in patients with migraine and medication‐overuse headache: Subgroup analysis of the randomized PROMISE‐2 trial. </w:t>
      </w:r>
      <w:r w:rsidRPr="009C1144">
        <w:rPr>
          <w:i/>
        </w:rPr>
        <w:t>Headache: The Journal of Head and Face Pain</w:t>
      </w:r>
      <w:r w:rsidRPr="009C1144">
        <w:t xml:space="preserve"> 2023;63(2):264-74.</w:t>
      </w:r>
    </w:p>
    <w:p w14:paraId="7B318D87" w14:textId="77777777" w:rsidR="009C1144" w:rsidRPr="009C1144" w:rsidRDefault="009C1144" w:rsidP="009C1144">
      <w:pPr>
        <w:pStyle w:val="EndNoteBibliography"/>
        <w:ind w:left="720" w:hanging="720"/>
      </w:pPr>
      <w:r w:rsidRPr="009C1144">
        <w:t xml:space="preserve">36. Rothrock JF, Adams AM, Lipton RB, et al. FORWARD study: evaluating the comparative effectiveness of onabotulinumtoxinA and topiramate for headache prevention in adults with chronic migraine. </w:t>
      </w:r>
      <w:r w:rsidRPr="009C1144">
        <w:rPr>
          <w:i/>
        </w:rPr>
        <w:t>Headache: The Journal of Head and Face Pain</w:t>
      </w:r>
      <w:r w:rsidRPr="009C1144">
        <w:t xml:space="preserve"> 2019;59(10):1700-13.</w:t>
      </w:r>
    </w:p>
    <w:p w14:paraId="09DA2A59" w14:textId="77777777" w:rsidR="009C1144" w:rsidRPr="009C1144" w:rsidRDefault="009C1144" w:rsidP="009C1144">
      <w:pPr>
        <w:pStyle w:val="EndNoteBibliography"/>
        <w:ind w:left="720" w:hanging="720"/>
      </w:pPr>
      <w:r w:rsidRPr="009C1144">
        <w:t xml:space="preserve">37. Blumenfeld AM, Patel AT, Turner IM, et al. Patient-reported outcomes from a 1-year, real-world, head-to-head comparison of onabotulinumtoxinA and topiramate for headache prevention in adults with chronic migraine. </w:t>
      </w:r>
      <w:r w:rsidRPr="009C1144">
        <w:rPr>
          <w:i/>
        </w:rPr>
        <w:t>Journal of Primary Care &amp; Community Health</w:t>
      </w:r>
      <w:r w:rsidRPr="009C1144">
        <w:t xml:space="preserve"> 2020;11:2150132720959936.</w:t>
      </w:r>
    </w:p>
    <w:p w14:paraId="57304970" w14:textId="77777777" w:rsidR="009C1144" w:rsidRPr="009C1144" w:rsidRDefault="009C1144" w:rsidP="009C1144">
      <w:pPr>
        <w:pStyle w:val="EndNoteBibliography"/>
        <w:ind w:left="720" w:hanging="720"/>
      </w:pPr>
      <w:r w:rsidRPr="009C1144">
        <w:t xml:space="preserve">38. Sakai F, Suzuki N, Kim BK, et al. Efficacy and safety of fremanezumab for chronic migraine prevention: Multicenter, randomized, double‐blind, placebo‐controlled, parallel‐group trial in Japanese and Korean patients. </w:t>
      </w:r>
      <w:r w:rsidRPr="009C1144">
        <w:rPr>
          <w:i/>
        </w:rPr>
        <w:t>Headache: The Journal of Head and Face Pain</w:t>
      </w:r>
      <w:r w:rsidRPr="009C1144">
        <w:t xml:space="preserve"> 2021;61(7):1092-101.</w:t>
      </w:r>
    </w:p>
    <w:p w14:paraId="1063BA07" w14:textId="77777777" w:rsidR="009C1144" w:rsidRPr="009C1144" w:rsidRDefault="009C1144" w:rsidP="009C1144">
      <w:pPr>
        <w:pStyle w:val="EndNoteBibliography"/>
        <w:ind w:left="720" w:hanging="720"/>
      </w:pPr>
      <w:r w:rsidRPr="009C1144">
        <w:t xml:space="preserve">39. Takeshima T, Nakai M, Shibasaki Y, et al. Early onset of efficacy with fremanezumab in patients with episodic and chronic migraine: subanalysis of two phase 2b/3 trials in Japanese and Korean patients. </w:t>
      </w:r>
      <w:r w:rsidRPr="009C1144">
        <w:rPr>
          <w:i/>
        </w:rPr>
        <w:t>The Journal of Headache and Pain</w:t>
      </w:r>
      <w:r w:rsidRPr="009C1144">
        <w:t xml:space="preserve"> 2022;23(1):1-9.</w:t>
      </w:r>
    </w:p>
    <w:p w14:paraId="345F754B" w14:textId="77777777" w:rsidR="009C1144" w:rsidRPr="009C1144" w:rsidRDefault="009C1144" w:rsidP="009C1144">
      <w:pPr>
        <w:pStyle w:val="EndNoteBibliography"/>
        <w:ind w:left="720" w:hanging="720"/>
      </w:pPr>
      <w:r w:rsidRPr="009C1144">
        <w:t xml:space="preserve">40. Saigoh K, Takeshima T, Nakai M, et al. Fremanezumab for Chronic Migraine Prevention in Japanese Patients: Subgroup Analysis from Two International Trials. </w:t>
      </w:r>
      <w:r w:rsidRPr="009C1144">
        <w:rPr>
          <w:i/>
        </w:rPr>
        <w:t>Journal of Pain Research</w:t>
      </w:r>
      <w:r w:rsidRPr="009C1144">
        <w:t xml:space="preserve"> 2023:1311-19.</w:t>
      </w:r>
    </w:p>
    <w:p w14:paraId="4D73BE9A" w14:textId="77777777" w:rsidR="009C1144" w:rsidRPr="009C1144" w:rsidRDefault="009C1144" w:rsidP="009C1144">
      <w:pPr>
        <w:pStyle w:val="EndNoteBibliography"/>
        <w:ind w:left="720" w:hanging="720"/>
      </w:pPr>
      <w:r w:rsidRPr="009C1144">
        <w:t xml:space="preserve">41. Silberstein SD, Lipton RB, Dodick DW, et al. Efficacy and safety of topiramate for the treatment of chronic migraine: A randomized, double‐blind, placebo‐controlled trial. </w:t>
      </w:r>
      <w:r w:rsidRPr="009C1144">
        <w:rPr>
          <w:i/>
        </w:rPr>
        <w:t>Headache: The Journal of Head and Face Pain</w:t>
      </w:r>
      <w:r w:rsidRPr="009C1144">
        <w:t xml:space="preserve"> 2007;47(2):170-80.</w:t>
      </w:r>
    </w:p>
    <w:p w14:paraId="6383F1EA" w14:textId="77777777" w:rsidR="009C1144" w:rsidRPr="009C1144" w:rsidRDefault="009C1144" w:rsidP="009C1144">
      <w:pPr>
        <w:pStyle w:val="EndNoteBibliography"/>
        <w:ind w:left="720" w:hanging="720"/>
      </w:pPr>
      <w:r w:rsidRPr="009C1144">
        <w:t xml:space="preserve">42. Silberstein S, Lipton R, Dodick D, et al. Topiramate treatment of chronic migraine: A randomized, placebo‐controlled trial of quality of life and other efficacy measures. </w:t>
      </w:r>
      <w:r w:rsidRPr="009C1144">
        <w:rPr>
          <w:i/>
        </w:rPr>
        <w:t>Headache: The Journal of Head and Face Pain</w:t>
      </w:r>
      <w:r w:rsidRPr="009C1144">
        <w:t xml:space="preserve"> 2009;49(8):1153-62.</w:t>
      </w:r>
    </w:p>
    <w:p w14:paraId="76040CE7" w14:textId="77777777" w:rsidR="009C1144" w:rsidRPr="009C1144" w:rsidRDefault="009C1144" w:rsidP="009C1144">
      <w:pPr>
        <w:pStyle w:val="EndNoteBibliography"/>
        <w:ind w:left="720" w:hanging="720"/>
      </w:pPr>
      <w:r w:rsidRPr="009C1144">
        <w:t xml:space="preserve">43. Dodick DW, Silberstein S, Saper J, et al. The impact of topiramate on health‐related quality of life indicators in chronic migraine. </w:t>
      </w:r>
      <w:r w:rsidRPr="009C1144">
        <w:rPr>
          <w:i/>
        </w:rPr>
        <w:t>Headache: The Journal of Head and Face Pain</w:t>
      </w:r>
      <w:r w:rsidRPr="009C1144">
        <w:t xml:space="preserve"> 2007;47(10):1398-408.</w:t>
      </w:r>
    </w:p>
    <w:p w14:paraId="61808B48" w14:textId="77777777" w:rsidR="009C1144" w:rsidRPr="009C1144" w:rsidRDefault="009C1144" w:rsidP="009C1144">
      <w:pPr>
        <w:pStyle w:val="EndNoteBibliography"/>
        <w:ind w:left="720" w:hanging="720"/>
      </w:pPr>
      <w:r w:rsidRPr="009C1144">
        <w:t xml:space="preserve">44. Silberstein SD, Dodick DW, Bigal ME, et al. Fremanezumab for the preventive treatment of chronic migraine. </w:t>
      </w:r>
      <w:r w:rsidRPr="009C1144">
        <w:rPr>
          <w:i/>
        </w:rPr>
        <w:t>New England Journal of Medicine</w:t>
      </w:r>
      <w:r w:rsidRPr="009C1144">
        <w:t xml:space="preserve"> 2017;377(22):2113-22.</w:t>
      </w:r>
    </w:p>
    <w:p w14:paraId="387E2272" w14:textId="77777777" w:rsidR="009C1144" w:rsidRPr="009C1144" w:rsidRDefault="009C1144" w:rsidP="009C1144">
      <w:pPr>
        <w:pStyle w:val="EndNoteBibliography"/>
        <w:ind w:left="720" w:hanging="720"/>
      </w:pPr>
      <w:r w:rsidRPr="009C1144">
        <w:t xml:space="preserve">45. Winner PK, Spierings EL, Yeung PP, et al. Early onset of efficacy with fremanezumab for the preventive treatment of chronic migraine. </w:t>
      </w:r>
      <w:r w:rsidRPr="009C1144">
        <w:rPr>
          <w:i/>
        </w:rPr>
        <w:t>Headache: The Journal of Head and Face Pain</w:t>
      </w:r>
      <w:r w:rsidRPr="009C1144">
        <w:t xml:space="preserve"> 2019;59(10):1743-52.</w:t>
      </w:r>
    </w:p>
    <w:p w14:paraId="64B6D294" w14:textId="77777777" w:rsidR="009C1144" w:rsidRPr="009C1144" w:rsidRDefault="009C1144" w:rsidP="009C1144">
      <w:pPr>
        <w:pStyle w:val="EndNoteBibliography"/>
        <w:ind w:left="720" w:hanging="720"/>
      </w:pPr>
      <w:r w:rsidRPr="009C1144">
        <w:t xml:space="preserve">46. Lipton RB, Cohen JM, Gandhi SK, et al. Effect of fremanezumab on quality of life and productivity in patients with chronic migraine. </w:t>
      </w:r>
      <w:r w:rsidRPr="009C1144">
        <w:rPr>
          <w:i/>
        </w:rPr>
        <w:t>Neurology</w:t>
      </w:r>
      <w:r w:rsidRPr="009C1144">
        <w:t xml:space="preserve"> 2020;95(7):e878-e88.</w:t>
      </w:r>
    </w:p>
    <w:p w14:paraId="6511F241" w14:textId="77777777" w:rsidR="009C1144" w:rsidRPr="009C1144" w:rsidRDefault="009C1144" w:rsidP="009C1144">
      <w:pPr>
        <w:pStyle w:val="EndNoteBibliography"/>
        <w:ind w:left="720" w:hanging="720"/>
      </w:pPr>
      <w:r w:rsidRPr="009C1144">
        <w:t xml:space="preserve">47. Silberstein SD, Cohen JM, Seminerio MJ, et al. The impact of fremanezumab on medication overuse in patients with chronic migraine: subgroup analysis of the HALO CM study. </w:t>
      </w:r>
      <w:r w:rsidRPr="009C1144">
        <w:rPr>
          <w:i/>
        </w:rPr>
        <w:t>The journal of headache and pain</w:t>
      </w:r>
      <w:r w:rsidRPr="009C1144">
        <w:t xml:space="preserve"> 2020;21(1):1-10.</w:t>
      </w:r>
    </w:p>
    <w:p w14:paraId="3D010A6E" w14:textId="77777777" w:rsidR="009C1144" w:rsidRPr="009C1144" w:rsidRDefault="009C1144" w:rsidP="009C1144">
      <w:pPr>
        <w:pStyle w:val="EndNoteBibliography"/>
        <w:ind w:left="720" w:hanging="720"/>
      </w:pPr>
      <w:r w:rsidRPr="009C1144">
        <w:t xml:space="preserve">48. Blumenfeld AM, Stevanovic DM, Ortega M, et al. No “Wearing‐Off Effect” Seen in Quarterly or Monthly Dosing of Fremanezumab: Subanalysis of a Randomized Long‐Term Study. </w:t>
      </w:r>
      <w:r w:rsidRPr="009C1144">
        <w:rPr>
          <w:i/>
        </w:rPr>
        <w:t>Headache: The Journal of Head and Face Pain</w:t>
      </w:r>
      <w:r w:rsidRPr="009C1144">
        <w:t xml:space="preserve"> 2020;60(10):2431-43.</w:t>
      </w:r>
    </w:p>
    <w:p w14:paraId="4B483E2A" w14:textId="77777777" w:rsidR="009C1144" w:rsidRPr="009C1144" w:rsidRDefault="009C1144" w:rsidP="009C1144">
      <w:pPr>
        <w:pStyle w:val="EndNoteBibliography"/>
        <w:ind w:left="720" w:hanging="720"/>
      </w:pPr>
      <w:r w:rsidRPr="009C1144">
        <w:t xml:space="preserve">49. Tepper S, Ashina M, Reuter U, et al. Safety and efficacy of erenumab for preventive treatment of chronic migraine: a randomised, double-blind, placebo-controlled phase 2 trial. </w:t>
      </w:r>
      <w:r w:rsidRPr="009C1144">
        <w:rPr>
          <w:i/>
        </w:rPr>
        <w:t>The Lancet Neurology</w:t>
      </w:r>
      <w:r w:rsidRPr="009C1144">
        <w:t xml:space="preserve"> 2017;16(6):425-34.</w:t>
      </w:r>
    </w:p>
    <w:p w14:paraId="79D745EE" w14:textId="77777777" w:rsidR="009C1144" w:rsidRPr="009C1144" w:rsidRDefault="009C1144" w:rsidP="009C1144">
      <w:pPr>
        <w:pStyle w:val="EndNoteBibliography"/>
        <w:ind w:left="720" w:hanging="720"/>
      </w:pPr>
      <w:r w:rsidRPr="009C1144">
        <w:lastRenderedPageBreak/>
        <w:t xml:space="preserve">50. Brandes JL, Diener H-C, Dolezil D, et al. The spectrum of response to erenumab in patients with chronic migraine and subgroup analysis of patients achieving≥ 50%,≥ 75%, and 100% response. </w:t>
      </w:r>
      <w:r w:rsidRPr="009C1144">
        <w:rPr>
          <w:i/>
        </w:rPr>
        <w:t>Cephalalgia</w:t>
      </w:r>
      <w:r w:rsidRPr="009C1144">
        <w:t xml:space="preserve"> 2020;40(1):28-38.</w:t>
      </w:r>
    </w:p>
    <w:p w14:paraId="4FBDC73F" w14:textId="77777777" w:rsidR="009C1144" w:rsidRPr="009C1144" w:rsidRDefault="009C1144" w:rsidP="009C1144">
      <w:pPr>
        <w:pStyle w:val="EndNoteBibliography"/>
        <w:ind w:left="720" w:hanging="720"/>
      </w:pPr>
      <w:r w:rsidRPr="009C1144">
        <w:t xml:space="preserve">51. Ashina M, Tepper S, Brandes JL, et al. Efficacy and safety of erenumab (AMG334) in chronic migraine patients with prior preventive treatment failure: a subgroup analysis of a randomized, double-blind, placebo-controlled study. </w:t>
      </w:r>
      <w:r w:rsidRPr="009C1144">
        <w:rPr>
          <w:i/>
        </w:rPr>
        <w:t>Cephalalgia</w:t>
      </w:r>
      <w:r w:rsidRPr="009C1144">
        <w:t xml:space="preserve"> 2018;38(10):1611-21.</w:t>
      </w:r>
    </w:p>
    <w:p w14:paraId="0210A10D" w14:textId="77777777" w:rsidR="009C1144" w:rsidRPr="009C1144" w:rsidRDefault="009C1144" w:rsidP="009C1144">
      <w:pPr>
        <w:pStyle w:val="EndNoteBibliography"/>
        <w:ind w:left="720" w:hanging="720"/>
      </w:pPr>
      <w:r w:rsidRPr="009C1144">
        <w:t xml:space="preserve">52. Tepper SJ, Diener H-C, Ashina M, et al. Erenumab in chronic migraine with medication overuse: subgroup analysis of a randomized trial. </w:t>
      </w:r>
      <w:r w:rsidRPr="009C1144">
        <w:rPr>
          <w:i/>
        </w:rPr>
        <w:t>Neurology</w:t>
      </w:r>
      <w:r w:rsidRPr="009C1144">
        <w:t xml:space="preserve"> 2019;92(20):e2309-e20.</w:t>
      </w:r>
    </w:p>
    <w:p w14:paraId="228E5AD7" w14:textId="77777777" w:rsidR="009C1144" w:rsidRPr="009C1144" w:rsidRDefault="009C1144" w:rsidP="009C1144">
      <w:pPr>
        <w:pStyle w:val="EndNoteBibliography"/>
        <w:ind w:left="720" w:hanging="720"/>
      </w:pPr>
      <w:r w:rsidRPr="009C1144">
        <w:t xml:space="preserve">53. Lipton RB, Tepper SJ, Reuter U, et al. Erenumab in chronic migraine: patient-reported outcomes in a randomized double-blind study. </w:t>
      </w:r>
      <w:r w:rsidRPr="009C1144">
        <w:rPr>
          <w:i/>
        </w:rPr>
        <w:t>Neurology</w:t>
      </w:r>
      <w:r w:rsidRPr="009C1144">
        <w:t xml:space="preserve"> 2019;92(19):e2250-e60.</w:t>
      </w:r>
    </w:p>
    <w:p w14:paraId="3D52032A" w14:textId="77777777" w:rsidR="009C1144" w:rsidRPr="009C1144" w:rsidRDefault="009C1144" w:rsidP="009C1144">
      <w:pPr>
        <w:pStyle w:val="EndNoteBibliography"/>
        <w:ind w:left="720" w:hanging="720"/>
      </w:pPr>
      <w:r w:rsidRPr="009C1144">
        <w:t xml:space="preserve">54. Yu S, Kim B-K, Wang H, et al. A phase 3, randomised, placebo-controlled study of erenumab for the prevention of chronic migraine in patients from Asia: the DRAGON study. </w:t>
      </w:r>
      <w:r w:rsidRPr="009C1144">
        <w:rPr>
          <w:i/>
        </w:rPr>
        <w:t>The Journal of Headache and Pain</w:t>
      </w:r>
      <w:r w:rsidRPr="009C1144">
        <w:t xml:space="preserve"> 2022;23(1):146.</w:t>
      </w:r>
    </w:p>
    <w:p w14:paraId="1A302BEB" w14:textId="40B94B03" w:rsidR="006835A1" w:rsidRDefault="00CC67A5" w:rsidP="009C1144">
      <w:r>
        <w:fldChar w:fldCharType="end"/>
      </w:r>
    </w:p>
    <w:sectPr w:rsidR="006835A1" w:rsidSect="001C72B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9EB67D" w14:textId="77777777" w:rsidR="00995585" w:rsidRDefault="00995585">
      <w:pPr>
        <w:spacing w:after="0" w:line="240" w:lineRule="auto"/>
      </w:pPr>
      <w:r>
        <w:separator/>
      </w:r>
    </w:p>
  </w:endnote>
  <w:endnote w:type="continuationSeparator" w:id="0">
    <w:p w14:paraId="7DE4A1B1" w14:textId="77777777" w:rsidR="00995585" w:rsidRDefault="00995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31776"/>
      <w:docPartObj>
        <w:docPartGallery w:val="Page Numbers (Bottom of Page)"/>
        <w:docPartUnique/>
      </w:docPartObj>
    </w:sdtPr>
    <w:sdtEndPr>
      <w:rPr>
        <w:noProof/>
      </w:rPr>
    </w:sdtEndPr>
    <w:sdtContent>
      <w:p w14:paraId="6473E76B" w14:textId="72090A15" w:rsidR="007D2372" w:rsidRDefault="007D2372">
        <w:pPr>
          <w:pStyle w:val="Footer"/>
          <w:jc w:val="center"/>
        </w:pPr>
        <w:r>
          <w:fldChar w:fldCharType="begin"/>
        </w:r>
        <w:r>
          <w:instrText xml:space="preserve"> PAGE   \* MERGEFORMAT </w:instrText>
        </w:r>
        <w:r>
          <w:fldChar w:fldCharType="separate"/>
        </w:r>
        <w:r w:rsidR="00CC2F87">
          <w:rPr>
            <w:noProof/>
          </w:rPr>
          <w:t>53</w:t>
        </w:r>
        <w:r>
          <w:rPr>
            <w:noProof/>
          </w:rPr>
          <w:fldChar w:fldCharType="end"/>
        </w:r>
      </w:p>
    </w:sdtContent>
  </w:sdt>
  <w:p w14:paraId="1C411701" w14:textId="77777777" w:rsidR="007D2372" w:rsidRDefault="007D23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8830F3" w14:textId="77777777" w:rsidR="00995585" w:rsidRDefault="00995585">
      <w:pPr>
        <w:spacing w:after="0" w:line="240" w:lineRule="auto"/>
      </w:pPr>
      <w:r>
        <w:separator/>
      </w:r>
    </w:p>
  </w:footnote>
  <w:footnote w:type="continuationSeparator" w:id="0">
    <w:p w14:paraId="3FE9D69A" w14:textId="77777777" w:rsidR="00995585" w:rsidRDefault="009955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4E20"/>
    <w:multiLevelType w:val="hybridMultilevel"/>
    <w:tmpl w:val="B9A0D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C220D9"/>
    <w:multiLevelType w:val="hybridMultilevel"/>
    <w:tmpl w:val="194844FE"/>
    <w:lvl w:ilvl="0" w:tplc="08090001">
      <w:start w:val="1"/>
      <w:numFmt w:val="bullet"/>
      <w:lvlText w:val=""/>
      <w:lvlJc w:val="left"/>
      <w:pPr>
        <w:ind w:left="728" w:hanging="360"/>
      </w:pPr>
      <w:rPr>
        <w:rFonts w:ascii="Symbol" w:hAnsi="Symbol" w:hint="default"/>
      </w:rPr>
    </w:lvl>
    <w:lvl w:ilvl="1" w:tplc="08090003" w:tentative="1">
      <w:start w:val="1"/>
      <w:numFmt w:val="bullet"/>
      <w:lvlText w:val="o"/>
      <w:lvlJc w:val="left"/>
      <w:pPr>
        <w:ind w:left="1448" w:hanging="360"/>
      </w:pPr>
      <w:rPr>
        <w:rFonts w:ascii="Courier New" w:hAnsi="Courier New" w:cs="Courier New" w:hint="default"/>
      </w:rPr>
    </w:lvl>
    <w:lvl w:ilvl="2" w:tplc="08090005" w:tentative="1">
      <w:start w:val="1"/>
      <w:numFmt w:val="bullet"/>
      <w:lvlText w:val=""/>
      <w:lvlJc w:val="left"/>
      <w:pPr>
        <w:ind w:left="2168" w:hanging="360"/>
      </w:pPr>
      <w:rPr>
        <w:rFonts w:ascii="Wingdings" w:hAnsi="Wingdings" w:hint="default"/>
      </w:rPr>
    </w:lvl>
    <w:lvl w:ilvl="3" w:tplc="08090001" w:tentative="1">
      <w:start w:val="1"/>
      <w:numFmt w:val="bullet"/>
      <w:lvlText w:val=""/>
      <w:lvlJc w:val="left"/>
      <w:pPr>
        <w:ind w:left="2888" w:hanging="360"/>
      </w:pPr>
      <w:rPr>
        <w:rFonts w:ascii="Symbol" w:hAnsi="Symbol" w:hint="default"/>
      </w:rPr>
    </w:lvl>
    <w:lvl w:ilvl="4" w:tplc="08090003" w:tentative="1">
      <w:start w:val="1"/>
      <w:numFmt w:val="bullet"/>
      <w:lvlText w:val="o"/>
      <w:lvlJc w:val="left"/>
      <w:pPr>
        <w:ind w:left="3608" w:hanging="360"/>
      </w:pPr>
      <w:rPr>
        <w:rFonts w:ascii="Courier New" w:hAnsi="Courier New" w:cs="Courier New" w:hint="default"/>
      </w:rPr>
    </w:lvl>
    <w:lvl w:ilvl="5" w:tplc="08090005" w:tentative="1">
      <w:start w:val="1"/>
      <w:numFmt w:val="bullet"/>
      <w:lvlText w:val=""/>
      <w:lvlJc w:val="left"/>
      <w:pPr>
        <w:ind w:left="4328" w:hanging="360"/>
      </w:pPr>
      <w:rPr>
        <w:rFonts w:ascii="Wingdings" w:hAnsi="Wingdings" w:hint="default"/>
      </w:rPr>
    </w:lvl>
    <w:lvl w:ilvl="6" w:tplc="08090001" w:tentative="1">
      <w:start w:val="1"/>
      <w:numFmt w:val="bullet"/>
      <w:lvlText w:val=""/>
      <w:lvlJc w:val="left"/>
      <w:pPr>
        <w:ind w:left="5048" w:hanging="360"/>
      </w:pPr>
      <w:rPr>
        <w:rFonts w:ascii="Symbol" w:hAnsi="Symbol" w:hint="default"/>
      </w:rPr>
    </w:lvl>
    <w:lvl w:ilvl="7" w:tplc="08090003" w:tentative="1">
      <w:start w:val="1"/>
      <w:numFmt w:val="bullet"/>
      <w:lvlText w:val="o"/>
      <w:lvlJc w:val="left"/>
      <w:pPr>
        <w:ind w:left="5768" w:hanging="360"/>
      </w:pPr>
      <w:rPr>
        <w:rFonts w:ascii="Courier New" w:hAnsi="Courier New" w:cs="Courier New" w:hint="default"/>
      </w:rPr>
    </w:lvl>
    <w:lvl w:ilvl="8" w:tplc="08090005" w:tentative="1">
      <w:start w:val="1"/>
      <w:numFmt w:val="bullet"/>
      <w:lvlText w:val=""/>
      <w:lvlJc w:val="left"/>
      <w:pPr>
        <w:ind w:left="6488" w:hanging="360"/>
      </w:pPr>
      <w:rPr>
        <w:rFonts w:ascii="Wingdings" w:hAnsi="Wingdings" w:hint="default"/>
      </w:rPr>
    </w:lvl>
  </w:abstractNum>
  <w:abstractNum w:abstractNumId="2">
    <w:nsid w:val="0A771856"/>
    <w:multiLevelType w:val="hybridMultilevel"/>
    <w:tmpl w:val="85E4F51C"/>
    <w:lvl w:ilvl="0" w:tplc="08090001">
      <w:start w:val="1"/>
      <w:numFmt w:val="bullet"/>
      <w:lvlText w:val=""/>
      <w:lvlJc w:val="left"/>
      <w:pPr>
        <w:ind w:left="728" w:hanging="360"/>
      </w:pPr>
      <w:rPr>
        <w:rFonts w:ascii="Symbol" w:hAnsi="Symbol" w:hint="default"/>
      </w:rPr>
    </w:lvl>
    <w:lvl w:ilvl="1" w:tplc="08090003" w:tentative="1">
      <w:start w:val="1"/>
      <w:numFmt w:val="bullet"/>
      <w:lvlText w:val="o"/>
      <w:lvlJc w:val="left"/>
      <w:pPr>
        <w:ind w:left="1448" w:hanging="360"/>
      </w:pPr>
      <w:rPr>
        <w:rFonts w:ascii="Courier New" w:hAnsi="Courier New" w:cs="Courier New" w:hint="default"/>
      </w:rPr>
    </w:lvl>
    <w:lvl w:ilvl="2" w:tplc="08090005" w:tentative="1">
      <w:start w:val="1"/>
      <w:numFmt w:val="bullet"/>
      <w:lvlText w:val=""/>
      <w:lvlJc w:val="left"/>
      <w:pPr>
        <w:ind w:left="2168" w:hanging="360"/>
      </w:pPr>
      <w:rPr>
        <w:rFonts w:ascii="Wingdings" w:hAnsi="Wingdings" w:hint="default"/>
      </w:rPr>
    </w:lvl>
    <w:lvl w:ilvl="3" w:tplc="08090001" w:tentative="1">
      <w:start w:val="1"/>
      <w:numFmt w:val="bullet"/>
      <w:lvlText w:val=""/>
      <w:lvlJc w:val="left"/>
      <w:pPr>
        <w:ind w:left="2888" w:hanging="360"/>
      </w:pPr>
      <w:rPr>
        <w:rFonts w:ascii="Symbol" w:hAnsi="Symbol" w:hint="default"/>
      </w:rPr>
    </w:lvl>
    <w:lvl w:ilvl="4" w:tplc="08090003" w:tentative="1">
      <w:start w:val="1"/>
      <w:numFmt w:val="bullet"/>
      <w:lvlText w:val="o"/>
      <w:lvlJc w:val="left"/>
      <w:pPr>
        <w:ind w:left="3608" w:hanging="360"/>
      </w:pPr>
      <w:rPr>
        <w:rFonts w:ascii="Courier New" w:hAnsi="Courier New" w:cs="Courier New" w:hint="default"/>
      </w:rPr>
    </w:lvl>
    <w:lvl w:ilvl="5" w:tplc="08090005" w:tentative="1">
      <w:start w:val="1"/>
      <w:numFmt w:val="bullet"/>
      <w:lvlText w:val=""/>
      <w:lvlJc w:val="left"/>
      <w:pPr>
        <w:ind w:left="4328" w:hanging="360"/>
      </w:pPr>
      <w:rPr>
        <w:rFonts w:ascii="Wingdings" w:hAnsi="Wingdings" w:hint="default"/>
      </w:rPr>
    </w:lvl>
    <w:lvl w:ilvl="6" w:tplc="08090001" w:tentative="1">
      <w:start w:val="1"/>
      <w:numFmt w:val="bullet"/>
      <w:lvlText w:val=""/>
      <w:lvlJc w:val="left"/>
      <w:pPr>
        <w:ind w:left="5048" w:hanging="360"/>
      </w:pPr>
      <w:rPr>
        <w:rFonts w:ascii="Symbol" w:hAnsi="Symbol" w:hint="default"/>
      </w:rPr>
    </w:lvl>
    <w:lvl w:ilvl="7" w:tplc="08090003" w:tentative="1">
      <w:start w:val="1"/>
      <w:numFmt w:val="bullet"/>
      <w:lvlText w:val="o"/>
      <w:lvlJc w:val="left"/>
      <w:pPr>
        <w:ind w:left="5768" w:hanging="360"/>
      </w:pPr>
      <w:rPr>
        <w:rFonts w:ascii="Courier New" w:hAnsi="Courier New" w:cs="Courier New" w:hint="default"/>
      </w:rPr>
    </w:lvl>
    <w:lvl w:ilvl="8" w:tplc="08090005" w:tentative="1">
      <w:start w:val="1"/>
      <w:numFmt w:val="bullet"/>
      <w:lvlText w:val=""/>
      <w:lvlJc w:val="left"/>
      <w:pPr>
        <w:ind w:left="6488" w:hanging="360"/>
      </w:pPr>
      <w:rPr>
        <w:rFonts w:ascii="Wingdings" w:hAnsi="Wingdings" w:hint="default"/>
      </w:rPr>
    </w:lvl>
  </w:abstractNum>
  <w:abstractNum w:abstractNumId="3">
    <w:nsid w:val="18A4087E"/>
    <w:multiLevelType w:val="hybridMultilevel"/>
    <w:tmpl w:val="0CCC4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9A22281"/>
    <w:multiLevelType w:val="hybridMultilevel"/>
    <w:tmpl w:val="C5D05D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A446986"/>
    <w:multiLevelType w:val="hybridMultilevel"/>
    <w:tmpl w:val="D6D8C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B303FF"/>
    <w:multiLevelType w:val="hybridMultilevel"/>
    <w:tmpl w:val="0DBAD69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
    <w:nsid w:val="1B7E6A2D"/>
    <w:multiLevelType w:val="hybridMultilevel"/>
    <w:tmpl w:val="2CBC961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F8C7245"/>
    <w:multiLevelType w:val="hybridMultilevel"/>
    <w:tmpl w:val="461E53AC"/>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9">
    <w:nsid w:val="1FDF6A66"/>
    <w:multiLevelType w:val="multilevel"/>
    <w:tmpl w:val="0DFE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1952AD"/>
    <w:multiLevelType w:val="hybridMultilevel"/>
    <w:tmpl w:val="D99AA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3BF15C0"/>
    <w:multiLevelType w:val="hybridMultilevel"/>
    <w:tmpl w:val="ECE8150A"/>
    <w:lvl w:ilvl="0" w:tplc="08090001">
      <w:start w:val="1"/>
      <w:numFmt w:val="bullet"/>
      <w:lvlText w:val=""/>
      <w:lvlJc w:val="left"/>
      <w:pPr>
        <w:ind w:left="794" w:hanging="360"/>
      </w:pPr>
      <w:rPr>
        <w:rFonts w:ascii="Symbol" w:hAnsi="Symbol" w:hint="default"/>
      </w:rPr>
    </w:lvl>
    <w:lvl w:ilvl="1" w:tplc="08090003">
      <w:start w:val="1"/>
      <w:numFmt w:val="bullet"/>
      <w:lvlText w:val="o"/>
      <w:lvlJc w:val="left"/>
      <w:pPr>
        <w:ind w:left="1514" w:hanging="360"/>
      </w:pPr>
      <w:rPr>
        <w:rFonts w:ascii="Courier New" w:hAnsi="Courier New" w:cs="Courier New" w:hint="default"/>
      </w:rPr>
    </w:lvl>
    <w:lvl w:ilvl="2" w:tplc="08090005" w:tentative="1">
      <w:start w:val="1"/>
      <w:numFmt w:val="bullet"/>
      <w:lvlText w:val=""/>
      <w:lvlJc w:val="left"/>
      <w:pPr>
        <w:ind w:left="2234" w:hanging="360"/>
      </w:pPr>
      <w:rPr>
        <w:rFonts w:ascii="Wingdings" w:hAnsi="Wingdings" w:hint="default"/>
      </w:rPr>
    </w:lvl>
    <w:lvl w:ilvl="3" w:tplc="08090001" w:tentative="1">
      <w:start w:val="1"/>
      <w:numFmt w:val="bullet"/>
      <w:lvlText w:val=""/>
      <w:lvlJc w:val="left"/>
      <w:pPr>
        <w:ind w:left="2954" w:hanging="360"/>
      </w:pPr>
      <w:rPr>
        <w:rFonts w:ascii="Symbol" w:hAnsi="Symbol" w:hint="default"/>
      </w:rPr>
    </w:lvl>
    <w:lvl w:ilvl="4" w:tplc="08090003" w:tentative="1">
      <w:start w:val="1"/>
      <w:numFmt w:val="bullet"/>
      <w:lvlText w:val="o"/>
      <w:lvlJc w:val="left"/>
      <w:pPr>
        <w:ind w:left="3674" w:hanging="360"/>
      </w:pPr>
      <w:rPr>
        <w:rFonts w:ascii="Courier New" w:hAnsi="Courier New" w:cs="Courier New" w:hint="default"/>
      </w:rPr>
    </w:lvl>
    <w:lvl w:ilvl="5" w:tplc="08090005" w:tentative="1">
      <w:start w:val="1"/>
      <w:numFmt w:val="bullet"/>
      <w:lvlText w:val=""/>
      <w:lvlJc w:val="left"/>
      <w:pPr>
        <w:ind w:left="4394" w:hanging="360"/>
      </w:pPr>
      <w:rPr>
        <w:rFonts w:ascii="Wingdings" w:hAnsi="Wingdings" w:hint="default"/>
      </w:rPr>
    </w:lvl>
    <w:lvl w:ilvl="6" w:tplc="08090001" w:tentative="1">
      <w:start w:val="1"/>
      <w:numFmt w:val="bullet"/>
      <w:lvlText w:val=""/>
      <w:lvlJc w:val="left"/>
      <w:pPr>
        <w:ind w:left="5114" w:hanging="360"/>
      </w:pPr>
      <w:rPr>
        <w:rFonts w:ascii="Symbol" w:hAnsi="Symbol" w:hint="default"/>
      </w:rPr>
    </w:lvl>
    <w:lvl w:ilvl="7" w:tplc="08090003" w:tentative="1">
      <w:start w:val="1"/>
      <w:numFmt w:val="bullet"/>
      <w:lvlText w:val="o"/>
      <w:lvlJc w:val="left"/>
      <w:pPr>
        <w:ind w:left="5834" w:hanging="360"/>
      </w:pPr>
      <w:rPr>
        <w:rFonts w:ascii="Courier New" w:hAnsi="Courier New" w:cs="Courier New" w:hint="default"/>
      </w:rPr>
    </w:lvl>
    <w:lvl w:ilvl="8" w:tplc="08090005" w:tentative="1">
      <w:start w:val="1"/>
      <w:numFmt w:val="bullet"/>
      <w:lvlText w:val=""/>
      <w:lvlJc w:val="left"/>
      <w:pPr>
        <w:ind w:left="6554" w:hanging="360"/>
      </w:pPr>
      <w:rPr>
        <w:rFonts w:ascii="Wingdings" w:hAnsi="Wingdings" w:hint="default"/>
      </w:rPr>
    </w:lvl>
  </w:abstractNum>
  <w:abstractNum w:abstractNumId="12">
    <w:nsid w:val="271047E9"/>
    <w:multiLevelType w:val="hybridMultilevel"/>
    <w:tmpl w:val="051EA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4F24DB"/>
    <w:multiLevelType w:val="hybridMultilevel"/>
    <w:tmpl w:val="0E786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1B35E4B"/>
    <w:multiLevelType w:val="hybridMultilevel"/>
    <w:tmpl w:val="72E67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7546242"/>
    <w:multiLevelType w:val="hybridMultilevel"/>
    <w:tmpl w:val="3E48A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80C5BDA"/>
    <w:multiLevelType w:val="hybridMultilevel"/>
    <w:tmpl w:val="85A80A74"/>
    <w:lvl w:ilvl="0" w:tplc="998612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E2271F1"/>
    <w:multiLevelType w:val="hybridMultilevel"/>
    <w:tmpl w:val="D2A23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76C4572"/>
    <w:multiLevelType w:val="hybridMultilevel"/>
    <w:tmpl w:val="D7940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84F454C"/>
    <w:multiLevelType w:val="hybridMultilevel"/>
    <w:tmpl w:val="578048BA"/>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0">
    <w:nsid w:val="4CD53A4E"/>
    <w:multiLevelType w:val="hybridMultilevel"/>
    <w:tmpl w:val="27B22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E140E14"/>
    <w:multiLevelType w:val="hybridMultilevel"/>
    <w:tmpl w:val="3A1A8482"/>
    <w:lvl w:ilvl="0" w:tplc="08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547D77F1"/>
    <w:multiLevelType w:val="hybridMultilevel"/>
    <w:tmpl w:val="65166502"/>
    <w:lvl w:ilvl="0" w:tplc="86FABD2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82C65CD"/>
    <w:multiLevelType w:val="hybridMultilevel"/>
    <w:tmpl w:val="D70EB5F8"/>
    <w:lvl w:ilvl="0" w:tplc="08090001">
      <w:start w:val="1"/>
      <w:numFmt w:val="bullet"/>
      <w:lvlText w:val=""/>
      <w:lvlJc w:val="left"/>
      <w:pPr>
        <w:ind w:left="938" w:hanging="360"/>
      </w:pPr>
      <w:rPr>
        <w:rFonts w:ascii="Symbol" w:hAnsi="Symbol" w:hint="default"/>
      </w:rPr>
    </w:lvl>
    <w:lvl w:ilvl="1" w:tplc="08090003" w:tentative="1">
      <w:start w:val="1"/>
      <w:numFmt w:val="bullet"/>
      <w:lvlText w:val="o"/>
      <w:lvlJc w:val="left"/>
      <w:pPr>
        <w:ind w:left="1658" w:hanging="360"/>
      </w:pPr>
      <w:rPr>
        <w:rFonts w:ascii="Courier New" w:hAnsi="Courier New" w:cs="Courier New" w:hint="default"/>
      </w:rPr>
    </w:lvl>
    <w:lvl w:ilvl="2" w:tplc="08090005" w:tentative="1">
      <w:start w:val="1"/>
      <w:numFmt w:val="bullet"/>
      <w:lvlText w:val=""/>
      <w:lvlJc w:val="left"/>
      <w:pPr>
        <w:ind w:left="2378" w:hanging="360"/>
      </w:pPr>
      <w:rPr>
        <w:rFonts w:ascii="Wingdings" w:hAnsi="Wingdings" w:hint="default"/>
      </w:rPr>
    </w:lvl>
    <w:lvl w:ilvl="3" w:tplc="08090001" w:tentative="1">
      <w:start w:val="1"/>
      <w:numFmt w:val="bullet"/>
      <w:lvlText w:val=""/>
      <w:lvlJc w:val="left"/>
      <w:pPr>
        <w:ind w:left="3098" w:hanging="360"/>
      </w:pPr>
      <w:rPr>
        <w:rFonts w:ascii="Symbol" w:hAnsi="Symbol" w:hint="default"/>
      </w:rPr>
    </w:lvl>
    <w:lvl w:ilvl="4" w:tplc="08090003" w:tentative="1">
      <w:start w:val="1"/>
      <w:numFmt w:val="bullet"/>
      <w:lvlText w:val="o"/>
      <w:lvlJc w:val="left"/>
      <w:pPr>
        <w:ind w:left="3818" w:hanging="360"/>
      </w:pPr>
      <w:rPr>
        <w:rFonts w:ascii="Courier New" w:hAnsi="Courier New" w:cs="Courier New" w:hint="default"/>
      </w:rPr>
    </w:lvl>
    <w:lvl w:ilvl="5" w:tplc="08090005" w:tentative="1">
      <w:start w:val="1"/>
      <w:numFmt w:val="bullet"/>
      <w:lvlText w:val=""/>
      <w:lvlJc w:val="left"/>
      <w:pPr>
        <w:ind w:left="4538" w:hanging="360"/>
      </w:pPr>
      <w:rPr>
        <w:rFonts w:ascii="Wingdings" w:hAnsi="Wingdings" w:hint="default"/>
      </w:rPr>
    </w:lvl>
    <w:lvl w:ilvl="6" w:tplc="08090001" w:tentative="1">
      <w:start w:val="1"/>
      <w:numFmt w:val="bullet"/>
      <w:lvlText w:val=""/>
      <w:lvlJc w:val="left"/>
      <w:pPr>
        <w:ind w:left="5258" w:hanging="360"/>
      </w:pPr>
      <w:rPr>
        <w:rFonts w:ascii="Symbol" w:hAnsi="Symbol" w:hint="default"/>
      </w:rPr>
    </w:lvl>
    <w:lvl w:ilvl="7" w:tplc="08090003" w:tentative="1">
      <w:start w:val="1"/>
      <w:numFmt w:val="bullet"/>
      <w:lvlText w:val="o"/>
      <w:lvlJc w:val="left"/>
      <w:pPr>
        <w:ind w:left="5978" w:hanging="360"/>
      </w:pPr>
      <w:rPr>
        <w:rFonts w:ascii="Courier New" w:hAnsi="Courier New" w:cs="Courier New" w:hint="default"/>
      </w:rPr>
    </w:lvl>
    <w:lvl w:ilvl="8" w:tplc="08090005" w:tentative="1">
      <w:start w:val="1"/>
      <w:numFmt w:val="bullet"/>
      <w:lvlText w:val=""/>
      <w:lvlJc w:val="left"/>
      <w:pPr>
        <w:ind w:left="6698" w:hanging="360"/>
      </w:pPr>
      <w:rPr>
        <w:rFonts w:ascii="Wingdings" w:hAnsi="Wingdings" w:hint="default"/>
      </w:rPr>
    </w:lvl>
  </w:abstractNum>
  <w:abstractNum w:abstractNumId="24">
    <w:nsid w:val="59A55F82"/>
    <w:multiLevelType w:val="hybridMultilevel"/>
    <w:tmpl w:val="AA6C63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B815C9"/>
    <w:multiLevelType w:val="hybridMultilevel"/>
    <w:tmpl w:val="04625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FE94B40"/>
    <w:multiLevelType w:val="hybridMultilevel"/>
    <w:tmpl w:val="3E50CF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61D74982"/>
    <w:multiLevelType w:val="hybridMultilevel"/>
    <w:tmpl w:val="DCCC3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72F4E2E"/>
    <w:multiLevelType w:val="hybridMultilevel"/>
    <w:tmpl w:val="A31CE660"/>
    <w:lvl w:ilvl="0" w:tplc="784C6D46">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7BB3CDC"/>
    <w:multiLevelType w:val="hybridMultilevel"/>
    <w:tmpl w:val="7F08B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C694CD2"/>
    <w:multiLevelType w:val="hybridMultilevel"/>
    <w:tmpl w:val="94CC0044"/>
    <w:lvl w:ilvl="0" w:tplc="08090001">
      <w:start w:val="1"/>
      <w:numFmt w:val="bullet"/>
      <w:lvlText w:val=""/>
      <w:lvlJc w:val="left"/>
      <w:pPr>
        <w:ind w:left="950" w:hanging="360"/>
      </w:pPr>
      <w:rPr>
        <w:rFonts w:ascii="Symbol" w:hAnsi="Symbol" w:hint="default"/>
      </w:rPr>
    </w:lvl>
    <w:lvl w:ilvl="1" w:tplc="08090003" w:tentative="1">
      <w:start w:val="1"/>
      <w:numFmt w:val="bullet"/>
      <w:lvlText w:val="o"/>
      <w:lvlJc w:val="left"/>
      <w:pPr>
        <w:ind w:left="1670" w:hanging="360"/>
      </w:pPr>
      <w:rPr>
        <w:rFonts w:ascii="Courier New" w:hAnsi="Courier New" w:cs="Courier New" w:hint="default"/>
      </w:rPr>
    </w:lvl>
    <w:lvl w:ilvl="2" w:tplc="08090005" w:tentative="1">
      <w:start w:val="1"/>
      <w:numFmt w:val="bullet"/>
      <w:lvlText w:val=""/>
      <w:lvlJc w:val="left"/>
      <w:pPr>
        <w:ind w:left="2390" w:hanging="360"/>
      </w:pPr>
      <w:rPr>
        <w:rFonts w:ascii="Wingdings" w:hAnsi="Wingdings" w:hint="default"/>
      </w:rPr>
    </w:lvl>
    <w:lvl w:ilvl="3" w:tplc="08090001" w:tentative="1">
      <w:start w:val="1"/>
      <w:numFmt w:val="bullet"/>
      <w:lvlText w:val=""/>
      <w:lvlJc w:val="left"/>
      <w:pPr>
        <w:ind w:left="3110" w:hanging="360"/>
      </w:pPr>
      <w:rPr>
        <w:rFonts w:ascii="Symbol" w:hAnsi="Symbol" w:hint="default"/>
      </w:rPr>
    </w:lvl>
    <w:lvl w:ilvl="4" w:tplc="08090003" w:tentative="1">
      <w:start w:val="1"/>
      <w:numFmt w:val="bullet"/>
      <w:lvlText w:val="o"/>
      <w:lvlJc w:val="left"/>
      <w:pPr>
        <w:ind w:left="3830" w:hanging="360"/>
      </w:pPr>
      <w:rPr>
        <w:rFonts w:ascii="Courier New" w:hAnsi="Courier New" w:cs="Courier New" w:hint="default"/>
      </w:rPr>
    </w:lvl>
    <w:lvl w:ilvl="5" w:tplc="08090005" w:tentative="1">
      <w:start w:val="1"/>
      <w:numFmt w:val="bullet"/>
      <w:lvlText w:val=""/>
      <w:lvlJc w:val="left"/>
      <w:pPr>
        <w:ind w:left="4550" w:hanging="360"/>
      </w:pPr>
      <w:rPr>
        <w:rFonts w:ascii="Wingdings" w:hAnsi="Wingdings" w:hint="default"/>
      </w:rPr>
    </w:lvl>
    <w:lvl w:ilvl="6" w:tplc="08090001" w:tentative="1">
      <w:start w:val="1"/>
      <w:numFmt w:val="bullet"/>
      <w:lvlText w:val=""/>
      <w:lvlJc w:val="left"/>
      <w:pPr>
        <w:ind w:left="5270" w:hanging="360"/>
      </w:pPr>
      <w:rPr>
        <w:rFonts w:ascii="Symbol" w:hAnsi="Symbol" w:hint="default"/>
      </w:rPr>
    </w:lvl>
    <w:lvl w:ilvl="7" w:tplc="08090003" w:tentative="1">
      <w:start w:val="1"/>
      <w:numFmt w:val="bullet"/>
      <w:lvlText w:val="o"/>
      <w:lvlJc w:val="left"/>
      <w:pPr>
        <w:ind w:left="5990" w:hanging="360"/>
      </w:pPr>
      <w:rPr>
        <w:rFonts w:ascii="Courier New" w:hAnsi="Courier New" w:cs="Courier New" w:hint="default"/>
      </w:rPr>
    </w:lvl>
    <w:lvl w:ilvl="8" w:tplc="08090005" w:tentative="1">
      <w:start w:val="1"/>
      <w:numFmt w:val="bullet"/>
      <w:lvlText w:val=""/>
      <w:lvlJc w:val="left"/>
      <w:pPr>
        <w:ind w:left="6710" w:hanging="360"/>
      </w:pPr>
      <w:rPr>
        <w:rFonts w:ascii="Wingdings" w:hAnsi="Wingdings" w:hint="default"/>
      </w:rPr>
    </w:lvl>
  </w:abstractNum>
  <w:abstractNum w:abstractNumId="31">
    <w:nsid w:val="6FB83F25"/>
    <w:multiLevelType w:val="hybridMultilevel"/>
    <w:tmpl w:val="B024DE0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70D44921"/>
    <w:multiLevelType w:val="hybridMultilevel"/>
    <w:tmpl w:val="9086E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92A0838"/>
    <w:multiLevelType w:val="hybridMultilevel"/>
    <w:tmpl w:val="05084D30"/>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34">
    <w:nsid w:val="7D5B63C4"/>
    <w:multiLevelType w:val="hybridMultilevel"/>
    <w:tmpl w:val="12746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FA93EE4"/>
    <w:multiLevelType w:val="hybridMultilevel"/>
    <w:tmpl w:val="E990D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7"/>
  </w:num>
  <w:num w:numId="3">
    <w:abstractNumId w:val="18"/>
  </w:num>
  <w:num w:numId="4">
    <w:abstractNumId w:val="10"/>
  </w:num>
  <w:num w:numId="5">
    <w:abstractNumId w:val="25"/>
  </w:num>
  <w:num w:numId="6">
    <w:abstractNumId w:val="3"/>
  </w:num>
  <w:num w:numId="7">
    <w:abstractNumId w:val="0"/>
  </w:num>
  <w:num w:numId="8">
    <w:abstractNumId w:val="7"/>
  </w:num>
  <w:num w:numId="9">
    <w:abstractNumId w:val="13"/>
  </w:num>
  <w:num w:numId="10">
    <w:abstractNumId w:val="9"/>
  </w:num>
  <w:num w:numId="11">
    <w:abstractNumId w:val="27"/>
  </w:num>
  <w:num w:numId="12">
    <w:abstractNumId w:val="14"/>
  </w:num>
  <w:num w:numId="13">
    <w:abstractNumId w:val="12"/>
  </w:num>
  <w:num w:numId="14">
    <w:abstractNumId w:val="5"/>
  </w:num>
  <w:num w:numId="15">
    <w:abstractNumId w:val="1"/>
  </w:num>
  <w:num w:numId="16">
    <w:abstractNumId w:val="2"/>
  </w:num>
  <w:num w:numId="17">
    <w:abstractNumId w:val="32"/>
  </w:num>
  <w:num w:numId="18">
    <w:abstractNumId w:val="15"/>
  </w:num>
  <w:num w:numId="19">
    <w:abstractNumId w:val="4"/>
  </w:num>
  <w:num w:numId="20">
    <w:abstractNumId w:val="35"/>
  </w:num>
  <w:num w:numId="21">
    <w:abstractNumId w:val="30"/>
  </w:num>
  <w:num w:numId="22">
    <w:abstractNumId w:val="11"/>
  </w:num>
  <w:num w:numId="23">
    <w:abstractNumId w:val="24"/>
  </w:num>
  <w:num w:numId="24">
    <w:abstractNumId w:val="21"/>
  </w:num>
  <w:num w:numId="25">
    <w:abstractNumId w:val="34"/>
  </w:num>
  <w:num w:numId="26">
    <w:abstractNumId w:val="16"/>
  </w:num>
  <w:num w:numId="27">
    <w:abstractNumId w:val="22"/>
  </w:num>
  <w:num w:numId="28">
    <w:abstractNumId w:val="6"/>
  </w:num>
  <w:num w:numId="29">
    <w:abstractNumId w:val="28"/>
  </w:num>
  <w:num w:numId="30">
    <w:abstractNumId w:val="31"/>
  </w:num>
  <w:num w:numId="31">
    <w:abstractNumId w:val="26"/>
  </w:num>
  <w:num w:numId="32">
    <w:abstractNumId w:val="20"/>
  </w:num>
  <w:num w:numId="33">
    <w:abstractNumId w:val="8"/>
  </w:num>
  <w:num w:numId="34">
    <w:abstractNumId w:val="33"/>
  </w:num>
  <w:num w:numId="35">
    <w:abstractNumId w:val="23"/>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tLSwNDOwMDE1NDC2NDVX0lEKTi0uzszPAykwrAUASEt/UiwAAAA="/>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z20seeavzsfie29wsx20a60watx2ffv2wz&quot;&gt;Chronic Migraine report&lt;record-ids&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496&lt;/item&gt;&lt;item&gt;497&lt;/item&gt;&lt;item&gt;498&lt;/item&gt;&lt;item&gt;499&lt;/item&gt;&lt;item&gt;500&lt;/item&gt;&lt;item&gt;501&lt;/item&gt;&lt;item&gt;502&lt;/item&gt;&lt;item&gt;503&lt;/item&gt;&lt;item&gt;504&lt;/item&gt;&lt;item&gt;505&lt;/item&gt;&lt;item&gt;506&lt;/item&gt;&lt;item&gt;507&lt;/item&gt;&lt;item&gt;508&lt;/item&gt;&lt;item&gt;509&lt;/item&gt;&lt;item&gt;510&lt;/item&gt;&lt;item&gt;511&lt;/item&gt;&lt;item&gt;556&lt;/item&gt;&lt;/record-ids&gt;&lt;/item&gt;&lt;/Libraries&gt;"/>
  </w:docVars>
  <w:rsids>
    <w:rsidRoot w:val="00575830"/>
    <w:rsid w:val="000053A1"/>
    <w:rsid w:val="00005886"/>
    <w:rsid w:val="00013827"/>
    <w:rsid w:val="00015F1F"/>
    <w:rsid w:val="00016934"/>
    <w:rsid w:val="00041766"/>
    <w:rsid w:val="00041A04"/>
    <w:rsid w:val="00047048"/>
    <w:rsid w:val="00047551"/>
    <w:rsid w:val="00055C69"/>
    <w:rsid w:val="0007096A"/>
    <w:rsid w:val="00070E7D"/>
    <w:rsid w:val="00083AE8"/>
    <w:rsid w:val="0008415B"/>
    <w:rsid w:val="000867F3"/>
    <w:rsid w:val="00093B44"/>
    <w:rsid w:val="000A7A62"/>
    <w:rsid w:val="000B3844"/>
    <w:rsid w:val="000C5930"/>
    <w:rsid w:val="000E1A1F"/>
    <w:rsid w:val="000E78FC"/>
    <w:rsid w:val="00116DFC"/>
    <w:rsid w:val="00126B54"/>
    <w:rsid w:val="00127B5C"/>
    <w:rsid w:val="001345E3"/>
    <w:rsid w:val="001505D6"/>
    <w:rsid w:val="0015648D"/>
    <w:rsid w:val="0016432E"/>
    <w:rsid w:val="001643FA"/>
    <w:rsid w:val="00170693"/>
    <w:rsid w:val="00171031"/>
    <w:rsid w:val="00172E56"/>
    <w:rsid w:val="001814FE"/>
    <w:rsid w:val="00184869"/>
    <w:rsid w:val="001906A6"/>
    <w:rsid w:val="00191F40"/>
    <w:rsid w:val="001953A1"/>
    <w:rsid w:val="00197E8D"/>
    <w:rsid w:val="001A0474"/>
    <w:rsid w:val="001C0BF9"/>
    <w:rsid w:val="001C2EA6"/>
    <w:rsid w:val="001C602C"/>
    <w:rsid w:val="001C72BE"/>
    <w:rsid w:val="001C7E28"/>
    <w:rsid w:val="001D58B3"/>
    <w:rsid w:val="001E3F71"/>
    <w:rsid w:val="001E58FA"/>
    <w:rsid w:val="001F454A"/>
    <w:rsid w:val="001F4DA9"/>
    <w:rsid w:val="001F6CCA"/>
    <w:rsid w:val="002246BA"/>
    <w:rsid w:val="00224F1D"/>
    <w:rsid w:val="00266920"/>
    <w:rsid w:val="00285723"/>
    <w:rsid w:val="00287542"/>
    <w:rsid w:val="002955D4"/>
    <w:rsid w:val="002A4CA5"/>
    <w:rsid w:val="002A5751"/>
    <w:rsid w:val="002B02E4"/>
    <w:rsid w:val="002B22A9"/>
    <w:rsid w:val="002B24CA"/>
    <w:rsid w:val="002B2553"/>
    <w:rsid w:val="002D0F80"/>
    <w:rsid w:val="002D3744"/>
    <w:rsid w:val="002D4C7E"/>
    <w:rsid w:val="002D7DA5"/>
    <w:rsid w:val="002F62D0"/>
    <w:rsid w:val="003174B4"/>
    <w:rsid w:val="003254BC"/>
    <w:rsid w:val="00325835"/>
    <w:rsid w:val="00331F4C"/>
    <w:rsid w:val="003338CA"/>
    <w:rsid w:val="0033752A"/>
    <w:rsid w:val="00342EFD"/>
    <w:rsid w:val="003476D3"/>
    <w:rsid w:val="00357B33"/>
    <w:rsid w:val="00371B38"/>
    <w:rsid w:val="00374E29"/>
    <w:rsid w:val="00380314"/>
    <w:rsid w:val="003824D5"/>
    <w:rsid w:val="003945CC"/>
    <w:rsid w:val="00397533"/>
    <w:rsid w:val="003A2284"/>
    <w:rsid w:val="003A5397"/>
    <w:rsid w:val="003B01A2"/>
    <w:rsid w:val="003B4BA4"/>
    <w:rsid w:val="003B7069"/>
    <w:rsid w:val="003D1B4C"/>
    <w:rsid w:val="003E3467"/>
    <w:rsid w:val="003F7351"/>
    <w:rsid w:val="00407FF2"/>
    <w:rsid w:val="00410EB1"/>
    <w:rsid w:val="004402EC"/>
    <w:rsid w:val="0044728A"/>
    <w:rsid w:val="004502B6"/>
    <w:rsid w:val="00454A4B"/>
    <w:rsid w:val="00461D6B"/>
    <w:rsid w:val="0046456A"/>
    <w:rsid w:val="004673CF"/>
    <w:rsid w:val="00471379"/>
    <w:rsid w:val="00475535"/>
    <w:rsid w:val="0047762C"/>
    <w:rsid w:val="00492CC6"/>
    <w:rsid w:val="004A2307"/>
    <w:rsid w:val="004A66FB"/>
    <w:rsid w:val="004B073F"/>
    <w:rsid w:val="004C1709"/>
    <w:rsid w:val="004C22A2"/>
    <w:rsid w:val="004C6204"/>
    <w:rsid w:val="004C628C"/>
    <w:rsid w:val="004D099E"/>
    <w:rsid w:val="004D2E94"/>
    <w:rsid w:val="004E3642"/>
    <w:rsid w:val="00504B39"/>
    <w:rsid w:val="00507B55"/>
    <w:rsid w:val="00507BDB"/>
    <w:rsid w:val="00507FB7"/>
    <w:rsid w:val="00513335"/>
    <w:rsid w:val="00521284"/>
    <w:rsid w:val="005240EA"/>
    <w:rsid w:val="005245DD"/>
    <w:rsid w:val="00533BE0"/>
    <w:rsid w:val="0055647D"/>
    <w:rsid w:val="00561D76"/>
    <w:rsid w:val="005727A5"/>
    <w:rsid w:val="00575830"/>
    <w:rsid w:val="00580096"/>
    <w:rsid w:val="00580B29"/>
    <w:rsid w:val="005860BC"/>
    <w:rsid w:val="005A68A6"/>
    <w:rsid w:val="005A78F9"/>
    <w:rsid w:val="005B7821"/>
    <w:rsid w:val="005C1868"/>
    <w:rsid w:val="005C3C65"/>
    <w:rsid w:val="005D4014"/>
    <w:rsid w:val="005E486D"/>
    <w:rsid w:val="005E6EE7"/>
    <w:rsid w:val="00605B76"/>
    <w:rsid w:val="00623E60"/>
    <w:rsid w:val="00633133"/>
    <w:rsid w:val="0063326A"/>
    <w:rsid w:val="006355D7"/>
    <w:rsid w:val="00636C58"/>
    <w:rsid w:val="00642471"/>
    <w:rsid w:val="00642656"/>
    <w:rsid w:val="00644264"/>
    <w:rsid w:val="00650CDF"/>
    <w:rsid w:val="00665ECD"/>
    <w:rsid w:val="006724FE"/>
    <w:rsid w:val="00672FEF"/>
    <w:rsid w:val="006835A1"/>
    <w:rsid w:val="0068624D"/>
    <w:rsid w:val="0069277B"/>
    <w:rsid w:val="006958AC"/>
    <w:rsid w:val="00696000"/>
    <w:rsid w:val="00696F80"/>
    <w:rsid w:val="006B02C4"/>
    <w:rsid w:val="006B2281"/>
    <w:rsid w:val="006B602E"/>
    <w:rsid w:val="006C084C"/>
    <w:rsid w:val="006C426B"/>
    <w:rsid w:val="006D1AD4"/>
    <w:rsid w:val="006D2647"/>
    <w:rsid w:val="006D6B59"/>
    <w:rsid w:val="006E5A3A"/>
    <w:rsid w:val="00706E9B"/>
    <w:rsid w:val="00713048"/>
    <w:rsid w:val="00717E65"/>
    <w:rsid w:val="00723C43"/>
    <w:rsid w:val="00725D9C"/>
    <w:rsid w:val="00742A82"/>
    <w:rsid w:val="00753E7C"/>
    <w:rsid w:val="00763F11"/>
    <w:rsid w:val="00780A4A"/>
    <w:rsid w:val="00792B8F"/>
    <w:rsid w:val="00795F70"/>
    <w:rsid w:val="007B7B0B"/>
    <w:rsid w:val="007D0ED0"/>
    <w:rsid w:val="007D182A"/>
    <w:rsid w:val="007D2372"/>
    <w:rsid w:val="007E0C63"/>
    <w:rsid w:val="007F0713"/>
    <w:rsid w:val="007F548F"/>
    <w:rsid w:val="00804FFD"/>
    <w:rsid w:val="00807D33"/>
    <w:rsid w:val="00811E72"/>
    <w:rsid w:val="00814CC5"/>
    <w:rsid w:val="0082038A"/>
    <w:rsid w:val="00826E60"/>
    <w:rsid w:val="00835A00"/>
    <w:rsid w:val="0084535A"/>
    <w:rsid w:val="00871081"/>
    <w:rsid w:val="00876774"/>
    <w:rsid w:val="00885F7A"/>
    <w:rsid w:val="008A032B"/>
    <w:rsid w:val="008A3959"/>
    <w:rsid w:val="008B1EF1"/>
    <w:rsid w:val="008D698C"/>
    <w:rsid w:val="008F16B8"/>
    <w:rsid w:val="008F1E61"/>
    <w:rsid w:val="008F4CD5"/>
    <w:rsid w:val="009013A9"/>
    <w:rsid w:val="009117C1"/>
    <w:rsid w:val="00927983"/>
    <w:rsid w:val="00933895"/>
    <w:rsid w:val="009635C4"/>
    <w:rsid w:val="009642E2"/>
    <w:rsid w:val="0096453D"/>
    <w:rsid w:val="00972021"/>
    <w:rsid w:val="00977A61"/>
    <w:rsid w:val="00983AE9"/>
    <w:rsid w:val="00983F2D"/>
    <w:rsid w:val="00995585"/>
    <w:rsid w:val="009A172C"/>
    <w:rsid w:val="009A59EC"/>
    <w:rsid w:val="009B0644"/>
    <w:rsid w:val="009B62FA"/>
    <w:rsid w:val="009C1144"/>
    <w:rsid w:val="009C12F8"/>
    <w:rsid w:val="009C577F"/>
    <w:rsid w:val="009C7652"/>
    <w:rsid w:val="009D5E46"/>
    <w:rsid w:val="009D6FD6"/>
    <w:rsid w:val="009E453F"/>
    <w:rsid w:val="009F27FD"/>
    <w:rsid w:val="00A0471F"/>
    <w:rsid w:val="00A0789D"/>
    <w:rsid w:val="00A12E05"/>
    <w:rsid w:val="00A266D7"/>
    <w:rsid w:val="00A337FD"/>
    <w:rsid w:val="00A3602C"/>
    <w:rsid w:val="00A37642"/>
    <w:rsid w:val="00A37FA4"/>
    <w:rsid w:val="00A45F2A"/>
    <w:rsid w:val="00A5462E"/>
    <w:rsid w:val="00A579F2"/>
    <w:rsid w:val="00A63C18"/>
    <w:rsid w:val="00A75A9D"/>
    <w:rsid w:val="00A76402"/>
    <w:rsid w:val="00A94AC9"/>
    <w:rsid w:val="00A97FF7"/>
    <w:rsid w:val="00AA0F0A"/>
    <w:rsid w:val="00AA79C8"/>
    <w:rsid w:val="00AB4E57"/>
    <w:rsid w:val="00AC18C1"/>
    <w:rsid w:val="00AC3D49"/>
    <w:rsid w:val="00AD349A"/>
    <w:rsid w:val="00AE38D5"/>
    <w:rsid w:val="00AE74DE"/>
    <w:rsid w:val="00AF3F5B"/>
    <w:rsid w:val="00AF7A10"/>
    <w:rsid w:val="00B12F87"/>
    <w:rsid w:val="00B41680"/>
    <w:rsid w:val="00B43B2F"/>
    <w:rsid w:val="00B64AD5"/>
    <w:rsid w:val="00B72FE2"/>
    <w:rsid w:val="00B848A8"/>
    <w:rsid w:val="00B931F3"/>
    <w:rsid w:val="00BB1311"/>
    <w:rsid w:val="00BB1B46"/>
    <w:rsid w:val="00BB5052"/>
    <w:rsid w:val="00BC03D1"/>
    <w:rsid w:val="00BC28D6"/>
    <w:rsid w:val="00BC2A67"/>
    <w:rsid w:val="00BC4140"/>
    <w:rsid w:val="00BD2FCF"/>
    <w:rsid w:val="00BE2B10"/>
    <w:rsid w:val="00BF7C86"/>
    <w:rsid w:val="00C01DDE"/>
    <w:rsid w:val="00C036BC"/>
    <w:rsid w:val="00C053D2"/>
    <w:rsid w:val="00C117A3"/>
    <w:rsid w:val="00C15993"/>
    <w:rsid w:val="00C214C5"/>
    <w:rsid w:val="00C22EFC"/>
    <w:rsid w:val="00C26300"/>
    <w:rsid w:val="00C34A1E"/>
    <w:rsid w:val="00C37CB7"/>
    <w:rsid w:val="00C52DDE"/>
    <w:rsid w:val="00C70969"/>
    <w:rsid w:val="00C826AE"/>
    <w:rsid w:val="00C861CD"/>
    <w:rsid w:val="00C906E3"/>
    <w:rsid w:val="00C93D40"/>
    <w:rsid w:val="00C97A00"/>
    <w:rsid w:val="00C97F66"/>
    <w:rsid w:val="00CB3EBD"/>
    <w:rsid w:val="00CB4662"/>
    <w:rsid w:val="00CB6AF6"/>
    <w:rsid w:val="00CC2F87"/>
    <w:rsid w:val="00CC4A9D"/>
    <w:rsid w:val="00CC67A5"/>
    <w:rsid w:val="00CD4E23"/>
    <w:rsid w:val="00CD6C31"/>
    <w:rsid w:val="00CE0012"/>
    <w:rsid w:val="00CF1986"/>
    <w:rsid w:val="00CF4221"/>
    <w:rsid w:val="00D05FF5"/>
    <w:rsid w:val="00D35796"/>
    <w:rsid w:val="00D35CD0"/>
    <w:rsid w:val="00D4557B"/>
    <w:rsid w:val="00D4727B"/>
    <w:rsid w:val="00D51380"/>
    <w:rsid w:val="00D555C8"/>
    <w:rsid w:val="00D639B8"/>
    <w:rsid w:val="00DA4323"/>
    <w:rsid w:val="00DB1C30"/>
    <w:rsid w:val="00DB7398"/>
    <w:rsid w:val="00DC355C"/>
    <w:rsid w:val="00DD107A"/>
    <w:rsid w:val="00DD7FF5"/>
    <w:rsid w:val="00DE57F8"/>
    <w:rsid w:val="00DE7B44"/>
    <w:rsid w:val="00E064E1"/>
    <w:rsid w:val="00E25B78"/>
    <w:rsid w:val="00E403A1"/>
    <w:rsid w:val="00E458C5"/>
    <w:rsid w:val="00E50C54"/>
    <w:rsid w:val="00E661F3"/>
    <w:rsid w:val="00E816DE"/>
    <w:rsid w:val="00E837D9"/>
    <w:rsid w:val="00E869B6"/>
    <w:rsid w:val="00E934BE"/>
    <w:rsid w:val="00E935C2"/>
    <w:rsid w:val="00E97411"/>
    <w:rsid w:val="00EB171C"/>
    <w:rsid w:val="00EB2720"/>
    <w:rsid w:val="00EB7114"/>
    <w:rsid w:val="00EC4969"/>
    <w:rsid w:val="00EC6316"/>
    <w:rsid w:val="00ED525C"/>
    <w:rsid w:val="00EE5027"/>
    <w:rsid w:val="00EF2777"/>
    <w:rsid w:val="00F0272E"/>
    <w:rsid w:val="00F0457C"/>
    <w:rsid w:val="00F25A95"/>
    <w:rsid w:val="00F34B28"/>
    <w:rsid w:val="00F36C0E"/>
    <w:rsid w:val="00F376C6"/>
    <w:rsid w:val="00F41EFB"/>
    <w:rsid w:val="00F428CC"/>
    <w:rsid w:val="00F50C65"/>
    <w:rsid w:val="00F5469B"/>
    <w:rsid w:val="00F7479B"/>
    <w:rsid w:val="00F839C8"/>
    <w:rsid w:val="00F86E98"/>
    <w:rsid w:val="00F94385"/>
    <w:rsid w:val="00F95B69"/>
    <w:rsid w:val="00FA297B"/>
    <w:rsid w:val="00FA4E7F"/>
    <w:rsid w:val="00FB016E"/>
    <w:rsid w:val="00FB2B64"/>
    <w:rsid w:val="00FB2DF6"/>
    <w:rsid w:val="00FB35EC"/>
    <w:rsid w:val="00FD2D0B"/>
    <w:rsid w:val="00FE0AE3"/>
    <w:rsid w:val="00FF252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FF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C7652"/>
    <w:pPr>
      <w:keepNext/>
      <w:keepLines/>
      <w:spacing w:after="0" w:line="360" w:lineRule="auto"/>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9C7652"/>
    <w:pPr>
      <w:keepNext/>
      <w:keepLines/>
      <w:spacing w:after="0" w:line="360" w:lineRule="auto"/>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9C7652"/>
    <w:pPr>
      <w:keepNext/>
      <w:keepLines/>
      <w:spacing w:before="40" w:after="0" w:line="360" w:lineRule="auto"/>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9C7652"/>
    <w:pPr>
      <w:keepNext/>
      <w:keepLines/>
      <w:spacing w:before="40" w:after="0" w:line="360"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75830"/>
    <w:pPr>
      <w:spacing w:after="200" w:line="240" w:lineRule="auto"/>
    </w:pPr>
    <w:rPr>
      <w:rFonts w:ascii="Calibri" w:hAnsi="Calibri"/>
      <w:b/>
      <w:iCs/>
      <w:szCs w:val="18"/>
    </w:rPr>
  </w:style>
  <w:style w:type="table" w:styleId="TableGrid">
    <w:name w:val="Table Grid"/>
    <w:basedOn w:val="TableNormal"/>
    <w:uiPriority w:val="39"/>
    <w:rsid w:val="00AC18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AC18C1"/>
    <w:pPr>
      <w:spacing w:after="0"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C18C1"/>
    <w:rPr>
      <w:rFonts w:ascii="Calibri" w:hAnsi="Calibri" w:cs="Calibri"/>
      <w:noProof/>
      <w:lang w:val="en-US"/>
    </w:rPr>
  </w:style>
  <w:style w:type="paragraph" w:styleId="ListParagraph">
    <w:name w:val="List Paragraph"/>
    <w:basedOn w:val="Normal"/>
    <w:link w:val="ListParagraphChar"/>
    <w:uiPriority w:val="34"/>
    <w:qFormat/>
    <w:rsid w:val="001643FA"/>
    <w:pPr>
      <w:ind w:left="720"/>
      <w:contextualSpacing/>
    </w:pPr>
    <w:rPr>
      <w:rFonts w:ascii="Calibri" w:eastAsia="Calibri" w:hAnsi="Calibri" w:cs="Times New Roman"/>
    </w:rPr>
  </w:style>
  <w:style w:type="character" w:customStyle="1" w:styleId="ListParagraphChar">
    <w:name w:val="List Paragraph Char"/>
    <w:link w:val="ListParagraph"/>
    <w:uiPriority w:val="34"/>
    <w:rsid w:val="001643FA"/>
    <w:rPr>
      <w:rFonts w:ascii="Calibri" w:eastAsia="Calibri" w:hAnsi="Calibri" w:cs="Times New Roman"/>
    </w:rPr>
  </w:style>
  <w:style w:type="character" w:customStyle="1" w:styleId="Heading1Char">
    <w:name w:val="Heading 1 Char"/>
    <w:basedOn w:val="DefaultParagraphFont"/>
    <w:link w:val="Heading1"/>
    <w:uiPriority w:val="9"/>
    <w:rsid w:val="009C7652"/>
    <w:rPr>
      <w:rFonts w:eastAsiaTheme="majorEastAsia" w:cstheme="majorBidi"/>
      <w:b/>
      <w:sz w:val="28"/>
      <w:szCs w:val="32"/>
    </w:rPr>
  </w:style>
  <w:style w:type="character" w:customStyle="1" w:styleId="Heading2Char">
    <w:name w:val="Heading 2 Char"/>
    <w:basedOn w:val="DefaultParagraphFont"/>
    <w:link w:val="Heading2"/>
    <w:uiPriority w:val="9"/>
    <w:rsid w:val="009C7652"/>
    <w:rPr>
      <w:rFonts w:eastAsiaTheme="majorEastAsia" w:cstheme="majorBidi"/>
      <w:b/>
      <w:sz w:val="24"/>
      <w:szCs w:val="26"/>
    </w:rPr>
  </w:style>
  <w:style w:type="character" w:customStyle="1" w:styleId="Heading3Char">
    <w:name w:val="Heading 3 Char"/>
    <w:basedOn w:val="DefaultParagraphFont"/>
    <w:link w:val="Heading3"/>
    <w:uiPriority w:val="9"/>
    <w:rsid w:val="009C7652"/>
    <w:rPr>
      <w:rFonts w:asciiTheme="majorHAnsi" w:eastAsiaTheme="majorEastAsia" w:hAnsiTheme="majorHAnsi" w:cstheme="majorBidi"/>
      <w:b/>
      <w:i/>
      <w:szCs w:val="24"/>
    </w:rPr>
  </w:style>
  <w:style w:type="character" w:customStyle="1" w:styleId="Heading4Char">
    <w:name w:val="Heading 4 Char"/>
    <w:basedOn w:val="DefaultParagraphFont"/>
    <w:link w:val="Heading4"/>
    <w:uiPriority w:val="9"/>
    <w:rsid w:val="009C7652"/>
    <w:rPr>
      <w:rFonts w:asciiTheme="majorHAnsi" w:eastAsiaTheme="majorEastAsia" w:hAnsiTheme="majorHAnsi" w:cstheme="majorBidi"/>
      <w:i/>
      <w:iCs/>
      <w:color w:val="2F5496" w:themeColor="accent1" w:themeShade="BF"/>
    </w:rPr>
  </w:style>
  <w:style w:type="paragraph" w:styleId="Header">
    <w:name w:val="header"/>
    <w:aliases w:val="Bayer Header"/>
    <w:basedOn w:val="Normal"/>
    <w:link w:val="HeaderChar"/>
    <w:uiPriority w:val="99"/>
    <w:unhideWhenUsed/>
    <w:rsid w:val="009C7652"/>
    <w:pPr>
      <w:tabs>
        <w:tab w:val="center" w:pos="4513"/>
        <w:tab w:val="right" w:pos="9026"/>
      </w:tabs>
      <w:spacing w:after="0" w:line="240" w:lineRule="auto"/>
    </w:pPr>
  </w:style>
  <w:style w:type="character" w:customStyle="1" w:styleId="HeaderChar">
    <w:name w:val="Header Char"/>
    <w:aliases w:val="Bayer Header Char"/>
    <w:basedOn w:val="DefaultParagraphFont"/>
    <w:link w:val="Header"/>
    <w:uiPriority w:val="99"/>
    <w:rsid w:val="009C7652"/>
  </w:style>
  <w:style w:type="character" w:styleId="Strong">
    <w:name w:val="Strong"/>
    <w:basedOn w:val="DefaultParagraphFont"/>
    <w:uiPriority w:val="22"/>
    <w:qFormat/>
    <w:rsid w:val="009C7652"/>
    <w:rPr>
      <w:b/>
      <w:bCs/>
    </w:rPr>
  </w:style>
  <w:style w:type="paragraph" w:styleId="TOCHeading">
    <w:name w:val="TOC Heading"/>
    <w:basedOn w:val="Heading1"/>
    <w:next w:val="Normal"/>
    <w:uiPriority w:val="39"/>
    <w:unhideWhenUsed/>
    <w:qFormat/>
    <w:rsid w:val="009C7652"/>
    <w:pPr>
      <w:spacing w:before="240" w:line="259" w:lineRule="auto"/>
      <w:outlineLvl w:val="9"/>
    </w:pPr>
    <w:rPr>
      <w:rFonts w:ascii="Calibri" w:hAnsi="Calibri"/>
      <w:lang w:val="en-US"/>
    </w:rPr>
  </w:style>
  <w:style w:type="paragraph" w:styleId="TOC1">
    <w:name w:val="toc 1"/>
    <w:basedOn w:val="Normal"/>
    <w:next w:val="Normal"/>
    <w:autoRedefine/>
    <w:uiPriority w:val="39"/>
    <w:unhideWhenUsed/>
    <w:rsid w:val="009C7652"/>
    <w:pPr>
      <w:spacing w:after="100" w:line="360" w:lineRule="auto"/>
    </w:pPr>
    <w:rPr>
      <w:rFonts w:ascii="Calibri" w:hAnsi="Calibri"/>
    </w:rPr>
  </w:style>
  <w:style w:type="character" w:styleId="Hyperlink">
    <w:name w:val="Hyperlink"/>
    <w:basedOn w:val="DefaultParagraphFont"/>
    <w:uiPriority w:val="99"/>
    <w:unhideWhenUsed/>
    <w:rsid w:val="009C7652"/>
    <w:rPr>
      <w:color w:val="0563C1" w:themeColor="hyperlink"/>
      <w:u w:val="single"/>
    </w:rPr>
  </w:style>
  <w:style w:type="paragraph" w:styleId="Footer">
    <w:name w:val="footer"/>
    <w:basedOn w:val="Normal"/>
    <w:link w:val="FooterChar"/>
    <w:uiPriority w:val="99"/>
    <w:unhideWhenUsed/>
    <w:rsid w:val="009C7652"/>
    <w:pPr>
      <w:tabs>
        <w:tab w:val="center" w:pos="4513"/>
        <w:tab w:val="right" w:pos="9026"/>
      </w:tabs>
      <w:spacing w:after="0" w:line="240" w:lineRule="auto"/>
    </w:pPr>
    <w:rPr>
      <w:rFonts w:ascii="Calibri" w:hAnsi="Calibri"/>
    </w:rPr>
  </w:style>
  <w:style w:type="character" w:customStyle="1" w:styleId="FooterChar">
    <w:name w:val="Footer Char"/>
    <w:basedOn w:val="DefaultParagraphFont"/>
    <w:link w:val="Footer"/>
    <w:uiPriority w:val="99"/>
    <w:rsid w:val="009C7652"/>
    <w:rPr>
      <w:rFonts w:ascii="Calibri" w:hAnsi="Calibri"/>
    </w:rPr>
  </w:style>
  <w:style w:type="paragraph" w:styleId="NoSpacing">
    <w:name w:val="No Spacing"/>
    <w:basedOn w:val="Normal"/>
    <w:link w:val="NoSpacingChar"/>
    <w:uiPriority w:val="1"/>
    <w:qFormat/>
    <w:rsid w:val="009C7652"/>
    <w:pPr>
      <w:widowControl w:val="0"/>
      <w:autoSpaceDE w:val="0"/>
      <w:autoSpaceDN w:val="0"/>
      <w:adjustRightInd w:val="0"/>
      <w:spacing w:after="0" w:line="360" w:lineRule="auto"/>
    </w:pPr>
    <w:rPr>
      <w:rFonts w:ascii="Times New Roman" w:eastAsiaTheme="minorEastAsia" w:hAnsi="Times New Roman" w:cs="Times New Roman"/>
      <w:sz w:val="20"/>
      <w:szCs w:val="24"/>
      <w:shd w:val="clear" w:color="auto" w:fill="FFFFFF"/>
      <w:lang w:eastAsia="en-GB"/>
    </w:rPr>
  </w:style>
  <w:style w:type="character" w:customStyle="1" w:styleId="NoSpacingChar">
    <w:name w:val="No Spacing Char"/>
    <w:basedOn w:val="DefaultParagraphFont"/>
    <w:link w:val="NoSpacing"/>
    <w:uiPriority w:val="1"/>
    <w:rsid w:val="009C7652"/>
    <w:rPr>
      <w:rFonts w:ascii="Times New Roman" w:eastAsiaTheme="minorEastAsia" w:hAnsi="Times New Roman" w:cs="Times New Roman"/>
      <w:sz w:val="20"/>
      <w:szCs w:val="24"/>
      <w:lang w:eastAsia="en-GB"/>
    </w:rPr>
  </w:style>
  <w:style w:type="paragraph" w:customStyle="1" w:styleId="EndNoteBibliographyTitle">
    <w:name w:val="EndNote Bibliography Title"/>
    <w:basedOn w:val="Normal"/>
    <w:link w:val="EndNoteBibliographyTitleChar"/>
    <w:rsid w:val="009C7652"/>
    <w:pPr>
      <w:spacing w:after="0" w:line="360" w:lineRule="auto"/>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C7652"/>
    <w:rPr>
      <w:rFonts w:ascii="Calibri" w:hAnsi="Calibri" w:cs="Calibri"/>
      <w:noProof/>
      <w:lang w:val="en-US"/>
    </w:rPr>
  </w:style>
  <w:style w:type="character" w:customStyle="1" w:styleId="UnresolvedMention">
    <w:name w:val="Unresolved Mention"/>
    <w:basedOn w:val="DefaultParagraphFont"/>
    <w:uiPriority w:val="99"/>
    <w:semiHidden/>
    <w:unhideWhenUsed/>
    <w:rsid w:val="009C7652"/>
    <w:rPr>
      <w:color w:val="605E5C"/>
      <w:shd w:val="clear" w:color="auto" w:fill="E1DFDD"/>
    </w:rPr>
  </w:style>
  <w:style w:type="paragraph" w:styleId="CommentText">
    <w:name w:val="annotation text"/>
    <w:basedOn w:val="Normal"/>
    <w:link w:val="CommentTextChar"/>
    <w:uiPriority w:val="99"/>
    <w:unhideWhenUsed/>
    <w:rsid w:val="009C765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9C7652"/>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9C7652"/>
    <w:rPr>
      <w:sz w:val="16"/>
      <w:szCs w:val="16"/>
    </w:rPr>
  </w:style>
  <w:style w:type="paragraph" w:styleId="CommentSubject">
    <w:name w:val="annotation subject"/>
    <w:basedOn w:val="CommentText"/>
    <w:next w:val="CommentText"/>
    <w:link w:val="CommentSubjectChar"/>
    <w:uiPriority w:val="99"/>
    <w:semiHidden/>
    <w:unhideWhenUsed/>
    <w:rsid w:val="009C7652"/>
    <w:pPr>
      <w:spacing w:after="0"/>
    </w:pPr>
    <w:rPr>
      <w:rFonts w:eastAsiaTheme="minorHAnsi" w:cstheme="minorBidi"/>
      <w:b/>
      <w:bCs/>
    </w:rPr>
  </w:style>
  <w:style w:type="character" w:customStyle="1" w:styleId="CommentSubjectChar">
    <w:name w:val="Comment Subject Char"/>
    <w:basedOn w:val="CommentTextChar"/>
    <w:link w:val="CommentSubject"/>
    <w:uiPriority w:val="99"/>
    <w:semiHidden/>
    <w:rsid w:val="009C7652"/>
    <w:rPr>
      <w:rFonts w:ascii="Calibri" w:eastAsia="Calibri" w:hAnsi="Calibri" w:cs="Times New Roman"/>
      <w:b/>
      <w:bCs/>
      <w:sz w:val="20"/>
      <w:szCs w:val="20"/>
    </w:rPr>
  </w:style>
  <w:style w:type="paragraph" w:customStyle="1" w:styleId="ERGNormal">
    <w:name w:val="ERG Normal"/>
    <w:basedOn w:val="Normal"/>
    <w:link w:val="ERGNormalChar"/>
    <w:qFormat/>
    <w:rsid w:val="009C7652"/>
    <w:pPr>
      <w:spacing w:after="120" w:line="360" w:lineRule="auto"/>
    </w:pPr>
    <w:rPr>
      <w:rFonts w:ascii="Times New Roman" w:eastAsia="Times New Roman" w:hAnsi="Times New Roman" w:cs="Times New Roman"/>
      <w:sz w:val="24"/>
      <w:szCs w:val="24"/>
      <w:lang w:eastAsia="en-GB"/>
    </w:rPr>
  </w:style>
  <w:style w:type="character" w:customStyle="1" w:styleId="ERGNormalChar">
    <w:name w:val="ERG Normal Char"/>
    <w:basedOn w:val="DefaultParagraphFont"/>
    <w:link w:val="ERGNormal"/>
    <w:rsid w:val="009C7652"/>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9C7652"/>
    <w:pPr>
      <w:tabs>
        <w:tab w:val="right" w:leader="dot" w:pos="9017"/>
      </w:tabs>
      <w:spacing w:after="100" w:line="360" w:lineRule="auto"/>
      <w:ind w:left="220"/>
    </w:pPr>
    <w:rPr>
      <w:rFonts w:ascii="Calibri" w:hAnsi="Calibri"/>
    </w:rPr>
  </w:style>
  <w:style w:type="character" w:customStyle="1" w:styleId="normaltextrun">
    <w:name w:val="normaltextrun"/>
    <w:basedOn w:val="DefaultParagraphFont"/>
    <w:rsid w:val="009C7652"/>
  </w:style>
  <w:style w:type="paragraph" w:customStyle="1" w:styleId="paragraph">
    <w:name w:val="paragraph"/>
    <w:basedOn w:val="Normal"/>
    <w:rsid w:val="009C7652"/>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character" w:customStyle="1" w:styleId="eop">
    <w:name w:val="eop"/>
    <w:basedOn w:val="DefaultParagraphFont"/>
    <w:rsid w:val="009C7652"/>
  </w:style>
  <w:style w:type="paragraph" w:styleId="PlainText">
    <w:name w:val="Plain Text"/>
    <w:basedOn w:val="Normal"/>
    <w:link w:val="PlainTextChar"/>
    <w:uiPriority w:val="99"/>
    <w:unhideWhenUsed/>
    <w:rsid w:val="009C765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C7652"/>
    <w:rPr>
      <w:rFonts w:ascii="Consolas" w:hAnsi="Consolas"/>
      <w:sz w:val="21"/>
      <w:szCs w:val="21"/>
    </w:rPr>
  </w:style>
  <w:style w:type="paragraph" w:styleId="Revision">
    <w:name w:val="Revision"/>
    <w:hidden/>
    <w:uiPriority w:val="99"/>
    <w:semiHidden/>
    <w:rsid w:val="009C7652"/>
    <w:pPr>
      <w:spacing w:after="0" w:line="240" w:lineRule="auto"/>
    </w:pPr>
    <w:rPr>
      <w:rFonts w:ascii="Calibri" w:hAnsi="Calibri"/>
    </w:rPr>
  </w:style>
  <w:style w:type="character" w:styleId="FollowedHyperlink">
    <w:name w:val="FollowedHyperlink"/>
    <w:basedOn w:val="DefaultParagraphFont"/>
    <w:uiPriority w:val="99"/>
    <w:semiHidden/>
    <w:unhideWhenUsed/>
    <w:rsid w:val="009C7652"/>
    <w:rPr>
      <w:color w:val="954F72"/>
      <w:u w:val="single"/>
    </w:rPr>
  </w:style>
  <w:style w:type="paragraph" w:customStyle="1" w:styleId="msonormal0">
    <w:name w:val="msonormal"/>
    <w:basedOn w:val="Normal"/>
    <w:rsid w:val="009C76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6">
    <w:name w:val="xl66"/>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8">
    <w:name w:val="xl68"/>
    <w:basedOn w:val="Normal"/>
    <w:rsid w:val="009C765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9C765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0">
    <w:name w:val="xl70"/>
    <w:basedOn w:val="Normal"/>
    <w:rsid w:val="009C765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1">
    <w:name w:val="xl71"/>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2">
    <w:name w:val="xl72"/>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3">
    <w:name w:val="xl73"/>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74">
    <w:name w:val="xl74"/>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en-GB"/>
    </w:rPr>
  </w:style>
  <w:style w:type="paragraph" w:styleId="TableofFigures">
    <w:name w:val="table of figures"/>
    <w:basedOn w:val="Normal"/>
    <w:next w:val="Normal"/>
    <w:uiPriority w:val="99"/>
    <w:unhideWhenUsed/>
    <w:rsid w:val="009C7652"/>
    <w:pPr>
      <w:spacing w:after="0" w:line="360" w:lineRule="auto"/>
    </w:pPr>
    <w:rPr>
      <w:rFonts w:ascii="Calibri" w:hAnsi="Calibri"/>
    </w:rPr>
  </w:style>
  <w:style w:type="paragraph" w:styleId="TOC3">
    <w:name w:val="toc 3"/>
    <w:basedOn w:val="Normal"/>
    <w:next w:val="Normal"/>
    <w:autoRedefine/>
    <w:uiPriority w:val="39"/>
    <w:unhideWhenUsed/>
    <w:rsid w:val="009C7652"/>
    <w:pPr>
      <w:spacing w:after="100" w:line="360" w:lineRule="auto"/>
      <w:ind w:left="440"/>
    </w:pPr>
    <w:rPr>
      <w:rFonts w:ascii="Calibri" w:hAnsi="Calibri"/>
    </w:rPr>
  </w:style>
  <w:style w:type="table" w:customStyle="1" w:styleId="TableGrid1">
    <w:name w:val="Table Grid1"/>
    <w:basedOn w:val="TableNormal"/>
    <w:next w:val="TableGrid"/>
    <w:uiPriority w:val="39"/>
    <w:rsid w:val="009C76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
    <w:name w:val="Grid Table 1 Light1"/>
    <w:basedOn w:val="TableNormal"/>
    <w:next w:val="GridTable1Light"/>
    <w:uiPriority w:val="46"/>
    <w:rsid w:val="009C7652"/>
    <w:pPr>
      <w:spacing w:after="0" w:line="240" w:lineRule="auto"/>
    </w:pPr>
    <w:rPr>
      <w:lang w:val="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28" w:type="dxa"/>
        <w:bottom w:w="0" w:type="dxa"/>
        <w:right w:w="2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
    <w:name w:val="Grid Table 1 Light"/>
    <w:basedOn w:val="TableNormal"/>
    <w:uiPriority w:val="46"/>
    <w:rsid w:val="009C7652"/>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9C7652"/>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1">
    <w:name w:val="No List1"/>
    <w:next w:val="NoList"/>
    <w:uiPriority w:val="99"/>
    <w:semiHidden/>
    <w:unhideWhenUsed/>
    <w:rsid w:val="009C7652"/>
  </w:style>
  <w:style w:type="paragraph" w:customStyle="1" w:styleId="font5">
    <w:name w:val="font5"/>
    <w:basedOn w:val="Normal"/>
    <w:rsid w:val="009C7652"/>
    <w:pPr>
      <w:spacing w:before="100" w:beforeAutospacing="1" w:after="100" w:afterAutospacing="1" w:line="240" w:lineRule="auto"/>
    </w:pPr>
    <w:rPr>
      <w:rFonts w:ascii="Tahoma" w:eastAsia="Times New Roman" w:hAnsi="Tahoma" w:cs="Tahoma"/>
      <w:color w:val="000000"/>
      <w:sz w:val="18"/>
      <w:szCs w:val="18"/>
      <w:lang w:eastAsia="en-GB"/>
    </w:rPr>
  </w:style>
  <w:style w:type="paragraph" w:customStyle="1" w:styleId="font6">
    <w:name w:val="font6"/>
    <w:basedOn w:val="Normal"/>
    <w:rsid w:val="009C7652"/>
    <w:pPr>
      <w:spacing w:before="100" w:beforeAutospacing="1" w:after="100" w:afterAutospacing="1" w:line="240" w:lineRule="auto"/>
    </w:pPr>
    <w:rPr>
      <w:rFonts w:ascii="Tahoma" w:eastAsia="Times New Roman" w:hAnsi="Tahoma" w:cs="Tahoma"/>
      <w:b/>
      <w:bCs/>
      <w:color w:val="000000"/>
      <w:sz w:val="18"/>
      <w:szCs w:val="18"/>
      <w:lang w:eastAsia="en-GB"/>
    </w:rPr>
  </w:style>
  <w:style w:type="character" w:customStyle="1" w:styleId="term">
    <w:name w:val="term"/>
    <w:basedOn w:val="DefaultParagraphFont"/>
    <w:rsid w:val="009C7652"/>
  </w:style>
  <w:style w:type="paragraph" w:customStyle="1" w:styleId="xl75">
    <w:name w:val="xl75"/>
    <w:basedOn w:val="Normal"/>
    <w:rsid w:val="009C7652"/>
    <w:pP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76">
    <w:name w:val="xl76"/>
    <w:basedOn w:val="Normal"/>
    <w:rsid w:val="009C7652"/>
    <w:pPr>
      <w:shd w:val="clear" w:color="000000" w:fill="ACB9CA"/>
      <w:spacing w:before="100" w:beforeAutospacing="1" w:after="100" w:afterAutospacing="1" w:line="240" w:lineRule="auto"/>
      <w:jc w:val="center"/>
    </w:pPr>
    <w:rPr>
      <w:rFonts w:ascii="Times New Roman" w:eastAsia="Times New Roman" w:hAnsi="Times New Roman" w:cs="Times New Roman"/>
      <w:sz w:val="20"/>
      <w:szCs w:val="20"/>
      <w:lang w:eastAsia="en-GB"/>
    </w:rPr>
  </w:style>
  <w:style w:type="paragraph" w:customStyle="1" w:styleId="xl77">
    <w:name w:val="xl77"/>
    <w:basedOn w:val="Normal"/>
    <w:rsid w:val="009C7652"/>
    <w:pPr>
      <w:shd w:val="clear" w:color="000000" w:fill="ACB9CA"/>
      <w:spacing w:before="100" w:beforeAutospacing="1" w:after="100" w:afterAutospacing="1" w:line="240" w:lineRule="auto"/>
      <w:textAlignment w:val="top"/>
    </w:pPr>
    <w:rPr>
      <w:rFonts w:ascii="Times New Roman" w:eastAsia="Times New Roman" w:hAnsi="Times New Roman" w:cs="Times New Roman"/>
      <w:sz w:val="20"/>
      <w:szCs w:val="20"/>
      <w:lang w:eastAsia="en-GB"/>
    </w:rPr>
  </w:style>
  <w:style w:type="paragraph" w:customStyle="1" w:styleId="xl78">
    <w:name w:val="xl78"/>
    <w:basedOn w:val="Normal"/>
    <w:rsid w:val="009C7652"/>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9">
    <w:name w:val="xl79"/>
    <w:basedOn w:val="Normal"/>
    <w:rsid w:val="009C7652"/>
    <w:pPr>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80">
    <w:name w:val="xl80"/>
    <w:basedOn w:val="Normal"/>
    <w:rsid w:val="009C7652"/>
    <w:pPr>
      <w:shd w:val="clear" w:color="000000" w:fill="ACB9CA"/>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GB"/>
    </w:rPr>
  </w:style>
  <w:style w:type="paragraph" w:customStyle="1" w:styleId="xl81">
    <w:name w:val="xl81"/>
    <w:basedOn w:val="Normal"/>
    <w:rsid w:val="009C7652"/>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82">
    <w:name w:val="xl82"/>
    <w:basedOn w:val="Normal"/>
    <w:rsid w:val="009C7652"/>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83">
    <w:name w:val="xl83"/>
    <w:basedOn w:val="Normal"/>
    <w:rsid w:val="009C7652"/>
    <w:pP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84">
    <w:name w:val="xl84"/>
    <w:basedOn w:val="Normal"/>
    <w:rsid w:val="009C7652"/>
    <w:pP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20"/>
      <w:szCs w:val="20"/>
      <w:lang w:eastAsia="en-GB"/>
    </w:rPr>
  </w:style>
  <w:style w:type="paragraph" w:customStyle="1" w:styleId="xl85">
    <w:name w:val="xl85"/>
    <w:basedOn w:val="Normal"/>
    <w:rsid w:val="009C765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rPr>
  </w:style>
  <w:style w:type="paragraph" w:customStyle="1" w:styleId="xl86">
    <w:name w:val="xl86"/>
    <w:basedOn w:val="Normal"/>
    <w:rsid w:val="009C7652"/>
    <w:pP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87">
    <w:name w:val="xl87"/>
    <w:basedOn w:val="Normal"/>
    <w:rsid w:val="009C7652"/>
    <w:pP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20"/>
      <w:szCs w:val="20"/>
      <w:lang w:eastAsia="en-GB"/>
    </w:rPr>
  </w:style>
  <w:style w:type="paragraph" w:customStyle="1" w:styleId="xl88">
    <w:name w:val="xl88"/>
    <w:basedOn w:val="Normal"/>
    <w:rsid w:val="009C765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rPr>
  </w:style>
  <w:style w:type="paragraph" w:customStyle="1" w:styleId="xl89">
    <w:name w:val="xl89"/>
    <w:basedOn w:val="Normal"/>
    <w:rsid w:val="009C7652"/>
    <w:pP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90">
    <w:name w:val="xl90"/>
    <w:basedOn w:val="Normal"/>
    <w:rsid w:val="009C7652"/>
    <w:pPr>
      <w:spacing w:before="100" w:beforeAutospacing="1" w:after="100" w:afterAutospacing="1" w:line="240" w:lineRule="auto"/>
    </w:pPr>
    <w:rPr>
      <w:rFonts w:ascii="Times New Roman" w:eastAsia="Times New Roman" w:hAnsi="Times New Roman" w:cs="Times New Roman"/>
      <w:sz w:val="18"/>
      <w:szCs w:val="18"/>
      <w:lang w:eastAsia="en-GB"/>
    </w:rPr>
  </w:style>
  <w:style w:type="character" w:customStyle="1" w:styleId="cf01">
    <w:name w:val="cf01"/>
    <w:basedOn w:val="DefaultParagraphFont"/>
    <w:rsid w:val="00C036BC"/>
    <w:rPr>
      <w:rFonts w:ascii="Segoe UI" w:hAnsi="Segoe UI" w:cs="Segoe UI" w:hint="default"/>
      <w:sz w:val="18"/>
      <w:szCs w:val="18"/>
    </w:rPr>
  </w:style>
  <w:style w:type="paragraph" w:styleId="BalloonText">
    <w:name w:val="Balloon Text"/>
    <w:basedOn w:val="Normal"/>
    <w:link w:val="BalloonTextChar"/>
    <w:uiPriority w:val="99"/>
    <w:semiHidden/>
    <w:unhideWhenUsed/>
    <w:rsid w:val="001C6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0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C7652"/>
    <w:pPr>
      <w:keepNext/>
      <w:keepLines/>
      <w:spacing w:after="0" w:line="360" w:lineRule="auto"/>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9C7652"/>
    <w:pPr>
      <w:keepNext/>
      <w:keepLines/>
      <w:spacing w:after="0" w:line="360" w:lineRule="auto"/>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9C7652"/>
    <w:pPr>
      <w:keepNext/>
      <w:keepLines/>
      <w:spacing w:before="40" w:after="0" w:line="360" w:lineRule="auto"/>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9C7652"/>
    <w:pPr>
      <w:keepNext/>
      <w:keepLines/>
      <w:spacing w:before="40" w:after="0" w:line="360"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75830"/>
    <w:pPr>
      <w:spacing w:after="200" w:line="240" w:lineRule="auto"/>
    </w:pPr>
    <w:rPr>
      <w:rFonts w:ascii="Calibri" w:hAnsi="Calibri"/>
      <w:b/>
      <w:iCs/>
      <w:szCs w:val="18"/>
    </w:rPr>
  </w:style>
  <w:style w:type="table" w:styleId="TableGrid">
    <w:name w:val="Table Grid"/>
    <w:basedOn w:val="TableNormal"/>
    <w:uiPriority w:val="39"/>
    <w:rsid w:val="00AC18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AC18C1"/>
    <w:pPr>
      <w:spacing w:after="0"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C18C1"/>
    <w:rPr>
      <w:rFonts w:ascii="Calibri" w:hAnsi="Calibri" w:cs="Calibri"/>
      <w:noProof/>
      <w:lang w:val="en-US"/>
    </w:rPr>
  </w:style>
  <w:style w:type="paragraph" w:styleId="ListParagraph">
    <w:name w:val="List Paragraph"/>
    <w:basedOn w:val="Normal"/>
    <w:link w:val="ListParagraphChar"/>
    <w:uiPriority w:val="34"/>
    <w:qFormat/>
    <w:rsid w:val="001643FA"/>
    <w:pPr>
      <w:ind w:left="720"/>
      <w:contextualSpacing/>
    </w:pPr>
    <w:rPr>
      <w:rFonts w:ascii="Calibri" w:eastAsia="Calibri" w:hAnsi="Calibri" w:cs="Times New Roman"/>
    </w:rPr>
  </w:style>
  <w:style w:type="character" w:customStyle="1" w:styleId="ListParagraphChar">
    <w:name w:val="List Paragraph Char"/>
    <w:link w:val="ListParagraph"/>
    <w:uiPriority w:val="34"/>
    <w:rsid w:val="001643FA"/>
    <w:rPr>
      <w:rFonts w:ascii="Calibri" w:eastAsia="Calibri" w:hAnsi="Calibri" w:cs="Times New Roman"/>
    </w:rPr>
  </w:style>
  <w:style w:type="character" w:customStyle="1" w:styleId="Heading1Char">
    <w:name w:val="Heading 1 Char"/>
    <w:basedOn w:val="DefaultParagraphFont"/>
    <w:link w:val="Heading1"/>
    <w:uiPriority w:val="9"/>
    <w:rsid w:val="009C7652"/>
    <w:rPr>
      <w:rFonts w:eastAsiaTheme="majorEastAsia" w:cstheme="majorBidi"/>
      <w:b/>
      <w:sz w:val="28"/>
      <w:szCs w:val="32"/>
    </w:rPr>
  </w:style>
  <w:style w:type="character" w:customStyle="1" w:styleId="Heading2Char">
    <w:name w:val="Heading 2 Char"/>
    <w:basedOn w:val="DefaultParagraphFont"/>
    <w:link w:val="Heading2"/>
    <w:uiPriority w:val="9"/>
    <w:rsid w:val="009C7652"/>
    <w:rPr>
      <w:rFonts w:eastAsiaTheme="majorEastAsia" w:cstheme="majorBidi"/>
      <w:b/>
      <w:sz w:val="24"/>
      <w:szCs w:val="26"/>
    </w:rPr>
  </w:style>
  <w:style w:type="character" w:customStyle="1" w:styleId="Heading3Char">
    <w:name w:val="Heading 3 Char"/>
    <w:basedOn w:val="DefaultParagraphFont"/>
    <w:link w:val="Heading3"/>
    <w:uiPriority w:val="9"/>
    <w:rsid w:val="009C7652"/>
    <w:rPr>
      <w:rFonts w:asciiTheme="majorHAnsi" w:eastAsiaTheme="majorEastAsia" w:hAnsiTheme="majorHAnsi" w:cstheme="majorBidi"/>
      <w:b/>
      <w:i/>
      <w:szCs w:val="24"/>
    </w:rPr>
  </w:style>
  <w:style w:type="character" w:customStyle="1" w:styleId="Heading4Char">
    <w:name w:val="Heading 4 Char"/>
    <w:basedOn w:val="DefaultParagraphFont"/>
    <w:link w:val="Heading4"/>
    <w:uiPriority w:val="9"/>
    <w:rsid w:val="009C7652"/>
    <w:rPr>
      <w:rFonts w:asciiTheme="majorHAnsi" w:eastAsiaTheme="majorEastAsia" w:hAnsiTheme="majorHAnsi" w:cstheme="majorBidi"/>
      <w:i/>
      <w:iCs/>
      <w:color w:val="2F5496" w:themeColor="accent1" w:themeShade="BF"/>
    </w:rPr>
  </w:style>
  <w:style w:type="paragraph" w:styleId="Header">
    <w:name w:val="header"/>
    <w:aliases w:val="Bayer Header"/>
    <w:basedOn w:val="Normal"/>
    <w:link w:val="HeaderChar"/>
    <w:uiPriority w:val="99"/>
    <w:unhideWhenUsed/>
    <w:rsid w:val="009C7652"/>
    <w:pPr>
      <w:tabs>
        <w:tab w:val="center" w:pos="4513"/>
        <w:tab w:val="right" w:pos="9026"/>
      </w:tabs>
      <w:spacing w:after="0" w:line="240" w:lineRule="auto"/>
    </w:pPr>
  </w:style>
  <w:style w:type="character" w:customStyle="1" w:styleId="HeaderChar">
    <w:name w:val="Header Char"/>
    <w:aliases w:val="Bayer Header Char"/>
    <w:basedOn w:val="DefaultParagraphFont"/>
    <w:link w:val="Header"/>
    <w:uiPriority w:val="99"/>
    <w:rsid w:val="009C7652"/>
  </w:style>
  <w:style w:type="character" w:styleId="Strong">
    <w:name w:val="Strong"/>
    <w:basedOn w:val="DefaultParagraphFont"/>
    <w:uiPriority w:val="22"/>
    <w:qFormat/>
    <w:rsid w:val="009C7652"/>
    <w:rPr>
      <w:b/>
      <w:bCs/>
    </w:rPr>
  </w:style>
  <w:style w:type="paragraph" w:styleId="TOCHeading">
    <w:name w:val="TOC Heading"/>
    <w:basedOn w:val="Heading1"/>
    <w:next w:val="Normal"/>
    <w:uiPriority w:val="39"/>
    <w:unhideWhenUsed/>
    <w:qFormat/>
    <w:rsid w:val="009C7652"/>
    <w:pPr>
      <w:spacing w:before="240" w:line="259" w:lineRule="auto"/>
      <w:outlineLvl w:val="9"/>
    </w:pPr>
    <w:rPr>
      <w:rFonts w:ascii="Calibri" w:hAnsi="Calibri"/>
      <w:lang w:val="en-US"/>
    </w:rPr>
  </w:style>
  <w:style w:type="paragraph" w:styleId="TOC1">
    <w:name w:val="toc 1"/>
    <w:basedOn w:val="Normal"/>
    <w:next w:val="Normal"/>
    <w:autoRedefine/>
    <w:uiPriority w:val="39"/>
    <w:unhideWhenUsed/>
    <w:rsid w:val="009C7652"/>
    <w:pPr>
      <w:spacing w:after="100" w:line="360" w:lineRule="auto"/>
    </w:pPr>
    <w:rPr>
      <w:rFonts w:ascii="Calibri" w:hAnsi="Calibri"/>
    </w:rPr>
  </w:style>
  <w:style w:type="character" w:styleId="Hyperlink">
    <w:name w:val="Hyperlink"/>
    <w:basedOn w:val="DefaultParagraphFont"/>
    <w:uiPriority w:val="99"/>
    <w:unhideWhenUsed/>
    <w:rsid w:val="009C7652"/>
    <w:rPr>
      <w:color w:val="0563C1" w:themeColor="hyperlink"/>
      <w:u w:val="single"/>
    </w:rPr>
  </w:style>
  <w:style w:type="paragraph" w:styleId="Footer">
    <w:name w:val="footer"/>
    <w:basedOn w:val="Normal"/>
    <w:link w:val="FooterChar"/>
    <w:uiPriority w:val="99"/>
    <w:unhideWhenUsed/>
    <w:rsid w:val="009C7652"/>
    <w:pPr>
      <w:tabs>
        <w:tab w:val="center" w:pos="4513"/>
        <w:tab w:val="right" w:pos="9026"/>
      </w:tabs>
      <w:spacing w:after="0" w:line="240" w:lineRule="auto"/>
    </w:pPr>
    <w:rPr>
      <w:rFonts w:ascii="Calibri" w:hAnsi="Calibri"/>
    </w:rPr>
  </w:style>
  <w:style w:type="character" w:customStyle="1" w:styleId="FooterChar">
    <w:name w:val="Footer Char"/>
    <w:basedOn w:val="DefaultParagraphFont"/>
    <w:link w:val="Footer"/>
    <w:uiPriority w:val="99"/>
    <w:rsid w:val="009C7652"/>
    <w:rPr>
      <w:rFonts w:ascii="Calibri" w:hAnsi="Calibri"/>
    </w:rPr>
  </w:style>
  <w:style w:type="paragraph" w:styleId="NoSpacing">
    <w:name w:val="No Spacing"/>
    <w:basedOn w:val="Normal"/>
    <w:link w:val="NoSpacingChar"/>
    <w:uiPriority w:val="1"/>
    <w:qFormat/>
    <w:rsid w:val="009C7652"/>
    <w:pPr>
      <w:widowControl w:val="0"/>
      <w:autoSpaceDE w:val="0"/>
      <w:autoSpaceDN w:val="0"/>
      <w:adjustRightInd w:val="0"/>
      <w:spacing w:after="0" w:line="360" w:lineRule="auto"/>
    </w:pPr>
    <w:rPr>
      <w:rFonts w:ascii="Times New Roman" w:eastAsiaTheme="minorEastAsia" w:hAnsi="Times New Roman" w:cs="Times New Roman"/>
      <w:sz w:val="20"/>
      <w:szCs w:val="24"/>
      <w:shd w:val="clear" w:color="auto" w:fill="FFFFFF"/>
      <w:lang w:eastAsia="en-GB"/>
    </w:rPr>
  </w:style>
  <w:style w:type="character" w:customStyle="1" w:styleId="NoSpacingChar">
    <w:name w:val="No Spacing Char"/>
    <w:basedOn w:val="DefaultParagraphFont"/>
    <w:link w:val="NoSpacing"/>
    <w:uiPriority w:val="1"/>
    <w:rsid w:val="009C7652"/>
    <w:rPr>
      <w:rFonts w:ascii="Times New Roman" w:eastAsiaTheme="minorEastAsia" w:hAnsi="Times New Roman" w:cs="Times New Roman"/>
      <w:sz w:val="20"/>
      <w:szCs w:val="24"/>
      <w:lang w:eastAsia="en-GB"/>
    </w:rPr>
  </w:style>
  <w:style w:type="paragraph" w:customStyle="1" w:styleId="EndNoteBibliographyTitle">
    <w:name w:val="EndNote Bibliography Title"/>
    <w:basedOn w:val="Normal"/>
    <w:link w:val="EndNoteBibliographyTitleChar"/>
    <w:rsid w:val="009C7652"/>
    <w:pPr>
      <w:spacing w:after="0" w:line="360" w:lineRule="auto"/>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C7652"/>
    <w:rPr>
      <w:rFonts w:ascii="Calibri" w:hAnsi="Calibri" w:cs="Calibri"/>
      <w:noProof/>
      <w:lang w:val="en-US"/>
    </w:rPr>
  </w:style>
  <w:style w:type="character" w:customStyle="1" w:styleId="UnresolvedMention">
    <w:name w:val="Unresolved Mention"/>
    <w:basedOn w:val="DefaultParagraphFont"/>
    <w:uiPriority w:val="99"/>
    <w:semiHidden/>
    <w:unhideWhenUsed/>
    <w:rsid w:val="009C7652"/>
    <w:rPr>
      <w:color w:val="605E5C"/>
      <w:shd w:val="clear" w:color="auto" w:fill="E1DFDD"/>
    </w:rPr>
  </w:style>
  <w:style w:type="paragraph" w:styleId="CommentText">
    <w:name w:val="annotation text"/>
    <w:basedOn w:val="Normal"/>
    <w:link w:val="CommentTextChar"/>
    <w:uiPriority w:val="99"/>
    <w:unhideWhenUsed/>
    <w:rsid w:val="009C765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9C7652"/>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9C7652"/>
    <w:rPr>
      <w:sz w:val="16"/>
      <w:szCs w:val="16"/>
    </w:rPr>
  </w:style>
  <w:style w:type="paragraph" w:styleId="CommentSubject">
    <w:name w:val="annotation subject"/>
    <w:basedOn w:val="CommentText"/>
    <w:next w:val="CommentText"/>
    <w:link w:val="CommentSubjectChar"/>
    <w:uiPriority w:val="99"/>
    <w:semiHidden/>
    <w:unhideWhenUsed/>
    <w:rsid w:val="009C7652"/>
    <w:pPr>
      <w:spacing w:after="0"/>
    </w:pPr>
    <w:rPr>
      <w:rFonts w:eastAsiaTheme="minorHAnsi" w:cstheme="minorBidi"/>
      <w:b/>
      <w:bCs/>
    </w:rPr>
  </w:style>
  <w:style w:type="character" w:customStyle="1" w:styleId="CommentSubjectChar">
    <w:name w:val="Comment Subject Char"/>
    <w:basedOn w:val="CommentTextChar"/>
    <w:link w:val="CommentSubject"/>
    <w:uiPriority w:val="99"/>
    <w:semiHidden/>
    <w:rsid w:val="009C7652"/>
    <w:rPr>
      <w:rFonts w:ascii="Calibri" w:eastAsia="Calibri" w:hAnsi="Calibri" w:cs="Times New Roman"/>
      <w:b/>
      <w:bCs/>
      <w:sz w:val="20"/>
      <w:szCs w:val="20"/>
    </w:rPr>
  </w:style>
  <w:style w:type="paragraph" w:customStyle="1" w:styleId="ERGNormal">
    <w:name w:val="ERG Normal"/>
    <w:basedOn w:val="Normal"/>
    <w:link w:val="ERGNormalChar"/>
    <w:qFormat/>
    <w:rsid w:val="009C7652"/>
    <w:pPr>
      <w:spacing w:after="120" w:line="360" w:lineRule="auto"/>
    </w:pPr>
    <w:rPr>
      <w:rFonts w:ascii="Times New Roman" w:eastAsia="Times New Roman" w:hAnsi="Times New Roman" w:cs="Times New Roman"/>
      <w:sz w:val="24"/>
      <w:szCs w:val="24"/>
      <w:lang w:eastAsia="en-GB"/>
    </w:rPr>
  </w:style>
  <w:style w:type="character" w:customStyle="1" w:styleId="ERGNormalChar">
    <w:name w:val="ERG Normal Char"/>
    <w:basedOn w:val="DefaultParagraphFont"/>
    <w:link w:val="ERGNormal"/>
    <w:rsid w:val="009C7652"/>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9C7652"/>
    <w:pPr>
      <w:tabs>
        <w:tab w:val="right" w:leader="dot" w:pos="9017"/>
      </w:tabs>
      <w:spacing w:after="100" w:line="360" w:lineRule="auto"/>
      <w:ind w:left="220"/>
    </w:pPr>
    <w:rPr>
      <w:rFonts w:ascii="Calibri" w:hAnsi="Calibri"/>
    </w:rPr>
  </w:style>
  <w:style w:type="character" w:customStyle="1" w:styleId="normaltextrun">
    <w:name w:val="normaltextrun"/>
    <w:basedOn w:val="DefaultParagraphFont"/>
    <w:rsid w:val="009C7652"/>
  </w:style>
  <w:style w:type="paragraph" w:customStyle="1" w:styleId="paragraph">
    <w:name w:val="paragraph"/>
    <w:basedOn w:val="Normal"/>
    <w:rsid w:val="009C7652"/>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character" w:customStyle="1" w:styleId="eop">
    <w:name w:val="eop"/>
    <w:basedOn w:val="DefaultParagraphFont"/>
    <w:rsid w:val="009C7652"/>
  </w:style>
  <w:style w:type="paragraph" w:styleId="PlainText">
    <w:name w:val="Plain Text"/>
    <w:basedOn w:val="Normal"/>
    <w:link w:val="PlainTextChar"/>
    <w:uiPriority w:val="99"/>
    <w:unhideWhenUsed/>
    <w:rsid w:val="009C765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C7652"/>
    <w:rPr>
      <w:rFonts w:ascii="Consolas" w:hAnsi="Consolas"/>
      <w:sz w:val="21"/>
      <w:szCs w:val="21"/>
    </w:rPr>
  </w:style>
  <w:style w:type="paragraph" w:styleId="Revision">
    <w:name w:val="Revision"/>
    <w:hidden/>
    <w:uiPriority w:val="99"/>
    <w:semiHidden/>
    <w:rsid w:val="009C7652"/>
    <w:pPr>
      <w:spacing w:after="0" w:line="240" w:lineRule="auto"/>
    </w:pPr>
    <w:rPr>
      <w:rFonts w:ascii="Calibri" w:hAnsi="Calibri"/>
    </w:rPr>
  </w:style>
  <w:style w:type="character" w:styleId="FollowedHyperlink">
    <w:name w:val="FollowedHyperlink"/>
    <w:basedOn w:val="DefaultParagraphFont"/>
    <w:uiPriority w:val="99"/>
    <w:semiHidden/>
    <w:unhideWhenUsed/>
    <w:rsid w:val="009C7652"/>
    <w:rPr>
      <w:color w:val="954F72"/>
      <w:u w:val="single"/>
    </w:rPr>
  </w:style>
  <w:style w:type="paragraph" w:customStyle="1" w:styleId="msonormal0">
    <w:name w:val="msonormal"/>
    <w:basedOn w:val="Normal"/>
    <w:rsid w:val="009C76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6">
    <w:name w:val="xl66"/>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8">
    <w:name w:val="xl68"/>
    <w:basedOn w:val="Normal"/>
    <w:rsid w:val="009C765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9C765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0">
    <w:name w:val="xl70"/>
    <w:basedOn w:val="Normal"/>
    <w:rsid w:val="009C765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1">
    <w:name w:val="xl71"/>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2">
    <w:name w:val="xl72"/>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3">
    <w:name w:val="xl73"/>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74">
    <w:name w:val="xl74"/>
    <w:basedOn w:val="Normal"/>
    <w:rsid w:val="009C7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en-GB"/>
    </w:rPr>
  </w:style>
  <w:style w:type="paragraph" w:styleId="TableofFigures">
    <w:name w:val="table of figures"/>
    <w:basedOn w:val="Normal"/>
    <w:next w:val="Normal"/>
    <w:uiPriority w:val="99"/>
    <w:unhideWhenUsed/>
    <w:rsid w:val="009C7652"/>
    <w:pPr>
      <w:spacing w:after="0" w:line="360" w:lineRule="auto"/>
    </w:pPr>
    <w:rPr>
      <w:rFonts w:ascii="Calibri" w:hAnsi="Calibri"/>
    </w:rPr>
  </w:style>
  <w:style w:type="paragraph" w:styleId="TOC3">
    <w:name w:val="toc 3"/>
    <w:basedOn w:val="Normal"/>
    <w:next w:val="Normal"/>
    <w:autoRedefine/>
    <w:uiPriority w:val="39"/>
    <w:unhideWhenUsed/>
    <w:rsid w:val="009C7652"/>
    <w:pPr>
      <w:spacing w:after="100" w:line="360" w:lineRule="auto"/>
      <w:ind w:left="440"/>
    </w:pPr>
    <w:rPr>
      <w:rFonts w:ascii="Calibri" w:hAnsi="Calibri"/>
    </w:rPr>
  </w:style>
  <w:style w:type="table" w:customStyle="1" w:styleId="TableGrid1">
    <w:name w:val="Table Grid1"/>
    <w:basedOn w:val="TableNormal"/>
    <w:next w:val="TableGrid"/>
    <w:uiPriority w:val="39"/>
    <w:rsid w:val="009C76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
    <w:name w:val="Grid Table 1 Light1"/>
    <w:basedOn w:val="TableNormal"/>
    <w:next w:val="GridTable1Light"/>
    <w:uiPriority w:val="46"/>
    <w:rsid w:val="009C7652"/>
    <w:pPr>
      <w:spacing w:after="0" w:line="240" w:lineRule="auto"/>
    </w:pPr>
    <w:rPr>
      <w:lang w:val="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28" w:type="dxa"/>
        <w:bottom w:w="0" w:type="dxa"/>
        <w:right w:w="2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
    <w:name w:val="Grid Table 1 Light"/>
    <w:basedOn w:val="TableNormal"/>
    <w:uiPriority w:val="46"/>
    <w:rsid w:val="009C7652"/>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9C7652"/>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1">
    <w:name w:val="No List1"/>
    <w:next w:val="NoList"/>
    <w:uiPriority w:val="99"/>
    <w:semiHidden/>
    <w:unhideWhenUsed/>
    <w:rsid w:val="009C7652"/>
  </w:style>
  <w:style w:type="paragraph" w:customStyle="1" w:styleId="font5">
    <w:name w:val="font5"/>
    <w:basedOn w:val="Normal"/>
    <w:rsid w:val="009C7652"/>
    <w:pPr>
      <w:spacing w:before="100" w:beforeAutospacing="1" w:after="100" w:afterAutospacing="1" w:line="240" w:lineRule="auto"/>
    </w:pPr>
    <w:rPr>
      <w:rFonts w:ascii="Tahoma" w:eastAsia="Times New Roman" w:hAnsi="Tahoma" w:cs="Tahoma"/>
      <w:color w:val="000000"/>
      <w:sz w:val="18"/>
      <w:szCs w:val="18"/>
      <w:lang w:eastAsia="en-GB"/>
    </w:rPr>
  </w:style>
  <w:style w:type="paragraph" w:customStyle="1" w:styleId="font6">
    <w:name w:val="font6"/>
    <w:basedOn w:val="Normal"/>
    <w:rsid w:val="009C7652"/>
    <w:pPr>
      <w:spacing w:before="100" w:beforeAutospacing="1" w:after="100" w:afterAutospacing="1" w:line="240" w:lineRule="auto"/>
    </w:pPr>
    <w:rPr>
      <w:rFonts w:ascii="Tahoma" w:eastAsia="Times New Roman" w:hAnsi="Tahoma" w:cs="Tahoma"/>
      <w:b/>
      <w:bCs/>
      <w:color w:val="000000"/>
      <w:sz w:val="18"/>
      <w:szCs w:val="18"/>
      <w:lang w:eastAsia="en-GB"/>
    </w:rPr>
  </w:style>
  <w:style w:type="character" w:customStyle="1" w:styleId="term">
    <w:name w:val="term"/>
    <w:basedOn w:val="DefaultParagraphFont"/>
    <w:rsid w:val="009C7652"/>
  </w:style>
  <w:style w:type="paragraph" w:customStyle="1" w:styleId="xl75">
    <w:name w:val="xl75"/>
    <w:basedOn w:val="Normal"/>
    <w:rsid w:val="009C7652"/>
    <w:pP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76">
    <w:name w:val="xl76"/>
    <w:basedOn w:val="Normal"/>
    <w:rsid w:val="009C7652"/>
    <w:pPr>
      <w:shd w:val="clear" w:color="000000" w:fill="ACB9CA"/>
      <w:spacing w:before="100" w:beforeAutospacing="1" w:after="100" w:afterAutospacing="1" w:line="240" w:lineRule="auto"/>
      <w:jc w:val="center"/>
    </w:pPr>
    <w:rPr>
      <w:rFonts w:ascii="Times New Roman" w:eastAsia="Times New Roman" w:hAnsi="Times New Roman" w:cs="Times New Roman"/>
      <w:sz w:val="20"/>
      <w:szCs w:val="20"/>
      <w:lang w:eastAsia="en-GB"/>
    </w:rPr>
  </w:style>
  <w:style w:type="paragraph" w:customStyle="1" w:styleId="xl77">
    <w:name w:val="xl77"/>
    <w:basedOn w:val="Normal"/>
    <w:rsid w:val="009C7652"/>
    <w:pPr>
      <w:shd w:val="clear" w:color="000000" w:fill="ACB9CA"/>
      <w:spacing w:before="100" w:beforeAutospacing="1" w:after="100" w:afterAutospacing="1" w:line="240" w:lineRule="auto"/>
      <w:textAlignment w:val="top"/>
    </w:pPr>
    <w:rPr>
      <w:rFonts w:ascii="Times New Roman" w:eastAsia="Times New Roman" w:hAnsi="Times New Roman" w:cs="Times New Roman"/>
      <w:sz w:val="20"/>
      <w:szCs w:val="20"/>
      <w:lang w:eastAsia="en-GB"/>
    </w:rPr>
  </w:style>
  <w:style w:type="paragraph" w:customStyle="1" w:styleId="xl78">
    <w:name w:val="xl78"/>
    <w:basedOn w:val="Normal"/>
    <w:rsid w:val="009C7652"/>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9">
    <w:name w:val="xl79"/>
    <w:basedOn w:val="Normal"/>
    <w:rsid w:val="009C7652"/>
    <w:pPr>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80">
    <w:name w:val="xl80"/>
    <w:basedOn w:val="Normal"/>
    <w:rsid w:val="009C7652"/>
    <w:pPr>
      <w:shd w:val="clear" w:color="000000" w:fill="ACB9CA"/>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n-GB"/>
    </w:rPr>
  </w:style>
  <w:style w:type="paragraph" w:customStyle="1" w:styleId="xl81">
    <w:name w:val="xl81"/>
    <w:basedOn w:val="Normal"/>
    <w:rsid w:val="009C7652"/>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82">
    <w:name w:val="xl82"/>
    <w:basedOn w:val="Normal"/>
    <w:rsid w:val="009C7652"/>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83">
    <w:name w:val="xl83"/>
    <w:basedOn w:val="Normal"/>
    <w:rsid w:val="009C7652"/>
    <w:pP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84">
    <w:name w:val="xl84"/>
    <w:basedOn w:val="Normal"/>
    <w:rsid w:val="009C7652"/>
    <w:pP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20"/>
      <w:szCs w:val="20"/>
      <w:lang w:eastAsia="en-GB"/>
    </w:rPr>
  </w:style>
  <w:style w:type="paragraph" w:customStyle="1" w:styleId="xl85">
    <w:name w:val="xl85"/>
    <w:basedOn w:val="Normal"/>
    <w:rsid w:val="009C765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rPr>
  </w:style>
  <w:style w:type="paragraph" w:customStyle="1" w:styleId="xl86">
    <w:name w:val="xl86"/>
    <w:basedOn w:val="Normal"/>
    <w:rsid w:val="009C7652"/>
    <w:pPr>
      <w:spacing w:before="100" w:beforeAutospacing="1" w:after="100" w:afterAutospacing="1" w:line="240" w:lineRule="auto"/>
    </w:pPr>
    <w:rPr>
      <w:rFonts w:ascii="Times New Roman" w:eastAsia="Times New Roman" w:hAnsi="Times New Roman" w:cs="Times New Roman"/>
      <w:sz w:val="20"/>
      <w:szCs w:val="20"/>
      <w:lang w:eastAsia="en-GB"/>
    </w:rPr>
  </w:style>
  <w:style w:type="paragraph" w:customStyle="1" w:styleId="xl87">
    <w:name w:val="xl87"/>
    <w:basedOn w:val="Normal"/>
    <w:rsid w:val="009C7652"/>
    <w:pP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20"/>
      <w:szCs w:val="20"/>
      <w:lang w:eastAsia="en-GB"/>
    </w:rPr>
  </w:style>
  <w:style w:type="paragraph" w:customStyle="1" w:styleId="xl88">
    <w:name w:val="xl88"/>
    <w:basedOn w:val="Normal"/>
    <w:rsid w:val="009C7652"/>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n-GB"/>
    </w:rPr>
  </w:style>
  <w:style w:type="paragraph" w:customStyle="1" w:styleId="xl89">
    <w:name w:val="xl89"/>
    <w:basedOn w:val="Normal"/>
    <w:rsid w:val="009C7652"/>
    <w:pP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en-GB"/>
    </w:rPr>
  </w:style>
  <w:style w:type="paragraph" w:customStyle="1" w:styleId="xl90">
    <w:name w:val="xl90"/>
    <w:basedOn w:val="Normal"/>
    <w:rsid w:val="009C7652"/>
    <w:pPr>
      <w:spacing w:before="100" w:beforeAutospacing="1" w:after="100" w:afterAutospacing="1" w:line="240" w:lineRule="auto"/>
    </w:pPr>
    <w:rPr>
      <w:rFonts w:ascii="Times New Roman" w:eastAsia="Times New Roman" w:hAnsi="Times New Roman" w:cs="Times New Roman"/>
      <w:sz w:val="18"/>
      <w:szCs w:val="18"/>
      <w:lang w:eastAsia="en-GB"/>
    </w:rPr>
  </w:style>
  <w:style w:type="character" w:customStyle="1" w:styleId="cf01">
    <w:name w:val="cf01"/>
    <w:basedOn w:val="DefaultParagraphFont"/>
    <w:rsid w:val="00C036BC"/>
    <w:rPr>
      <w:rFonts w:ascii="Segoe UI" w:hAnsi="Segoe UI" w:cs="Segoe UI" w:hint="default"/>
      <w:sz w:val="18"/>
      <w:szCs w:val="18"/>
    </w:rPr>
  </w:style>
  <w:style w:type="paragraph" w:styleId="BalloonText">
    <w:name w:val="Balloon Text"/>
    <w:basedOn w:val="Normal"/>
    <w:link w:val="BalloonTextChar"/>
    <w:uiPriority w:val="99"/>
    <w:semiHidden/>
    <w:unhideWhenUsed/>
    <w:rsid w:val="001C6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0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09251">
      <w:bodyDiv w:val="1"/>
      <w:marLeft w:val="0"/>
      <w:marRight w:val="0"/>
      <w:marTop w:val="0"/>
      <w:marBottom w:val="0"/>
      <w:divBdr>
        <w:top w:val="none" w:sz="0" w:space="0" w:color="auto"/>
        <w:left w:val="none" w:sz="0" w:space="0" w:color="auto"/>
        <w:bottom w:val="none" w:sz="0" w:space="0" w:color="auto"/>
        <w:right w:val="none" w:sz="0" w:space="0" w:color="auto"/>
      </w:divBdr>
      <w:divsChild>
        <w:div w:id="1235432158">
          <w:blockQuote w:val="1"/>
          <w:marLeft w:val="0"/>
          <w:marRight w:val="0"/>
          <w:marTop w:val="300"/>
          <w:marBottom w:val="300"/>
          <w:divBdr>
            <w:top w:val="single" w:sz="2" w:space="0" w:color="auto"/>
            <w:left w:val="single" w:sz="12" w:space="0" w:color="auto"/>
            <w:bottom w:val="single" w:sz="2" w:space="0" w:color="auto"/>
            <w:right w:val="single" w:sz="2" w:space="0" w:color="auto"/>
          </w:divBdr>
        </w:div>
      </w:divsChild>
    </w:div>
    <w:div w:id="183859446">
      <w:bodyDiv w:val="1"/>
      <w:marLeft w:val="0"/>
      <w:marRight w:val="0"/>
      <w:marTop w:val="0"/>
      <w:marBottom w:val="0"/>
      <w:divBdr>
        <w:top w:val="none" w:sz="0" w:space="0" w:color="auto"/>
        <w:left w:val="none" w:sz="0" w:space="0" w:color="auto"/>
        <w:bottom w:val="none" w:sz="0" w:space="0" w:color="auto"/>
        <w:right w:val="none" w:sz="0" w:space="0" w:color="auto"/>
      </w:divBdr>
    </w:div>
    <w:div w:id="237903404">
      <w:bodyDiv w:val="1"/>
      <w:marLeft w:val="0"/>
      <w:marRight w:val="0"/>
      <w:marTop w:val="0"/>
      <w:marBottom w:val="0"/>
      <w:divBdr>
        <w:top w:val="none" w:sz="0" w:space="0" w:color="auto"/>
        <w:left w:val="none" w:sz="0" w:space="0" w:color="auto"/>
        <w:bottom w:val="none" w:sz="0" w:space="0" w:color="auto"/>
        <w:right w:val="none" w:sz="0" w:space="0" w:color="auto"/>
      </w:divBdr>
      <w:divsChild>
        <w:div w:id="844978252">
          <w:blockQuote w:val="1"/>
          <w:marLeft w:val="0"/>
          <w:marRight w:val="0"/>
          <w:marTop w:val="300"/>
          <w:marBottom w:val="300"/>
          <w:divBdr>
            <w:top w:val="single" w:sz="2" w:space="0" w:color="auto"/>
            <w:left w:val="single" w:sz="12" w:space="0" w:color="auto"/>
            <w:bottom w:val="single" w:sz="2" w:space="0" w:color="auto"/>
            <w:right w:val="single" w:sz="2" w:space="0" w:color="auto"/>
          </w:divBdr>
        </w:div>
      </w:divsChild>
    </w:div>
    <w:div w:id="324020918">
      <w:bodyDiv w:val="1"/>
      <w:marLeft w:val="0"/>
      <w:marRight w:val="0"/>
      <w:marTop w:val="0"/>
      <w:marBottom w:val="0"/>
      <w:divBdr>
        <w:top w:val="none" w:sz="0" w:space="0" w:color="auto"/>
        <w:left w:val="none" w:sz="0" w:space="0" w:color="auto"/>
        <w:bottom w:val="none" w:sz="0" w:space="0" w:color="auto"/>
        <w:right w:val="none" w:sz="0" w:space="0" w:color="auto"/>
      </w:divBdr>
      <w:divsChild>
        <w:div w:id="1200704083">
          <w:marLeft w:val="0"/>
          <w:marRight w:val="0"/>
          <w:marTop w:val="0"/>
          <w:marBottom w:val="0"/>
          <w:divBdr>
            <w:top w:val="single" w:sz="2" w:space="0" w:color="D9D9E3"/>
            <w:left w:val="single" w:sz="2" w:space="0" w:color="D9D9E3"/>
            <w:bottom w:val="single" w:sz="2" w:space="0" w:color="D9D9E3"/>
            <w:right w:val="single" w:sz="2" w:space="0" w:color="D9D9E3"/>
          </w:divBdr>
          <w:divsChild>
            <w:div w:id="21155126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56117313">
          <w:marLeft w:val="0"/>
          <w:marRight w:val="0"/>
          <w:marTop w:val="0"/>
          <w:marBottom w:val="0"/>
          <w:divBdr>
            <w:top w:val="single" w:sz="2" w:space="0" w:color="D9D9E3"/>
            <w:left w:val="single" w:sz="2" w:space="0" w:color="D9D9E3"/>
            <w:bottom w:val="single" w:sz="2" w:space="0" w:color="D9D9E3"/>
            <w:right w:val="single" w:sz="2" w:space="0" w:color="D9D9E3"/>
          </w:divBdr>
          <w:divsChild>
            <w:div w:id="2103991919">
              <w:marLeft w:val="0"/>
              <w:marRight w:val="0"/>
              <w:marTop w:val="0"/>
              <w:marBottom w:val="0"/>
              <w:divBdr>
                <w:top w:val="single" w:sz="2" w:space="0" w:color="D9D9E3"/>
                <w:left w:val="single" w:sz="2" w:space="0" w:color="D9D9E3"/>
                <w:bottom w:val="single" w:sz="2" w:space="0" w:color="D9D9E3"/>
                <w:right w:val="single" w:sz="2" w:space="0" w:color="D9D9E3"/>
              </w:divBdr>
              <w:divsChild>
                <w:div w:id="17861923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733426908">
      <w:bodyDiv w:val="1"/>
      <w:marLeft w:val="0"/>
      <w:marRight w:val="0"/>
      <w:marTop w:val="0"/>
      <w:marBottom w:val="0"/>
      <w:divBdr>
        <w:top w:val="none" w:sz="0" w:space="0" w:color="auto"/>
        <w:left w:val="none" w:sz="0" w:space="0" w:color="auto"/>
        <w:bottom w:val="none" w:sz="0" w:space="0" w:color="auto"/>
        <w:right w:val="none" w:sz="0" w:space="0" w:color="auto"/>
      </w:divBdr>
      <w:divsChild>
        <w:div w:id="2036269467">
          <w:marLeft w:val="0"/>
          <w:marRight w:val="0"/>
          <w:marTop w:val="0"/>
          <w:marBottom w:val="0"/>
          <w:divBdr>
            <w:top w:val="none" w:sz="0" w:space="0" w:color="auto"/>
            <w:left w:val="none" w:sz="0" w:space="0" w:color="auto"/>
            <w:bottom w:val="none" w:sz="0" w:space="0" w:color="auto"/>
            <w:right w:val="none" w:sz="0" w:space="0" w:color="auto"/>
          </w:divBdr>
        </w:div>
      </w:divsChild>
    </w:div>
    <w:div w:id="860168105">
      <w:bodyDiv w:val="1"/>
      <w:marLeft w:val="0"/>
      <w:marRight w:val="0"/>
      <w:marTop w:val="0"/>
      <w:marBottom w:val="0"/>
      <w:divBdr>
        <w:top w:val="none" w:sz="0" w:space="0" w:color="auto"/>
        <w:left w:val="none" w:sz="0" w:space="0" w:color="auto"/>
        <w:bottom w:val="none" w:sz="0" w:space="0" w:color="auto"/>
        <w:right w:val="none" w:sz="0" w:space="0" w:color="auto"/>
      </w:divBdr>
    </w:div>
    <w:div w:id="949505324">
      <w:bodyDiv w:val="1"/>
      <w:marLeft w:val="0"/>
      <w:marRight w:val="0"/>
      <w:marTop w:val="0"/>
      <w:marBottom w:val="0"/>
      <w:divBdr>
        <w:top w:val="none" w:sz="0" w:space="0" w:color="auto"/>
        <w:left w:val="none" w:sz="0" w:space="0" w:color="auto"/>
        <w:bottom w:val="none" w:sz="0" w:space="0" w:color="auto"/>
        <w:right w:val="none" w:sz="0" w:space="0" w:color="auto"/>
      </w:divBdr>
    </w:div>
    <w:div w:id="1640574058">
      <w:bodyDiv w:val="1"/>
      <w:marLeft w:val="0"/>
      <w:marRight w:val="0"/>
      <w:marTop w:val="0"/>
      <w:marBottom w:val="0"/>
      <w:divBdr>
        <w:top w:val="none" w:sz="0" w:space="0" w:color="auto"/>
        <w:left w:val="none" w:sz="0" w:space="0" w:color="auto"/>
        <w:bottom w:val="none" w:sz="0" w:space="0" w:color="auto"/>
        <w:right w:val="none" w:sz="0" w:space="0" w:color="auto"/>
      </w:divBdr>
    </w:div>
    <w:div w:id="1669288167">
      <w:bodyDiv w:val="1"/>
      <w:marLeft w:val="0"/>
      <w:marRight w:val="0"/>
      <w:marTop w:val="0"/>
      <w:marBottom w:val="0"/>
      <w:divBdr>
        <w:top w:val="none" w:sz="0" w:space="0" w:color="auto"/>
        <w:left w:val="none" w:sz="0" w:space="0" w:color="auto"/>
        <w:bottom w:val="none" w:sz="0" w:space="0" w:color="auto"/>
        <w:right w:val="none" w:sz="0" w:space="0" w:color="auto"/>
      </w:divBdr>
      <w:divsChild>
        <w:div w:id="25258692">
          <w:marLeft w:val="0"/>
          <w:marRight w:val="0"/>
          <w:marTop w:val="0"/>
          <w:marBottom w:val="0"/>
          <w:divBdr>
            <w:top w:val="none" w:sz="0" w:space="0" w:color="auto"/>
            <w:left w:val="none" w:sz="0" w:space="0" w:color="auto"/>
            <w:bottom w:val="none" w:sz="0" w:space="0" w:color="auto"/>
            <w:right w:val="none" w:sz="0" w:space="0" w:color="auto"/>
          </w:divBdr>
        </w:div>
      </w:divsChild>
    </w:div>
    <w:div w:id="1800681205">
      <w:bodyDiv w:val="1"/>
      <w:marLeft w:val="0"/>
      <w:marRight w:val="0"/>
      <w:marTop w:val="0"/>
      <w:marBottom w:val="0"/>
      <w:divBdr>
        <w:top w:val="none" w:sz="0" w:space="0" w:color="auto"/>
        <w:left w:val="none" w:sz="0" w:space="0" w:color="auto"/>
        <w:bottom w:val="none" w:sz="0" w:space="0" w:color="auto"/>
        <w:right w:val="none" w:sz="0" w:space="0" w:color="auto"/>
      </w:divBdr>
    </w:div>
    <w:div w:id="1927224159">
      <w:bodyDiv w:val="1"/>
      <w:marLeft w:val="0"/>
      <w:marRight w:val="0"/>
      <w:marTop w:val="0"/>
      <w:marBottom w:val="0"/>
      <w:divBdr>
        <w:top w:val="none" w:sz="0" w:space="0" w:color="auto"/>
        <w:left w:val="none" w:sz="0" w:space="0" w:color="auto"/>
        <w:bottom w:val="none" w:sz="0" w:space="0" w:color="auto"/>
        <w:right w:val="none" w:sz="0" w:space="0" w:color="auto"/>
      </w:divBdr>
    </w:div>
    <w:div w:id="2014993108">
      <w:bodyDiv w:val="1"/>
      <w:marLeft w:val="0"/>
      <w:marRight w:val="0"/>
      <w:marTop w:val="0"/>
      <w:marBottom w:val="0"/>
      <w:divBdr>
        <w:top w:val="none" w:sz="0" w:space="0" w:color="auto"/>
        <w:left w:val="none" w:sz="0" w:space="0" w:color="auto"/>
        <w:bottom w:val="none" w:sz="0" w:space="0" w:color="auto"/>
        <w:right w:val="none" w:sz="0" w:space="0" w:color="auto"/>
      </w:divBdr>
    </w:div>
    <w:div w:id="2033917041">
      <w:bodyDiv w:val="1"/>
      <w:marLeft w:val="0"/>
      <w:marRight w:val="0"/>
      <w:marTop w:val="0"/>
      <w:marBottom w:val="0"/>
      <w:divBdr>
        <w:top w:val="none" w:sz="0" w:space="0" w:color="auto"/>
        <w:left w:val="none" w:sz="0" w:space="0" w:color="auto"/>
        <w:bottom w:val="none" w:sz="0" w:space="0" w:color="auto"/>
        <w:right w:val="none" w:sz="0" w:space="0" w:color="auto"/>
      </w:divBdr>
    </w:div>
    <w:div w:id="213247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wmf"/><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wmf"/><Relationship Id="rId34" Type="http://schemas.openxmlformats.org/officeDocument/2006/relationships/image" Target="media/image23.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hyperlink" Target="https://doi.org/10.1007/s00415-004-0464-" TargetMode="External"/><Relationship Id="rId19" Type="http://schemas.openxmlformats.org/officeDocument/2006/relationships/image" Target="media/image8.png"/><Relationship Id="rId31" Type="http://schemas.openxmlformats.org/officeDocument/2006/relationships/image" Target="media/image20.png"/><Relationship Id="rId4" Type="http://schemas.microsoft.com/office/2007/relationships/stylesWithEffects" Target="stylesWithEffects.xml"/><Relationship Id="rId9" Type="http://schemas.openxmlformats.org/officeDocument/2006/relationships/hyperlink" Target="https://doi.org/10.1046/j.1468-2982.1985.0502107.x"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00DC5-E4E2-486E-BC04-44A9FC874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58</Pages>
  <Words>33411</Words>
  <Characters>190449</Characters>
  <Application>Microsoft Office Word</Application>
  <DocSecurity>0</DocSecurity>
  <Lines>1587</Lines>
  <Paragraphs>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Ghiasvand, Hesam</dc:creator>
  <cp:keywords/>
  <dc:description/>
  <cp:lastModifiedBy>Mary Rose Caro</cp:lastModifiedBy>
  <cp:revision>36</cp:revision>
  <dcterms:created xsi:type="dcterms:W3CDTF">2023-09-06T09:54:00Z</dcterms:created>
  <dcterms:modified xsi:type="dcterms:W3CDTF">2023-11-22T10:15:00Z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b052b50ef8e239358d7355af154a32444454e3d1f8c440985685483f427b5a95</vt:lpwstr>
  </property>
</Properties>
</file>