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EF5DFC8" w14:textId="77777777" w:rsidR="00F756DD" w:rsidRDefault="00C23063" w:rsidP="00C23063">
      <w:pPr>
        <w:rPr>
          <w:rFonts w:ascii="Times New Roman" w:eastAsia="Times New Roman" w:hAnsi="Times New Roman" w:cs="Times New Roman"/>
          <w:b/>
          <w:sz w:val="28"/>
          <w:szCs w:val="28"/>
        </w:rPr>
      </w:pPr>
      <w:r w:rsidRPr="00326071">
        <w:rPr>
          <w:rFonts w:ascii="Times New Roman" w:eastAsia="Times New Roman" w:hAnsi="Times New Roman" w:cs="Times New Roman"/>
          <w:b/>
          <w:sz w:val="28"/>
          <w:szCs w:val="28"/>
        </w:rPr>
        <w:t xml:space="preserve">Supplementary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A</w:t>
      </w:r>
      <w:r w:rsidRPr="00326071">
        <w:rPr>
          <w:rFonts w:ascii="Times New Roman" w:eastAsia="Times New Roman" w:hAnsi="Times New Roman" w:cs="Times New Roman"/>
          <w:b/>
          <w:sz w:val="28"/>
          <w:szCs w:val="28"/>
        </w:rPr>
        <w:t xml:space="preserve">ppendix </w:t>
      </w:r>
    </w:p>
    <w:p w14:paraId="31BF63CC" w14:textId="0DACBA49" w:rsidR="00C23063" w:rsidRPr="00C23063" w:rsidRDefault="00F756DD" w:rsidP="00C23063">
      <w:pPr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Appendix </w:t>
      </w:r>
      <w:r w:rsidR="00C23063" w:rsidRPr="00326071">
        <w:rPr>
          <w:rFonts w:ascii="Times New Roman" w:eastAsia="Times New Roman" w:hAnsi="Times New Roman" w:cs="Times New Roman"/>
          <w:b/>
          <w:sz w:val="28"/>
          <w:szCs w:val="28"/>
        </w:rPr>
        <w:t xml:space="preserve">1. Inclusion and </w:t>
      </w:r>
      <w:r w:rsidR="00C23063">
        <w:rPr>
          <w:rFonts w:ascii="Times New Roman" w:eastAsia="Times New Roman" w:hAnsi="Times New Roman" w:cs="Times New Roman"/>
          <w:b/>
          <w:sz w:val="28"/>
          <w:szCs w:val="28"/>
        </w:rPr>
        <w:t>E</w:t>
      </w:r>
      <w:r w:rsidR="00C23063" w:rsidRPr="00326071">
        <w:rPr>
          <w:rFonts w:ascii="Times New Roman" w:eastAsia="Times New Roman" w:hAnsi="Times New Roman" w:cs="Times New Roman"/>
          <w:b/>
          <w:sz w:val="28"/>
          <w:szCs w:val="28"/>
        </w:rPr>
        <w:t xml:space="preserve">xclusion </w:t>
      </w:r>
      <w:r w:rsidR="00C23063">
        <w:rPr>
          <w:rFonts w:ascii="Times New Roman" w:eastAsia="Times New Roman" w:hAnsi="Times New Roman" w:cs="Times New Roman"/>
          <w:b/>
          <w:sz w:val="28"/>
          <w:szCs w:val="28"/>
        </w:rPr>
        <w:t>C</w:t>
      </w:r>
      <w:r w:rsidR="00C23063" w:rsidRPr="00326071">
        <w:rPr>
          <w:rFonts w:ascii="Times New Roman" w:eastAsia="Times New Roman" w:hAnsi="Times New Roman" w:cs="Times New Roman"/>
          <w:b/>
          <w:sz w:val="28"/>
          <w:szCs w:val="28"/>
        </w:rPr>
        <w:t>riteria</w:t>
      </w:r>
      <w:r w:rsidR="00C23063">
        <w:rPr>
          <w:rFonts w:ascii="Times New Roman" w:eastAsia="Times New Roman" w:hAnsi="Times New Roman" w:cs="Times New Roman"/>
          <w:b/>
          <w:sz w:val="28"/>
          <w:szCs w:val="28"/>
        </w:rPr>
        <w:t xml:space="preserve"> for the Parental Study, REFORM </w:t>
      </w:r>
    </w:p>
    <w:p w14:paraId="0C5310E7" w14:textId="77777777" w:rsidR="00C23063" w:rsidRPr="00326071" w:rsidRDefault="00C23063" w:rsidP="00C23063">
      <w:pPr>
        <w:spacing w:before="240" w:after="0" w:line="360" w:lineRule="auto"/>
        <w:jc w:val="both"/>
        <w:rPr>
          <w:rFonts w:ascii="Times New Roman" w:eastAsia="Times New Roman" w:hAnsi="Times New Roman" w:cs="Times New Roman"/>
          <w:i/>
          <w:sz w:val="20"/>
          <w:szCs w:val="20"/>
        </w:rPr>
      </w:pPr>
      <w:r w:rsidRPr="00326071">
        <w:rPr>
          <w:rFonts w:ascii="Times New Roman" w:eastAsia="Times New Roman" w:hAnsi="Times New Roman" w:cs="Times New Roman"/>
          <w:i/>
          <w:sz w:val="20"/>
          <w:szCs w:val="20"/>
        </w:rPr>
        <w:t>Inclusion criteria:</w:t>
      </w:r>
    </w:p>
    <w:p w14:paraId="69BC26C9" w14:textId="77777777" w:rsidR="00C23063" w:rsidRPr="00326071" w:rsidRDefault="00C23063" w:rsidP="00C2306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26071">
        <w:rPr>
          <w:rFonts w:ascii="Times New Roman" w:eastAsia="Gungsuh" w:hAnsi="Times New Roman" w:cs="Times New Roman"/>
          <w:color w:val="000000"/>
          <w:sz w:val="20"/>
          <w:szCs w:val="20"/>
        </w:rPr>
        <w:t xml:space="preserve">≥18 years of age </w:t>
      </w:r>
      <w:r>
        <w:rPr>
          <w:rFonts w:ascii="Times New Roman" w:eastAsia="Gungsuh" w:hAnsi="Times New Roman" w:cs="Times New Roman"/>
          <w:color w:val="000000"/>
          <w:sz w:val="20"/>
          <w:szCs w:val="20"/>
        </w:rPr>
        <w:t>at screening</w:t>
      </w:r>
    </w:p>
    <w:p w14:paraId="7228E80D" w14:textId="77777777" w:rsidR="00C23063" w:rsidRPr="00326071" w:rsidRDefault="00C23063" w:rsidP="00C2306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26071">
        <w:rPr>
          <w:rFonts w:ascii="Times New Roman" w:eastAsia="Times New Roman" w:hAnsi="Times New Roman" w:cs="Times New Roman"/>
          <w:color w:val="000000"/>
          <w:sz w:val="20"/>
          <w:szCs w:val="20"/>
        </w:rPr>
        <w:t>History of migraine wit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hout aura, migraine with aura, or chronic migraine</w:t>
      </w:r>
      <w:r w:rsidRPr="00326071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according to the International Classification of Headache Disorders (ICHD) version 3</w:t>
      </w:r>
      <w:r w:rsidRPr="00326071">
        <w:rPr>
          <w:rFonts w:ascii="Times New Roman" w:eastAsia="Times New Roman" w:hAnsi="Times New Roman" w:cs="Times New Roman"/>
          <w:color w:val="000000"/>
          <w:sz w:val="20"/>
          <w:szCs w:val="20"/>
          <w:vertAlign w:val="superscript"/>
        </w:rPr>
        <w:t>rd</w:t>
      </w:r>
      <w:r w:rsidRPr="00326071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edition criteria (code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1.1, 1.2 or 1.3</w:t>
      </w:r>
      <w:r w:rsidRPr="00326071">
        <w:rPr>
          <w:rFonts w:ascii="Times New Roman" w:eastAsia="Times New Roman" w:hAnsi="Times New Roman" w:cs="Times New Roman"/>
          <w:color w:val="000000"/>
          <w:sz w:val="20"/>
          <w:szCs w:val="20"/>
        </w:rPr>
        <w:t>) for ≥1 year prior to study entry</w:t>
      </w:r>
      <w:bookmarkStart w:id="0" w:name="_GoBack"/>
      <w:bookmarkEnd w:id="0"/>
    </w:p>
    <w:p w14:paraId="265B1E4E" w14:textId="77777777" w:rsidR="00C23063" w:rsidRPr="00326071" w:rsidRDefault="00C23063" w:rsidP="00C2306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26071">
        <w:rPr>
          <w:rFonts w:ascii="Times New Roman" w:eastAsia="Gungsuh" w:hAnsi="Times New Roman" w:cs="Times New Roman"/>
          <w:color w:val="000000"/>
          <w:sz w:val="20"/>
          <w:szCs w:val="20"/>
        </w:rPr>
        <w:t>≥4 monthly headache days that meet criteria as migraine days on average for</w:t>
      </w:r>
      <w:r>
        <w:rPr>
          <w:rFonts w:ascii="Times New Roman" w:eastAsia="Gungsuh" w:hAnsi="Times New Roman" w:cs="Times New Roman"/>
          <w:color w:val="000000"/>
          <w:sz w:val="20"/>
          <w:szCs w:val="20"/>
        </w:rPr>
        <w:t xml:space="preserve"> three</w:t>
      </w:r>
      <w:r w:rsidRPr="00326071">
        <w:rPr>
          <w:rFonts w:ascii="Times New Roman" w:eastAsia="Gungsuh" w:hAnsi="Times New Roman" w:cs="Times New Roman"/>
          <w:color w:val="000000"/>
          <w:sz w:val="20"/>
          <w:szCs w:val="20"/>
        </w:rPr>
        <w:t xml:space="preserve"> months prior to study screening</w:t>
      </w:r>
    </w:p>
    <w:p w14:paraId="10A65940" w14:textId="77777777" w:rsidR="00C23063" w:rsidRPr="00326071" w:rsidRDefault="00C23063" w:rsidP="00C2306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26071">
        <w:rPr>
          <w:rFonts w:ascii="Times New Roman" w:eastAsia="Gungsuh" w:hAnsi="Times New Roman" w:cs="Times New Roman"/>
          <w:color w:val="000000"/>
          <w:sz w:val="20"/>
          <w:szCs w:val="20"/>
        </w:rPr>
        <w:t xml:space="preserve">Preventive treatment with erenumab scheduled at the </w:t>
      </w:r>
      <w:r w:rsidRPr="00326071">
        <w:rPr>
          <w:rFonts w:ascii="Times New Roman" w:hAnsi="Times New Roman" w:cs="Times New Roman"/>
          <w:sz w:val="20"/>
          <w:szCs w:val="20"/>
        </w:rPr>
        <w:t>Danish Headache Center, Department of Neurology, University Hospital Rigshospitalet</w:t>
      </w:r>
      <w:r w:rsidRPr="00326071" w:rsidDel="0011502E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</w:p>
    <w:p w14:paraId="58BAA798" w14:textId="77777777" w:rsidR="00C23063" w:rsidRPr="00326071" w:rsidRDefault="00C23063" w:rsidP="00C2306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26071">
        <w:rPr>
          <w:rFonts w:ascii="Times New Roman" w:eastAsia="Times New Roman" w:hAnsi="Times New Roman" w:cs="Times New Roman"/>
          <w:color w:val="000000"/>
          <w:sz w:val="20"/>
          <w:szCs w:val="20"/>
        </w:rPr>
        <w:t>Provision of informed consent prior to initiation of any study-related activities/procedures</w:t>
      </w:r>
    </w:p>
    <w:p w14:paraId="0BBC46AB" w14:textId="77777777" w:rsidR="00C23063" w:rsidRPr="00326071" w:rsidRDefault="00C23063" w:rsidP="00C23063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i/>
          <w:sz w:val="20"/>
          <w:szCs w:val="20"/>
        </w:rPr>
      </w:pPr>
    </w:p>
    <w:p w14:paraId="50EFB66F" w14:textId="77777777" w:rsidR="00C23063" w:rsidRPr="00326071" w:rsidRDefault="00C23063" w:rsidP="00C23063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0"/>
          <w:szCs w:val="20"/>
        </w:rPr>
      </w:pPr>
      <w:r w:rsidRPr="00326071">
        <w:rPr>
          <w:rFonts w:ascii="Times New Roman" w:eastAsia="Times New Roman" w:hAnsi="Times New Roman" w:cs="Times New Roman"/>
          <w:i/>
          <w:sz w:val="20"/>
          <w:szCs w:val="20"/>
        </w:rPr>
        <w:t>Exclusion criteria:</w:t>
      </w:r>
    </w:p>
    <w:p w14:paraId="17368F87" w14:textId="77777777" w:rsidR="00C23063" w:rsidRPr="00326071" w:rsidRDefault="00C23063" w:rsidP="00C2306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26071">
        <w:rPr>
          <w:rFonts w:ascii="Times New Roman" w:eastAsia="Times New Roman" w:hAnsi="Times New Roman" w:cs="Times New Roman"/>
          <w:color w:val="000000"/>
          <w:sz w:val="20"/>
          <w:szCs w:val="20"/>
        </w:rPr>
        <w:t>&gt;50 years of age at migraine onset</w:t>
      </w:r>
    </w:p>
    <w:p w14:paraId="232CE14C" w14:textId="77777777" w:rsidR="00C23063" w:rsidRPr="00326071" w:rsidRDefault="00C23063" w:rsidP="00C2306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26071">
        <w:rPr>
          <w:rFonts w:ascii="Times New Roman" w:eastAsia="Times New Roman" w:hAnsi="Times New Roman" w:cs="Times New Roman"/>
          <w:color w:val="000000"/>
          <w:sz w:val="20"/>
          <w:szCs w:val="20"/>
        </w:rPr>
        <w:t>History of persistent post-traumatic headache, hemiplegic migraine, or cluster headache (ICHD-3 code 5.2, 1.2.3, and 3.1)</w:t>
      </w:r>
    </w:p>
    <w:p w14:paraId="0BCBDD61" w14:textId="77777777" w:rsidR="00C23063" w:rsidRPr="00326071" w:rsidRDefault="00C23063" w:rsidP="00C2306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26071">
        <w:rPr>
          <w:rFonts w:ascii="Times New Roman" w:eastAsia="Times New Roman" w:hAnsi="Times New Roman" w:cs="Times New Roman"/>
          <w:color w:val="000000"/>
          <w:sz w:val="20"/>
          <w:szCs w:val="20"/>
        </w:rPr>
        <w:t>Inability to differentiate migraine headache from other headaches</w:t>
      </w:r>
    </w:p>
    <w:p w14:paraId="26F891A1" w14:textId="77777777" w:rsidR="00C23063" w:rsidRPr="00326071" w:rsidRDefault="00C23063" w:rsidP="00C2306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26071">
        <w:rPr>
          <w:rFonts w:ascii="Times New Roman" w:eastAsia="Times New Roman" w:hAnsi="Times New Roman" w:cs="Times New Roman"/>
          <w:color w:val="000000"/>
          <w:sz w:val="20"/>
          <w:szCs w:val="20"/>
        </w:rPr>
        <w:t>Risk of self-harm or harm to others as evidenced by past suicidal behavior</w:t>
      </w:r>
    </w:p>
    <w:p w14:paraId="28F79A97" w14:textId="77777777" w:rsidR="00C23063" w:rsidRPr="00326071" w:rsidRDefault="00C23063" w:rsidP="00C2306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26071">
        <w:rPr>
          <w:rFonts w:ascii="Times New Roman" w:eastAsia="Times New Roman" w:hAnsi="Times New Roman" w:cs="Times New Roman"/>
          <w:color w:val="000000"/>
          <w:sz w:val="20"/>
          <w:szCs w:val="20"/>
        </w:rPr>
        <w:t>History or evidence of any other clinically significant disorder, condition, or disease (except those outlined above), that might pose a risk to subject safety or interfere with study evaluation</w:t>
      </w:r>
    </w:p>
    <w:p w14:paraId="3DF2692C" w14:textId="77777777" w:rsidR="00C23063" w:rsidRPr="00326071" w:rsidRDefault="00C23063" w:rsidP="00C2306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26071">
        <w:rPr>
          <w:rFonts w:ascii="Times New Roman" w:eastAsia="Times New Roman" w:hAnsi="Times New Roman" w:cs="Times New Roman"/>
          <w:color w:val="000000"/>
          <w:sz w:val="20"/>
          <w:szCs w:val="20"/>
        </w:rPr>
        <w:t>Previous treatment with erenumab</w:t>
      </w:r>
    </w:p>
    <w:p w14:paraId="17B9A06B" w14:textId="77777777" w:rsidR="00C23063" w:rsidRDefault="00C23063" w:rsidP="00C2306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33113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Treatment with another anti-CGRP monoclonal antibody for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three</w:t>
      </w:r>
      <w:r w:rsidRPr="00B33113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months prior to screening</w:t>
      </w:r>
    </w:p>
    <w:p w14:paraId="474BDDC5" w14:textId="77777777" w:rsidR="00C23063" w:rsidRPr="00B33113" w:rsidRDefault="00C23063" w:rsidP="00C2306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33113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Concomitant preventive medication apart from anti-CGRP antibodies was allowed, but only if dosage was stable for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two</w:t>
      </w:r>
      <w:r w:rsidRPr="00B33113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months prior to the screening</w:t>
      </w:r>
    </w:p>
    <w:p w14:paraId="4487B18C" w14:textId="77777777" w:rsidR="00C23063" w:rsidRPr="00326071" w:rsidRDefault="00C23063" w:rsidP="00C2306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26071">
        <w:rPr>
          <w:rFonts w:ascii="Times New Roman" w:eastAsia="Times New Roman" w:hAnsi="Times New Roman" w:cs="Times New Roman"/>
          <w:color w:val="000000"/>
          <w:sz w:val="20"/>
          <w:szCs w:val="20"/>
        </w:rPr>
        <w:t>Female participants of childbearing potential unwilling to use acceptable methods of contraception (oral contraceptives, intrauterine device, intrauterine hormonal-releasing system, bilateral tubal ligation/occlusion, vasectomized partner, sexual abstinence, male or female condom, cap, diaphragm, or sponge with spermicide)</w:t>
      </w:r>
    </w:p>
    <w:p w14:paraId="363D0CFB" w14:textId="77777777" w:rsidR="00C23063" w:rsidRDefault="00C23063" w:rsidP="00C2306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26071">
        <w:rPr>
          <w:rFonts w:ascii="Times New Roman" w:eastAsia="Times New Roman" w:hAnsi="Times New Roman" w:cs="Times New Roman"/>
          <w:color w:val="000000"/>
          <w:sz w:val="20"/>
          <w:szCs w:val="20"/>
        </w:rPr>
        <w:t>Known sensitivity to any products or components to be administered</w:t>
      </w:r>
    </w:p>
    <w:p w14:paraId="2390FD53" w14:textId="5F27C7DB" w:rsidR="00C23063" w:rsidRDefault="00C23063" w:rsidP="00C2306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23063">
        <w:rPr>
          <w:rFonts w:ascii="Times New Roman" w:eastAsia="Times New Roman" w:hAnsi="Times New Roman" w:cs="Times New Roman"/>
          <w:color w:val="000000"/>
          <w:sz w:val="20"/>
          <w:szCs w:val="20"/>
        </w:rPr>
        <w:t>Not likely to be able to complete all protocol required study visits or procedures, and/or comply with all required study procedures to the best of the subject and study investigator’s knowledge</w:t>
      </w:r>
    </w:p>
    <w:p w14:paraId="142B1220" w14:textId="77777777" w:rsidR="00C23063" w:rsidRPr="00C23063" w:rsidRDefault="00C23063" w:rsidP="00C23063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300281C0" w14:textId="7FA17067" w:rsidR="00C23063" w:rsidRDefault="00C23063" w:rsidP="00C23063">
      <w:pPr>
        <w:spacing w:after="0" w:line="36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5E1A2B">
        <w:rPr>
          <w:rFonts w:ascii="Times New Roman" w:eastAsia="Times New Roman" w:hAnsi="Times New Roman" w:cs="Times New Roman"/>
          <w:b/>
          <w:sz w:val="20"/>
          <w:szCs w:val="20"/>
        </w:rPr>
        <w:t>Abbreviations</w:t>
      </w:r>
      <w:r w:rsidRPr="005E1A2B">
        <w:rPr>
          <w:rFonts w:ascii="Times New Roman" w:eastAsia="Times New Roman" w:hAnsi="Times New Roman" w:cs="Times New Roman"/>
          <w:sz w:val="20"/>
          <w:szCs w:val="20"/>
        </w:rPr>
        <w:t>: CGRP, calcitonin gene-related peptide</w:t>
      </w:r>
      <w:r w:rsidRPr="00326071">
        <w:rPr>
          <w:rFonts w:ascii="Times New Roman" w:eastAsia="Times New Roman" w:hAnsi="Times New Roman" w:cs="Times New Roman"/>
          <w:sz w:val="20"/>
          <w:szCs w:val="20"/>
        </w:rPr>
        <w:t>; ICHD-3: International Classification of Headache Diso</w:t>
      </w:r>
      <w:r>
        <w:rPr>
          <w:rFonts w:ascii="Times New Roman" w:eastAsia="Times New Roman" w:hAnsi="Times New Roman" w:cs="Times New Roman"/>
          <w:sz w:val="18"/>
          <w:szCs w:val="18"/>
        </w:rPr>
        <w:t>rders, 3</w:t>
      </w:r>
      <w:r w:rsidRPr="00326071">
        <w:rPr>
          <w:rFonts w:ascii="Times New Roman" w:eastAsia="Times New Roman" w:hAnsi="Times New Roman" w:cs="Times New Roman"/>
          <w:sz w:val="18"/>
          <w:szCs w:val="18"/>
          <w:vertAlign w:val="superscript"/>
        </w:rPr>
        <w:t>rd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 edition.</w:t>
      </w:r>
    </w:p>
    <w:p w14:paraId="6F6218A6" w14:textId="77777777" w:rsidR="00F756DD" w:rsidRPr="005E1A2B" w:rsidRDefault="00F756DD" w:rsidP="00C23063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18"/>
          <w:szCs w:val="18"/>
        </w:rPr>
      </w:pPr>
    </w:p>
    <w:p w14:paraId="5E4A0BB2" w14:textId="77777777" w:rsidR="00F756DD" w:rsidRDefault="00F756DD">
      <w:pPr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41F9E57C" w14:textId="77777777" w:rsidR="00F756DD" w:rsidRDefault="00F756DD">
      <w:pPr>
        <w:rPr>
          <w:rFonts w:ascii="Times New Roman" w:eastAsia="Times New Roman" w:hAnsi="Times New Roman" w:cs="Times New Roman"/>
          <w:b/>
          <w:sz w:val="28"/>
          <w:szCs w:val="28"/>
        </w:rPr>
      </w:pPr>
    </w:p>
    <w:sectPr w:rsidR="00F756DD" w:rsidSect="00B60E96">
      <w:pgSz w:w="11900" w:h="16840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Gungsuh">
    <w:charset w:val="81"/>
    <w:family w:val="roman"/>
    <w:pitch w:val="variable"/>
    <w:sig w:usb0="B00002AF" w:usb1="69D77CFB" w:usb2="00000030" w:usb3="00000000" w:csb0="0008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D97B4E"/>
    <w:multiLevelType w:val="hybridMultilevel"/>
    <w:tmpl w:val="88B4F9E4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E572071"/>
    <w:multiLevelType w:val="multilevel"/>
    <w:tmpl w:val="A25630E8"/>
    <w:lvl w:ilvl="0">
      <w:start w:val="1"/>
      <w:numFmt w:val="bullet"/>
      <w:pStyle w:val="List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3063"/>
    <w:rsid w:val="0000625B"/>
    <w:rsid w:val="00017FD6"/>
    <w:rsid w:val="00021197"/>
    <w:rsid w:val="00090F20"/>
    <w:rsid w:val="000E4D83"/>
    <w:rsid w:val="000F2442"/>
    <w:rsid w:val="000F2923"/>
    <w:rsid w:val="00110FA4"/>
    <w:rsid w:val="001339B8"/>
    <w:rsid w:val="00140CF9"/>
    <w:rsid w:val="00142B3D"/>
    <w:rsid w:val="00161786"/>
    <w:rsid w:val="00165881"/>
    <w:rsid w:val="001752C2"/>
    <w:rsid w:val="00183119"/>
    <w:rsid w:val="0018528A"/>
    <w:rsid w:val="00190A95"/>
    <w:rsid w:val="00195DB9"/>
    <w:rsid w:val="001B0C26"/>
    <w:rsid w:val="001B67D8"/>
    <w:rsid w:val="001C595A"/>
    <w:rsid w:val="001C67E5"/>
    <w:rsid w:val="001C6F87"/>
    <w:rsid w:val="001D5475"/>
    <w:rsid w:val="001D67CF"/>
    <w:rsid w:val="001F39E4"/>
    <w:rsid w:val="001F7A35"/>
    <w:rsid w:val="00211BBB"/>
    <w:rsid w:val="002233F6"/>
    <w:rsid w:val="00223F7A"/>
    <w:rsid w:val="0024111B"/>
    <w:rsid w:val="00261AF0"/>
    <w:rsid w:val="002835B3"/>
    <w:rsid w:val="0029725A"/>
    <w:rsid w:val="002A25E2"/>
    <w:rsid w:val="002A7795"/>
    <w:rsid w:val="002B2480"/>
    <w:rsid w:val="002D4A16"/>
    <w:rsid w:val="002E1783"/>
    <w:rsid w:val="002F61D1"/>
    <w:rsid w:val="00306AEB"/>
    <w:rsid w:val="00313776"/>
    <w:rsid w:val="00324FC4"/>
    <w:rsid w:val="00342CEE"/>
    <w:rsid w:val="00352861"/>
    <w:rsid w:val="0036434C"/>
    <w:rsid w:val="00364A28"/>
    <w:rsid w:val="00365CFC"/>
    <w:rsid w:val="003759AC"/>
    <w:rsid w:val="003944D7"/>
    <w:rsid w:val="00395874"/>
    <w:rsid w:val="003A1582"/>
    <w:rsid w:val="003A6268"/>
    <w:rsid w:val="003D6B41"/>
    <w:rsid w:val="003F15E1"/>
    <w:rsid w:val="004018C4"/>
    <w:rsid w:val="004020BA"/>
    <w:rsid w:val="00406ED0"/>
    <w:rsid w:val="00430BB1"/>
    <w:rsid w:val="00442D6B"/>
    <w:rsid w:val="004479AD"/>
    <w:rsid w:val="004550A3"/>
    <w:rsid w:val="00463AE2"/>
    <w:rsid w:val="00463B4D"/>
    <w:rsid w:val="0048750F"/>
    <w:rsid w:val="00493726"/>
    <w:rsid w:val="004A5A37"/>
    <w:rsid w:val="004B1DF0"/>
    <w:rsid w:val="004B300E"/>
    <w:rsid w:val="004E18B7"/>
    <w:rsid w:val="004E22D8"/>
    <w:rsid w:val="004E40F4"/>
    <w:rsid w:val="00516D48"/>
    <w:rsid w:val="00521BD7"/>
    <w:rsid w:val="00552D57"/>
    <w:rsid w:val="00561094"/>
    <w:rsid w:val="005821AE"/>
    <w:rsid w:val="00583733"/>
    <w:rsid w:val="00584267"/>
    <w:rsid w:val="005A108B"/>
    <w:rsid w:val="005A1EB6"/>
    <w:rsid w:val="005A70C3"/>
    <w:rsid w:val="005E1A02"/>
    <w:rsid w:val="005E68E7"/>
    <w:rsid w:val="00600F9A"/>
    <w:rsid w:val="0061074F"/>
    <w:rsid w:val="006168B3"/>
    <w:rsid w:val="00620CA5"/>
    <w:rsid w:val="006362F8"/>
    <w:rsid w:val="00650035"/>
    <w:rsid w:val="00655604"/>
    <w:rsid w:val="00657C5A"/>
    <w:rsid w:val="00666B7D"/>
    <w:rsid w:val="00670C6C"/>
    <w:rsid w:val="00674A12"/>
    <w:rsid w:val="006970D0"/>
    <w:rsid w:val="006A5EDD"/>
    <w:rsid w:val="006A6303"/>
    <w:rsid w:val="006B22DB"/>
    <w:rsid w:val="006C53C3"/>
    <w:rsid w:val="006E4305"/>
    <w:rsid w:val="0070402D"/>
    <w:rsid w:val="00766786"/>
    <w:rsid w:val="00766F44"/>
    <w:rsid w:val="0078470D"/>
    <w:rsid w:val="00792418"/>
    <w:rsid w:val="007A36A6"/>
    <w:rsid w:val="007A38BA"/>
    <w:rsid w:val="007A73D4"/>
    <w:rsid w:val="007C478C"/>
    <w:rsid w:val="007D0CA4"/>
    <w:rsid w:val="007D28E4"/>
    <w:rsid w:val="007D5DC3"/>
    <w:rsid w:val="007E7E82"/>
    <w:rsid w:val="007F1195"/>
    <w:rsid w:val="00815A0E"/>
    <w:rsid w:val="008610CD"/>
    <w:rsid w:val="00864584"/>
    <w:rsid w:val="00866D65"/>
    <w:rsid w:val="008740A3"/>
    <w:rsid w:val="008A2588"/>
    <w:rsid w:val="008C458C"/>
    <w:rsid w:val="008E33CF"/>
    <w:rsid w:val="00906443"/>
    <w:rsid w:val="00965672"/>
    <w:rsid w:val="00992534"/>
    <w:rsid w:val="009A4BA8"/>
    <w:rsid w:val="009B00CC"/>
    <w:rsid w:val="009C3416"/>
    <w:rsid w:val="009D6A36"/>
    <w:rsid w:val="009F2D4B"/>
    <w:rsid w:val="009F51FA"/>
    <w:rsid w:val="00A0032F"/>
    <w:rsid w:val="00A00545"/>
    <w:rsid w:val="00A02DBB"/>
    <w:rsid w:val="00A61C7A"/>
    <w:rsid w:val="00A629B7"/>
    <w:rsid w:val="00AC1DA4"/>
    <w:rsid w:val="00AD3325"/>
    <w:rsid w:val="00AE77F5"/>
    <w:rsid w:val="00AF105A"/>
    <w:rsid w:val="00AF20AD"/>
    <w:rsid w:val="00B00A12"/>
    <w:rsid w:val="00B21147"/>
    <w:rsid w:val="00B47035"/>
    <w:rsid w:val="00B60E96"/>
    <w:rsid w:val="00B66700"/>
    <w:rsid w:val="00B72DFA"/>
    <w:rsid w:val="00B81A8C"/>
    <w:rsid w:val="00B93539"/>
    <w:rsid w:val="00BB7BE3"/>
    <w:rsid w:val="00BC5D5B"/>
    <w:rsid w:val="00BD292E"/>
    <w:rsid w:val="00BE0647"/>
    <w:rsid w:val="00BF07E8"/>
    <w:rsid w:val="00BF7913"/>
    <w:rsid w:val="00C03164"/>
    <w:rsid w:val="00C058E6"/>
    <w:rsid w:val="00C10F3C"/>
    <w:rsid w:val="00C23063"/>
    <w:rsid w:val="00C52A16"/>
    <w:rsid w:val="00C63C76"/>
    <w:rsid w:val="00C66745"/>
    <w:rsid w:val="00CA5528"/>
    <w:rsid w:val="00CA786E"/>
    <w:rsid w:val="00CB4373"/>
    <w:rsid w:val="00CB5890"/>
    <w:rsid w:val="00CC3726"/>
    <w:rsid w:val="00CC3E2A"/>
    <w:rsid w:val="00CD598F"/>
    <w:rsid w:val="00CE37B5"/>
    <w:rsid w:val="00CF150E"/>
    <w:rsid w:val="00CF71F6"/>
    <w:rsid w:val="00D00A95"/>
    <w:rsid w:val="00D1584E"/>
    <w:rsid w:val="00D25B8E"/>
    <w:rsid w:val="00D30EFD"/>
    <w:rsid w:val="00D332F9"/>
    <w:rsid w:val="00D34DE9"/>
    <w:rsid w:val="00D92EBF"/>
    <w:rsid w:val="00DA0444"/>
    <w:rsid w:val="00DD1CE3"/>
    <w:rsid w:val="00DD7B94"/>
    <w:rsid w:val="00DE3283"/>
    <w:rsid w:val="00DE4600"/>
    <w:rsid w:val="00DE64CD"/>
    <w:rsid w:val="00DF6812"/>
    <w:rsid w:val="00DF741A"/>
    <w:rsid w:val="00E12487"/>
    <w:rsid w:val="00E163EA"/>
    <w:rsid w:val="00E210B1"/>
    <w:rsid w:val="00E2272E"/>
    <w:rsid w:val="00E31899"/>
    <w:rsid w:val="00E3299E"/>
    <w:rsid w:val="00E41A2D"/>
    <w:rsid w:val="00E6446D"/>
    <w:rsid w:val="00E70397"/>
    <w:rsid w:val="00E77650"/>
    <w:rsid w:val="00EA2C90"/>
    <w:rsid w:val="00EB2349"/>
    <w:rsid w:val="00EC1113"/>
    <w:rsid w:val="00ED0144"/>
    <w:rsid w:val="00ED0790"/>
    <w:rsid w:val="00ED08D6"/>
    <w:rsid w:val="00EF2674"/>
    <w:rsid w:val="00EF4C3E"/>
    <w:rsid w:val="00F058AB"/>
    <w:rsid w:val="00F66F36"/>
    <w:rsid w:val="00F756DD"/>
    <w:rsid w:val="00F83B57"/>
    <w:rsid w:val="00F93ADF"/>
    <w:rsid w:val="00FA35BE"/>
    <w:rsid w:val="00FB6990"/>
    <w:rsid w:val="00FC6BA1"/>
    <w:rsid w:val="00FC7975"/>
    <w:rsid w:val="00FC79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1FF68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da-DK" w:eastAsia="da-D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23063"/>
    <w:pPr>
      <w:spacing w:after="160" w:line="259" w:lineRule="auto"/>
    </w:pPr>
    <w:rPr>
      <w:rFonts w:ascii="Calibri" w:eastAsia="Calibri" w:hAnsi="Calibri" w:cs="Calibri"/>
      <w:sz w:val="22"/>
      <w:szCs w:val="22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9B00CC"/>
    <w:pPr>
      <w:keepNext/>
      <w:keepLines/>
      <w:spacing w:before="240"/>
      <w:outlineLvl w:val="0"/>
    </w:pPr>
    <w:rPr>
      <w:rFonts w:eastAsiaTheme="majorEastAsia" w:cstheme="majorBidi"/>
      <w:b/>
      <w:color w:val="000000" w:themeColor="text1"/>
      <w:sz w:val="28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B437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b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CB4373"/>
    <w:rPr>
      <w:rFonts w:asciiTheme="majorHAnsi" w:eastAsiaTheme="majorEastAsia" w:hAnsiTheme="majorHAnsi" w:cstheme="majorBidi"/>
      <w:b/>
      <w:color w:val="2F5496" w:themeColor="accent1" w:themeShade="BF"/>
      <w:sz w:val="26"/>
      <w:szCs w:val="26"/>
    </w:rPr>
  </w:style>
  <w:style w:type="character" w:customStyle="1" w:styleId="Heading1Char">
    <w:name w:val="Heading 1 Char"/>
    <w:basedOn w:val="DefaultParagraphFont"/>
    <w:link w:val="Heading1"/>
    <w:uiPriority w:val="9"/>
    <w:rsid w:val="009B00CC"/>
    <w:rPr>
      <w:rFonts w:ascii="Times New Roman" w:eastAsiaTheme="majorEastAsia" w:hAnsi="Times New Roman" w:cstheme="majorBidi"/>
      <w:b/>
      <w:color w:val="000000" w:themeColor="text1"/>
      <w:sz w:val="28"/>
      <w:szCs w:val="32"/>
    </w:rPr>
  </w:style>
  <w:style w:type="paragraph" w:styleId="ListBullet">
    <w:name w:val="List Bullet"/>
    <w:basedOn w:val="Normal"/>
    <w:uiPriority w:val="99"/>
    <w:unhideWhenUsed/>
    <w:rsid w:val="00C23063"/>
    <w:pPr>
      <w:numPr>
        <w:numId w:val="1"/>
      </w:numPr>
      <w:contextualSpacing/>
    </w:pPr>
  </w:style>
  <w:style w:type="paragraph" w:styleId="ListParagraph">
    <w:name w:val="List Paragraph"/>
    <w:basedOn w:val="Normal"/>
    <w:uiPriority w:val="34"/>
    <w:qFormat/>
    <w:rsid w:val="00F756DD"/>
    <w:pPr>
      <w:spacing w:after="200" w:line="480" w:lineRule="auto"/>
      <w:ind w:left="720"/>
      <w:contextualSpacing/>
      <w:jc w:val="both"/>
    </w:pPr>
    <w:rPr>
      <w:rFonts w:ascii="Times New Roman" w:eastAsiaTheme="minorHAnsi" w:hAnsi="Times New Roman" w:cstheme="minorBidi"/>
      <w:sz w:val="24"/>
      <w:lang w:val="da-DK" w:eastAsia="en-US"/>
    </w:rPr>
  </w:style>
  <w:style w:type="table" w:styleId="TableGrid">
    <w:name w:val="Table Grid"/>
    <w:basedOn w:val="TableNormal"/>
    <w:uiPriority w:val="39"/>
    <w:rsid w:val="00F756DD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da-DK" w:eastAsia="da-D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23063"/>
    <w:pPr>
      <w:spacing w:after="160" w:line="259" w:lineRule="auto"/>
    </w:pPr>
    <w:rPr>
      <w:rFonts w:ascii="Calibri" w:eastAsia="Calibri" w:hAnsi="Calibri" w:cs="Calibri"/>
      <w:sz w:val="22"/>
      <w:szCs w:val="22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9B00CC"/>
    <w:pPr>
      <w:keepNext/>
      <w:keepLines/>
      <w:spacing w:before="240"/>
      <w:outlineLvl w:val="0"/>
    </w:pPr>
    <w:rPr>
      <w:rFonts w:eastAsiaTheme="majorEastAsia" w:cstheme="majorBidi"/>
      <w:b/>
      <w:color w:val="000000" w:themeColor="text1"/>
      <w:sz w:val="28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B437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b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CB4373"/>
    <w:rPr>
      <w:rFonts w:asciiTheme="majorHAnsi" w:eastAsiaTheme="majorEastAsia" w:hAnsiTheme="majorHAnsi" w:cstheme="majorBidi"/>
      <w:b/>
      <w:color w:val="2F5496" w:themeColor="accent1" w:themeShade="BF"/>
      <w:sz w:val="26"/>
      <w:szCs w:val="26"/>
    </w:rPr>
  </w:style>
  <w:style w:type="character" w:customStyle="1" w:styleId="Heading1Char">
    <w:name w:val="Heading 1 Char"/>
    <w:basedOn w:val="DefaultParagraphFont"/>
    <w:link w:val="Heading1"/>
    <w:uiPriority w:val="9"/>
    <w:rsid w:val="009B00CC"/>
    <w:rPr>
      <w:rFonts w:ascii="Times New Roman" w:eastAsiaTheme="majorEastAsia" w:hAnsi="Times New Roman" w:cstheme="majorBidi"/>
      <w:b/>
      <w:color w:val="000000" w:themeColor="text1"/>
      <w:sz w:val="28"/>
      <w:szCs w:val="32"/>
    </w:rPr>
  </w:style>
  <w:style w:type="paragraph" w:styleId="ListBullet">
    <w:name w:val="List Bullet"/>
    <w:basedOn w:val="Normal"/>
    <w:uiPriority w:val="99"/>
    <w:unhideWhenUsed/>
    <w:rsid w:val="00C23063"/>
    <w:pPr>
      <w:numPr>
        <w:numId w:val="1"/>
      </w:numPr>
      <w:contextualSpacing/>
    </w:pPr>
  </w:style>
  <w:style w:type="paragraph" w:styleId="ListParagraph">
    <w:name w:val="List Paragraph"/>
    <w:basedOn w:val="Normal"/>
    <w:uiPriority w:val="34"/>
    <w:qFormat/>
    <w:rsid w:val="00F756DD"/>
    <w:pPr>
      <w:spacing w:after="200" w:line="480" w:lineRule="auto"/>
      <w:ind w:left="720"/>
      <w:contextualSpacing/>
      <w:jc w:val="both"/>
    </w:pPr>
    <w:rPr>
      <w:rFonts w:ascii="Times New Roman" w:eastAsiaTheme="minorHAnsi" w:hAnsi="Times New Roman" w:cstheme="minorBidi"/>
      <w:sz w:val="24"/>
      <w:lang w:val="da-DK" w:eastAsia="en-US"/>
    </w:rPr>
  </w:style>
  <w:style w:type="table" w:styleId="TableGrid">
    <w:name w:val="Table Grid"/>
    <w:basedOn w:val="TableNormal"/>
    <w:uiPriority w:val="39"/>
    <w:rsid w:val="00F756DD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332</Words>
  <Characters>1898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Janu Thuraiaiyah</dc:creator>
  <cp:lastModifiedBy>Maria Lourdes Vallente</cp:lastModifiedBy>
  <cp:revision>2</cp:revision>
  <dcterms:created xsi:type="dcterms:W3CDTF">2024-01-18T03:10:00Z</dcterms:created>
  <dcterms:modified xsi:type="dcterms:W3CDTF">2024-01-18T03:10:00Z</dcterms:modified>
</cp:coreProperties>
</file>