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E2A9F" w14:textId="70FC2F14" w:rsidR="00BC27C0" w:rsidRDefault="00793B7C">
      <w:pPr>
        <w:rPr>
          <w:b/>
          <w:bCs/>
          <w:sz w:val="28"/>
          <w:szCs w:val="28"/>
        </w:rPr>
      </w:pPr>
      <w:r w:rsidRPr="00793B7C">
        <w:rPr>
          <w:b/>
          <w:bCs/>
          <w:sz w:val="28"/>
          <w:szCs w:val="28"/>
        </w:rPr>
        <w:t>Suppl. Table S1</w:t>
      </w:r>
    </w:p>
    <w:p w14:paraId="63411BAA" w14:textId="77777777" w:rsidR="00793B7C" w:rsidRPr="00793B7C" w:rsidRDefault="00793B7C">
      <w:pPr>
        <w:rPr>
          <w:b/>
          <w:bCs/>
          <w:sz w:val="28"/>
          <w:szCs w:val="28"/>
        </w:rPr>
      </w:pPr>
    </w:p>
    <w:tbl>
      <w:tblPr>
        <w:tblW w:w="11399" w:type="dxa"/>
        <w:tblInd w:w="113" w:type="dxa"/>
        <w:tblBorders>
          <w:top w:val="single" w:sz="4" w:space="0" w:color="auto"/>
          <w:bottom w:val="single" w:sz="4" w:space="0" w:color="auto"/>
        </w:tblBorders>
        <w:tblCellMar>
          <w:top w:w="43" w:type="dxa"/>
          <w:bottom w:w="43" w:type="dxa"/>
        </w:tblCellMar>
        <w:tblLook w:val="04A0" w:firstRow="1" w:lastRow="0" w:firstColumn="1" w:lastColumn="0" w:noHBand="0" w:noVBand="1"/>
      </w:tblPr>
      <w:tblGrid>
        <w:gridCol w:w="7015"/>
        <w:gridCol w:w="3420"/>
        <w:gridCol w:w="482"/>
        <w:gridCol w:w="482"/>
      </w:tblGrid>
      <w:tr w:rsidR="00321149" w:rsidRPr="00793B7C" w14:paraId="770CA788" w14:textId="77777777" w:rsidTr="00AE2D35">
        <w:trPr>
          <w:trHeight w:val="694"/>
        </w:trPr>
        <w:tc>
          <w:tcPr>
            <w:tcW w:w="70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2F1BA" w14:textId="7C023A83" w:rsidR="00793B7C" w:rsidRPr="00793B7C" w:rsidRDefault="00793B7C" w:rsidP="00793B7C">
            <w:pPr>
              <w:widowControl/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93B7C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</w:rPr>
              <w:t>Question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05073" w14:textId="77777777" w:rsidR="00793B7C" w:rsidRPr="00793B7C" w:rsidRDefault="00793B7C" w:rsidP="00793B7C">
            <w:pPr>
              <w:widowControl/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93B7C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</w:rPr>
              <w:t>Answer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B2A90" w14:textId="77777777" w:rsidR="00793B7C" w:rsidRPr="00793B7C" w:rsidRDefault="00793B7C" w:rsidP="00793B7C">
            <w:pPr>
              <w:widowControl/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93B7C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</w:rPr>
              <w:t>Section</w:t>
            </w:r>
          </w:p>
        </w:tc>
      </w:tr>
      <w:tr w:rsidR="00321149" w:rsidRPr="00793B7C" w14:paraId="20F579FF" w14:textId="77777777" w:rsidTr="00AE2D35">
        <w:trPr>
          <w:trHeight w:val="780"/>
        </w:trPr>
        <w:tc>
          <w:tcPr>
            <w:tcW w:w="701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408B6" w14:textId="5FB8FB23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Any experience using </w:t>
            </w:r>
            <w:proofErr w:type="spellStart"/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CGRPmAbs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34F1525" w14:textId="14E4072D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Yes</w:t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93B7C">
              <w:rPr>
                <w:rFonts w:ascii="Yu Gothic" w:eastAsia="Yu Gothic" w:hAnsi="Yu Gothic" w:hint="eastAsia"/>
                <w:color w:val="000000"/>
                <w:kern w:val="0"/>
                <w:sz w:val="24"/>
                <w:szCs w:val="24"/>
              </w:rPr>
              <w:t>→</w:t>
            </w:r>
            <w:r>
              <w:rPr>
                <w:rFonts w:ascii="Yu Gothic" w:eastAsia="Yu Gothic" w:hAnsi="Yu Gothic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Section 2</w:t>
            </w: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  <w:t>No</w:t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93B7C">
              <w:rPr>
                <w:rFonts w:ascii="Yu Gothic" w:eastAsia="Yu Gothic" w:hAnsi="Yu Gothic" w:hint="eastAsia"/>
                <w:color w:val="000000"/>
                <w:kern w:val="0"/>
                <w:sz w:val="24"/>
                <w:szCs w:val="24"/>
              </w:rPr>
              <w:t>→</w:t>
            </w:r>
            <w:r>
              <w:rPr>
                <w:rFonts w:ascii="Yu Gothic" w:eastAsia="Yu Gothic" w:hAnsi="Yu Gothic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Section 3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AFCEB" w14:textId="77777777" w:rsidR="00793B7C" w:rsidRPr="00793B7C" w:rsidRDefault="00793B7C" w:rsidP="00793B7C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321149" w:rsidRPr="00793B7C" w14:paraId="652D11C9" w14:textId="77777777" w:rsidTr="00AE2D35">
        <w:trPr>
          <w:trHeight w:val="945"/>
        </w:trPr>
        <w:tc>
          <w:tcPr>
            <w:tcW w:w="7015" w:type="dxa"/>
            <w:shd w:val="clear" w:color="auto" w:fill="auto"/>
            <w:noWrap/>
            <w:vAlign w:val="center"/>
            <w:hideMark/>
          </w:tcPr>
          <w:p w14:paraId="0455EF13" w14:textId="77777777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Facility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6FC171A8" w14:textId="5BBC8E58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Clinic</w:t>
            </w: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</w:r>
            <w:r w:rsidR="00BE2E26">
              <w:rPr>
                <w:rFonts w:eastAsia="Times New Roman"/>
                <w:color w:val="000000"/>
                <w:kern w:val="0"/>
                <w:sz w:val="24"/>
                <w:szCs w:val="24"/>
              </w:rPr>
              <w:t>Community</w:t>
            </w:r>
            <w:r w:rsidR="00BE2E26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hospital</w:t>
            </w: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  <w:t>University hospital</w:t>
            </w:r>
          </w:p>
        </w:tc>
        <w:tc>
          <w:tcPr>
            <w:tcW w:w="482" w:type="dxa"/>
            <w:vMerge w:val="restart"/>
            <w:shd w:val="clear" w:color="auto" w:fill="auto"/>
            <w:noWrap/>
            <w:vAlign w:val="center"/>
            <w:hideMark/>
          </w:tcPr>
          <w:p w14:paraId="315DD8ED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5C3B8F6B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56095070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7B0E1728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6F86A1C9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718F8F0B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73F3243C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1A0620AF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139F1F99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42AAB147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5B6BF4D5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27FE89B0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518904DD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780B430D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330A3B2D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7F7EEC6D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2FFBF253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6F911601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01C9EB08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4E34F3B3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26C62C95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0FAEBB9C" w14:textId="6075EB06" w:rsidR="00793B7C" w:rsidRDefault="00793B7C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2</w:t>
            </w:r>
          </w:p>
          <w:p w14:paraId="26ADA2C1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18C0EE5E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61D20D2C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68DDEE71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260D4FCE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1B6C658A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58111168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3147FB85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6E284F15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01F7E961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6624B7BC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68AED7A8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514DBB59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16041EB1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027B0D5D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648E5AA3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32ADBC02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34071EC1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292D6341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7E298452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65536A4C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48527293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5A0D2FAF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48A305DB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626E6813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2ACB99A6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217DF843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2AD4F28D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642CCF06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268DD87D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4B72E2B3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06109CA3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65A8A7D0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75ACF61D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23F70226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48AC7F96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623D4B28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4C41A6B4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10CAA330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4A6540AE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2BB53FA7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4270A5E5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68FDC5C9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22CB663F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54368C29" w14:textId="77777777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  <w:p w14:paraId="1AE7B07D" w14:textId="456A6EEC" w:rsidR="004D4295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2</w:t>
            </w:r>
          </w:p>
          <w:p w14:paraId="6B323E5A" w14:textId="025B7367" w:rsidR="004D4295" w:rsidRPr="00793B7C" w:rsidRDefault="004D4295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 w:val="restart"/>
            <w:shd w:val="clear" w:color="auto" w:fill="auto"/>
            <w:noWrap/>
            <w:vAlign w:val="center"/>
            <w:hideMark/>
          </w:tcPr>
          <w:p w14:paraId="018EFA83" w14:textId="77777777" w:rsidR="00793B7C" w:rsidRPr="00793B7C" w:rsidRDefault="00793B7C" w:rsidP="00793B7C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lastRenderedPageBreak/>
              <w:t>3</w:t>
            </w:r>
          </w:p>
        </w:tc>
      </w:tr>
      <w:tr w:rsidR="001F3DE2" w:rsidRPr="00793B7C" w14:paraId="36915157" w14:textId="77777777" w:rsidTr="001F3DE2">
        <w:trPr>
          <w:trHeight w:val="1890"/>
        </w:trPr>
        <w:tc>
          <w:tcPr>
            <w:tcW w:w="7015" w:type="dxa"/>
            <w:shd w:val="clear" w:color="auto" w:fill="auto"/>
            <w:noWrap/>
            <w:vAlign w:val="center"/>
            <w:hideMark/>
          </w:tcPr>
          <w:p w14:paraId="0D102D95" w14:textId="38E54207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Service</w:t>
            </w:r>
            <w:r w:rsidR="00053B37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 field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40B158BD" w14:textId="4FBBA8B9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Neurology</w:t>
            </w: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  <w:t>Neurosurgery</w:t>
            </w: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  <w:t>Internal medicine (other than neurology)</w:t>
            </w: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  <w:t>Pediatrics</w:t>
            </w: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  <w:t>Anesthe</w:t>
            </w:r>
            <w:r w:rsidR="001F3DE2">
              <w:rPr>
                <w:rFonts w:eastAsia="Times New Roman"/>
                <w:color w:val="000000"/>
                <w:kern w:val="0"/>
                <w:sz w:val="24"/>
                <w:szCs w:val="24"/>
              </w:rPr>
              <w:t>si</w:t>
            </w: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ology/Pain clinic</w:t>
            </w: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  <w:t>Others</w:t>
            </w:r>
          </w:p>
        </w:tc>
        <w:tc>
          <w:tcPr>
            <w:tcW w:w="482" w:type="dxa"/>
            <w:vMerge/>
            <w:vAlign w:val="center"/>
            <w:hideMark/>
          </w:tcPr>
          <w:p w14:paraId="6EA6198F" w14:textId="77777777" w:rsidR="00793B7C" w:rsidRPr="00793B7C" w:rsidRDefault="00793B7C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vAlign w:val="center"/>
            <w:hideMark/>
          </w:tcPr>
          <w:p w14:paraId="752F670D" w14:textId="77777777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F3DE2" w:rsidRPr="00793B7C" w14:paraId="0711B849" w14:textId="77777777" w:rsidTr="001F3DE2">
        <w:trPr>
          <w:trHeight w:val="1575"/>
        </w:trPr>
        <w:tc>
          <w:tcPr>
            <w:tcW w:w="7015" w:type="dxa"/>
            <w:shd w:val="clear" w:color="auto" w:fill="auto"/>
            <w:noWrap/>
            <w:vAlign w:val="center"/>
            <w:hideMark/>
          </w:tcPr>
          <w:p w14:paraId="7FEA3491" w14:textId="58EBCC28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Age</w:t>
            </w:r>
            <w:r w:rsidR="002D20D6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, </w:t>
            </w:r>
            <w:proofErr w:type="spellStart"/>
            <w:r w:rsidR="002D20D6">
              <w:rPr>
                <w:rFonts w:eastAsia="Times New Roman"/>
                <w:color w:val="000000"/>
                <w:kern w:val="0"/>
                <w:sz w:val="24"/>
                <w:szCs w:val="24"/>
              </w:rPr>
              <w:t>yrs</w:t>
            </w:r>
            <w:proofErr w:type="spellEnd"/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56EFA732" w14:textId="1C1FD112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20s</w:t>
            </w: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  <w:t>30s</w:t>
            </w: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  <w:t>40s</w:t>
            </w: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  <w:t>50s</w:t>
            </w: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</w:r>
            <w:r w:rsidR="00A9269D">
              <w:rPr>
                <w:rFonts w:eastAsia="Times New Roman"/>
                <w:color w:val="000000"/>
                <w:kern w:val="0"/>
                <w:sz w:val="24"/>
                <w:szCs w:val="24"/>
              </w:rPr>
              <w:t>≥</w:t>
            </w: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60s</w:t>
            </w:r>
          </w:p>
        </w:tc>
        <w:tc>
          <w:tcPr>
            <w:tcW w:w="482" w:type="dxa"/>
            <w:vMerge/>
            <w:vAlign w:val="center"/>
            <w:hideMark/>
          </w:tcPr>
          <w:p w14:paraId="42EE0134" w14:textId="77777777" w:rsidR="00793B7C" w:rsidRPr="00793B7C" w:rsidRDefault="00793B7C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vAlign w:val="center"/>
            <w:hideMark/>
          </w:tcPr>
          <w:p w14:paraId="3FB11224" w14:textId="77777777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F3DE2" w:rsidRPr="00793B7C" w14:paraId="6A6B8555" w14:textId="77777777" w:rsidTr="001F3DE2">
        <w:trPr>
          <w:trHeight w:val="1485"/>
        </w:trPr>
        <w:tc>
          <w:tcPr>
            <w:tcW w:w="7015" w:type="dxa"/>
            <w:shd w:val="clear" w:color="auto" w:fill="auto"/>
            <w:noWrap/>
            <w:vAlign w:val="center"/>
            <w:hideMark/>
          </w:tcPr>
          <w:p w14:paraId="4DD78DC1" w14:textId="77777777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Years of headache practice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6165F8A8" w14:textId="66995794" w:rsidR="00793B7C" w:rsidRPr="00793B7C" w:rsidRDefault="00A9269D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&lt;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5 </w:t>
            </w:r>
            <w:proofErr w:type="spellStart"/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yrs</w:t>
            </w:r>
            <w:proofErr w:type="spellEnd"/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≥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5 and </w:t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&lt;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10 </w:t>
            </w:r>
            <w:proofErr w:type="spellStart"/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yrs</w:t>
            </w:r>
            <w:proofErr w:type="spellEnd"/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≥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10 and </w:t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&lt;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20 </w:t>
            </w:r>
            <w:proofErr w:type="spellStart"/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yrs</w:t>
            </w:r>
            <w:proofErr w:type="spellEnd"/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≥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20 </w:t>
            </w:r>
            <w:proofErr w:type="spellStart"/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yrs</w:t>
            </w:r>
            <w:proofErr w:type="spellEnd"/>
          </w:p>
        </w:tc>
        <w:tc>
          <w:tcPr>
            <w:tcW w:w="482" w:type="dxa"/>
            <w:vMerge/>
            <w:vAlign w:val="center"/>
            <w:hideMark/>
          </w:tcPr>
          <w:p w14:paraId="2001332E" w14:textId="77777777" w:rsidR="00793B7C" w:rsidRPr="00793B7C" w:rsidRDefault="00793B7C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vAlign w:val="center"/>
            <w:hideMark/>
          </w:tcPr>
          <w:p w14:paraId="69151FA2" w14:textId="77777777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F3DE2" w:rsidRPr="00793B7C" w14:paraId="6EA974BA" w14:textId="77777777" w:rsidTr="001F3DE2">
        <w:trPr>
          <w:trHeight w:val="1485"/>
        </w:trPr>
        <w:tc>
          <w:tcPr>
            <w:tcW w:w="7015" w:type="dxa"/>
            <w:shd w:val="clear" w:color="auto" w:fill="auto"/>
            <w:noWrap/>
            <w:vAlign w:val="center"/>
            <w:hideMark/>
          </w:tcPr>
          <w:p w14:paraId="39E6F4E8" w14:textId="77777777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Years of JHS membership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6C4E38C0" w14:textId="0E152CA9" w:rsidR="00793B7C" w:rsidRPr="00793B7C" w:rsidRDefault="00A9269D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&lt;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1 </w:t>
            </w:r>
            <w:proofErr w:type="spellStart"/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yrs</w:t>
            </w:r>
            <w:proofErr w:type="spellEnd"/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≥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1 and </w:t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&lt;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5 </w:t>
            </w:r>
            <w:proofErr w:type="spellStart"/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yrs</w:t>
            </w:r>
            <w:proofErr w:type="spellEnd"/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≥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5 and </w:t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&lt;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10 </w:t>
            </w:r>
            <w:proofErr w:type="spellStart"/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yrs</w:t>
            </w:r>
            <w:proofErr w:type="spellEnd"/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≥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10 </w:t>
            </w:r>
            <w:proofErr w:type="spellStart"/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yrs</w:t>
            </w:r>
            <w:proofErr w:type="spellEnd"/>
          </w:p>
        </w:tc>
        <w:tc>
          <w:tcPr>
            <w:tcW w:w="482" w:type="dxa"/>
            <w:vMerge/>
            <w:vAlign w:val="center"/>
            <w:hideMark/>
          </w:tcPr>
          <w:p w14:paraId="0FE4211A" w14:textId="77777777" w:rsidR="00793B7C" w:rsidRPr="00793B7C" w:rsidRDefault="00793B7C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vAlign w:val="center"/>
            <w:hideMark/>
          </w:tcPr>
          <w:p w14:paraId="3DD6A5F5" w14:textId="77777777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F3DE2" w:rsidRPr="00793B7C" w14:paraId="581EC770" w14:textId="77777777" w:rsidTr="001F3DE2">
        <w:trPr>
          <w:trHeight w:val="1260"/>
        </w:trPr>
        <w:tc>
          <w:tcPr>
            <w:tcW w:w="7015" w:type="dxa"/>
            <w:shd w:val="clear" w:color="auto" w:fill="auto"/>
            <w:noWrap/>
            <w:vAlign w:val="center"/>
            <w:hideMark/>
          </w:tcPr>
          <w:p w14:paraId="75F003C5" w14:textId="1C2522DE" w:rsidR="00793B7C" w:rsidRPr="00793B7C" w:rsidRDefault="00616DA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s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Boards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13CD94AE" w14:textId="77777777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Headache</w:t>
            </w: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  <w:t>Neurology</w:t>
            </w: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  <w:t>Neurosurgery</w:t>
            </w: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  <w:t>Internal Medicine</w:t>
            </w:r>
          </w:p>
        </w:tc>
        <w:tc>
          <w:tcPr>
            <w:tcW w:w="482" w:type="dxa"/>
            <w:vMerge/>
            <w:vAlign w:val="center"/>
            <w:hideMark/>
          </w:tcPr>
          <w:p w14:paraId="50CD9148" w14:textId="77777777" w:rsidR="00793B7C" w:rsidRPr="00793B7C" w:rsidRDefault="00793B7C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vAlign w:val="center"/>
            <w:hideMark/>
          </w:tcPr>
          <w:p w14:paraId="794B483A" w14:textId="77777777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F3DE2" w:rsidRPr="00793B7C" w14:paraId="449D2672" w14:textId="77777777" w:rsidTr="001F3DE2">
        <w:trPr>
          <w:trHeight w:val="758"/>
        </w:trPr>
        <w:tc>
          <w:tcPr>
            <w:tcW w:w="7015" w:type="dxa"/>
            <w:shd w:val="clear" w:color="auto" w:fill="auto"/>
            <w:noWrap/>
            <w:vAlign w:val="center"/>
            <w:hideMark/>
          </w:tcPr>
          <w:p w14:paraId="2FD602F5" w14:textId="4C23BE40" w:rsidR="00793B7C" w:rsidRPr="00793B7C" w:rsidRDefault="005306C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5306CC">
              <w:rPr>
                <w:rFonts w:eastAsia="Times New Roman"/>
                <w:color w:val="000000"/>
                <w:kern w:val="0"/>
                <w:sz w:val="24"/>
                <w:szCs w:val="24"/>
              </w:rPr>
              <w:t>Length of the first appointment of headache patients, min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14:paraId="403C40BA" w14:textId="77777777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vAlign w:val="center"/>
            <w:hideMark/>
          </w:tcPr>
          <w:p w14:paraId="628C0399" w14:textId="77777777" w:rsidR="00793B7C" w:rsidRPr="00793B7C" w:rsidRDefault="00793B7C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vAlign w:val="center"/>
            <w:hideMark/>
          </w:tcPr>
          <w:p w14:paraId="3072F13B" w14:textId="77777777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F3DE2" w:rsidRPr="00793B7C" w14:paraId="0736E791" w14:textId="77777777" w:rsidTr="001F3DE2">
        <w:trPr>
          <w:trHeight w:val="315"/>
        </w:trPr>
        <w:tc>
          <w:tcPr>
            <w:tcW w:w="7015" w:type="dxa"/>
            <w:shd w:val="clear" w:color="auto" w:fill="auto"/>
            <w:noWrap/>
            <w:vAlign w:val="center"/>
            <w:hideMark/>
          </w:tcPr>
          <w:p w14:paraId="5BD8BE3A" w14:textId="3BC88E5D" w:rsidR="00793B7C" w:rsidRPr="00793B7C" w:rsidRDefault="005306C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5306CC">
              <w:rPr>
                <w:rFonts w:eastAsia="Times New Roman"/>
                <w:color w:val="000000"/>
                <w:kern w:val="0"/>
                <w:sz w:val="24"/>
                <w:szCs w:val="24"/>
              </w:rPr>
              <w:t>Length of the follow-up appointments of headache patients, min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14:paraId="2506969B" w14:textId="77777777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vAlign w:val="center"/>
            <w:hideMark/>
          </w:tcPr>
          <w:p w14:paraId="08CC827E" w14:textId="77777777" w:rsidR="00793B7C" w:rsidRPr="00793B7C" w:rsidRDefault="00793B7C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vAlign w:val="center"/>
            <w:hideMark/>
          </w:tcPr>
          <w:p w14:paraId="28B6C882" w14:textId="77777777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F3DE2" w:rsidRPr="00793B7C" w14:paraId="1505B799" w14:textId="77777777" w:rsidTr="001F3DE2">
        <w:trPr>
          <w:trHeight w:val="315"/>
        </w:trPr>
        <w:tc>
          <w:tcPr>
            <w:tcW w:w="7015" w:type="dxa"/>
            <w:shd w:val="clear" w:color="auto" w:fill="auto"/>
            <w:noWrap/>
            <w:vAlign w:val="center"/>
            <w:hideMark/>
          </w:tcPr>
          <w:p w14:paraId="605E4BF6" w14:textId="0578ED23" w:rsidR="00793B7C" w:rsidRPr="00793B7C" w:rsidRDefault="00321149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No.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 of patients with migraine </w:t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who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 are followed up regularly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14:paraId="1C95159B" w14:textId="77777777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vAlign w:val="center"/>
            <w:hideMark/>
          </w:tcPr>
          <w:p w14:paraId="1E6A8ABE" w14:textId="77777777" w:rsidR="00793B7C" w:rsidRPr="00793B7C" w:rsidRDefault="00793B7C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vAlign w:val="center"/>
            <w:hideMark/>
          </w:tcPr>
          <w:p w14:paraId="78594DAC" w14:textId="77777777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93B7C" w:rsidRPr="00793B7C" w14:paraId="1F9711BD" w14:textId="77777777" w:rsidTr="001775CA">
        <w:trPr>
          <w:trHeight w:val="315"/>
        </w:trPr>
        <w:tc>
          <w:tcPr>
            <w:tcW w:w="7015" w:type="dxa"/>
            <w:shd w:val="clear" w:color="auto" w:fill="auto"/>
            <w:noWrap/>
            <w:vAlign w:val="center"/>
            <w:hideMark/>
          </w:tcPr>
          <w:p w14:paraId="52243D47" w14:textId="0B2E1682" w:rsidR="00793B7C" w:rsidRPr="00793B7C" w:rsidRDefault="00321149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No.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 of patients with migraine </w:t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who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 are followed up regularly and have ever used migraine preventive treatments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76122A7" w14:textId="2374C7DD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vAlign w:val="center"/>
            <w:hideMark/>
          </w:tcPr>
          <w:p w14:paraId="047B31BF" w14:textId="77777777" w:rsidR="00793B7C" w:rsidRPr="00793B7C" w:rsidRDefault="00793B7C" w:rsidP="004D4295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vAlign w:val="center"/>
            <w:hideMark/>
          </w:tcPr>
          <w:p w14:paraId="05300E09" w14:textId="77777777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F3DE2" w:rsidRPr="00793B7C" w14:paraId="05A94C38" w14:textId="77777777" w:rsidTr="001F3DE2">
        <w:trPr>
          <w:trHeight w:val="315"/>
        </w:trPr>
        <w:tc>
          <w:tcPr>
            <w:tcW w:w="7015" w:type="dxa"/>
            <w:shd w:val="clear" w:color="auto" w:fill="auto"/>
            <w:noWrap/>
            <w:vAlign w:val="center"/>
            <w:hideMark/>
          </w:tcPr>
          <w:p w14:paraId="0190486B" w14:textId="022234F3" w:rsidR="00793B7C" w:rsidRPr="00793B7C" w:rsidRDefault="00321149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No.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 of patients with migraine </w:t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who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 are followed up regularly and have ever used </w:t>
            </w:r>
            <w:proofErr w:type="spellStart"/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CGRPmAbs</w:t>
            </w:r>
            <w:proofErr w:type="spellEnd"/>
          </w:p>
        </w:tc>
        <w:tc>
          <w:tcPr>
            <w:tcW w:w="3420" w:type="dxa"/>
            <w:shd w:val="clear" w:color="auto" w:fill="auto"/>
            <w:noWrap/>
            <w:hideMark/>
          </w:tcPr>
          <w:p w14:paraId="1736F2A9" w14:textId="77777777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vAlign w:val="center"/>
            <w:hideMark/>
          </w:tcPr>
          <w:p w14:paraId="3208034E" w14:textId="77777777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vAlign w:val="center"/>
            <w:hideMark/>
          </w:tcPr>
          <w:p w14:paraId="7873985E" w14:textId="77777777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F3DE2" w:rsidRPr="00793B7C" w14:paraId="065E668C" w14:textId="77777777" w:rsidTr="00CF5563">
        <w:trPr>
          <w:trHeight w:val="1260"/>
        </w:trPr>
        <w:tc>
          <w:tcPr>
            <w:tcW w:w="7015" w:type="dxa"/>
            <w:shd w:val="clear" w:color="auto" w:fill="auto"/>
            <w:noWrap/>
            <w:vAlign w:val="center"/>
            <w:hideMark/>
          </w:tcPr>
          <w:p w14:paraId="4ADDB82A" w14:textId="2157A729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CGRPmAb</w:t>
            </w:r>
            <w:r w:rsidR="00053B37">
              <w:rPr>
                <w:rFonts w:eastAsia="Times New Roman"/>
                <w:color w:val="000000"/>
                <w:kern w:val="0"/>
                <w:sz w:val="24"/>
                <w:szCs w:val="24"/>
              </w:rPr>
              <w:t>s</w:t>
            </w:r>
            <w:proofErr w:type="spellEnd"/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 that </w:t>
            </w:r>
            <w:r w:rsidR="00053B37">
              <w:rPr>
                <w:rFonts w:eastAsia="Times New Roman"/>
                <w:color w:val="000000"/>
                <w:kern w:val="0"/>
                <w:sz w:val="24"/>
                <w:szCs w:val="24"/>
              </w:rPr>
              <w:t>are</w:t>
            </w:r>
            <w:r w:rsidR="00053B37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available in </w:t>
            </w:r>
            <w:r w:rsidR="00321149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your </w:t>
            </w: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facility</w:t>
            </w:r>
          </w:p>
        </w:tc>
        <w:tc>
          <w:tcPr>
            <w:tcW w:w="3420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36EF0976" w14:textId="77777777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Galcanezumab</w:t>
            </w:r>
            <w:proofErr w:type="spellEnd"/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  <w:t>Erenumab</w:t>
            </w: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  <w:t>Fremanezumab</w:t>
            </w: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  <w:t>None of the above</w:t>
            </w:r>
          </w:p>
        </w:tc>
        <w:tc>
          <w:tcPr>
            <w:tcW w:w="482" w:type="dxa"/>
            <w:vMerge/>
            <w:tcBorders>
              <w:bottom w:val="nil"/>
            </w:tcBorders>
            <w:vAlign w:val="center"/>
            <w:hideMark/>
          </w:tcPr>
          <w:p w14:paraId="0B4AC46B" w14:textId="77777777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bottom w:val="nil"/>
            </w:tcBorders>
            <w:vAlign w:val="center"/>
            <w:hideMark/>
          </w:tcPr>
          <w:p w14:paraId="4E5DFA76" w14:textId="77777777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21149" w:rsidRPr="00793B7C" w14:paraId="46BC8FD4" w14:textId="77777777" w:rsidTr="00CF5563">
        <w:trPr>
          <w:trHeight w:val="2340"/>
        </w:trPr>
        <w:tc>
          <w:tcPr>
            <w:tcW w:w="7015" w:type="dxa"/>
            <w:shd w:val="clear" w:color="auto" w:fill="auto"/>
            <w:noWrap/>
            <w:vAlign w:val="center"/>
            <w:hideMark/>
          </w:tcPr>
          <w:p w14:paraId="6E90CEFD" w14:textId="3AB4A2C4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lastRenderedPageBreak/>
              <w:t xml:space="preserve">The </w:t>
            </w:r>
            <w:r w:rsidR="00053B37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MMD </w:t>
            </w: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threshold for recommending </w:t>
            </w:r>
            <w:proofErr w:type="spellStart"/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CGRPmAbs</w:t>
            </w:r>
            <w:proofErr w:type="spellEnd"/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bottom w:val="nil"/>
              <w:tr2bl w:val="nil"/>
            </w:tcBorders>
            <w:shd w:val="clear" w:color="auto" w:fill="auto"/>
            <w:vAlign w:val="center"/>
            <w:hideMark/>
          </w:tcPr>
          <w:p w14:paraId="4461C0B6" w14:textId="32B4BD71" w:rsidR="00793B7C" w:rsidRPr="00793B7C" w:rsidRDefault="00A9269D" w:rsidP="00662563">
            <w:pPr>
              <w:widowControl/>
              <w:spacing w:line="276" w:lineRule="auto"/>
              <w:ind w:firstLine="50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≥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4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≥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6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≥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8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≥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10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≥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12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≥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482" w:type="dxa"/>
            <w:vMerge/>
            <w:tcBorders>
              <w:top w:val="nil"/>
              <w:bottom w:val="nil"/>
              <w:tr2bl w:val="nil"/>
            </w:tcBorders>
            <w:vAlign w:val="center"/>
            <w:hideMark/>
          </w:tcPr>
          <w:p w14:paraId="752AE93F" w14:textId="77777777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 w:val="restart"/>
            <w:tcBorders>
              <w:top w:val="nil"/>
              <w:bottom w:val="nil"/>
              <w:tr2bl w:val="single" w:sz="4" w:space="0" w:color="auto"/>
            </w:tcBorders>
            <w:shd w:val="clear" w:color="auto" w:fill="auto"/>
            <w:noWrap/>
            <w:hideMark/>
          </w:tcPr>
          <w:p w14:paraId="0A42FBA5" w14:textId="77777777" w:rsidR="00793B7C" w:rsidRPr="00793B7C" w:rsidRDefault="00793B7C" w:rsidP="00793B7C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1F3DE2" w:rsidRPr="00793B7C" w14:paraId="55756FC8" w14:textId="77777777" w:rsidTr="00CF5563">
        <w:trPr>
          <w:trHeight w:val="1575"/>
        </w:trPr>
        <w:tc>
          <w:tcPr>
            <w:tcW w:w="7015" w:type="dxa"/>
            <w:shd w:val="clear" w:color="auto" w:fill="auto"/>
            <w:noWrap/>
            <w:vAlign w:val="center"/>
            <w:hideMark/>
          </w:tcPr>
          <w:p w14:paraId="4AE69C45" w14:textId="3ED50EFF" w:rsidR="00793B7C" w:rsidRPr="00793B7C" w:rsidRDefault="00321149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No.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 of migraine preventives you usually try before prescribing </w:t>
            </w:r>
            <w:r w:rsidR="001F3DE2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a 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CGRPmAb</w:t>
            </w:r>
          </w:p>
        </w:tc>
        <w:tc>
          <w:tcPr>
            <w:tcW w:w="34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C05DE42" w14:textId="731E6C5A" w:rsidR="00793B7C" w:rsidRPr="00793B7C" w:rsidRDefault="00793B7C" w:rsidP="00662563">
            <w:pPr>
              <w:widowControl/>
              <w:spacing w:line="276" w:lineRule="auto"/>
              <w:ind w:firstLine="50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1</w:t>
            </w: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  <w:t>2</w:t>
            </w: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  <w:t>3</w:t>
            </w: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  <w:t>4</w:t>
            </w: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</w:r>
            <w:r w:rsidR="00A9269D">
              <w:rPr>
                <w:rFonts w:eastAsia="Times New Roman"/>
                <w:color w:val="000000"/>
                <w:kern w:val="0"/>
                <w:sz w:val="24"/>
                <w:szCs w:val="24"/>
              </w:rPr>
              <w:t>≥</w:t>
            </w: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82" w:type="dxa"/>
            <w:vMerge/>
            <w:tcBorders>
              <w:top w:val="nil"/>
            </w:tcBorders>
            <w:vAlign w:val="center"/>
            <w:hideMark/>
          </w:tcPr>
          <w:p w14:paraId="582C3FA0" w14:textId="77777777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top w:val="nil"/>
              <w:bottom w:val="nil"/>
              <w:tr2bl w:val="single" w:sz="4" w:space="0" w:color="auto"/>
            </w:tcBorders>
            <w:vAlign w:val="center"/>
            <w:hideMark/>
          </w:tcPr>
          <w:p w14:paraId="3491B910" w14:textId="77777777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F3DE2" w:rsidRPr="00793B7C" w14:paraId="0B517A91" w14:textId="77777777" w:rsidTr="00CF5563">
        <w:trPr>
          <w:trHeight w:val="1890"/>
        </w:trPr>
        <w:tc>
          <w:tcPr>
            <w:tcW w:w="7015" w:type="dxa"/>
            <w:shd w:val="clear" w:color="auto" w:fill="auto"/>
            <w:noWrap/>
            <w:vAlign w:val="center"/>
            <w:hideMark/>
          </w:tcPr>
          <w:p w14:paraId="154E24C0" w14:textId="0EAD25A8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When to assess the response to </w:t>
            </w:r>
            <w:proofErr w:type="spellStart"/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CGRPmAbs</w:t>
            </w:r>
            <w:proofErr w:type="spellEnd"/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 for patients with EM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71E48C19" w14:textId="6DC4372C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After 1</w:t>
            </w:r>
            <w:r w:rsidR="00A9269D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 month</w:t>
            </w: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  <w:t>After 2</w:t>
            </w:r>
            <w:r w:rsidR="00A9269D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 months</w:t>
            </w: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  <w:t>After 3</w:t>
            </w:r>
            <w:r w:rsidR="00A9269D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 months</w:t>
            </w: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  <w:t>After 4</w:t>
            </w:r>
            <w:r w:rsidR="00A9269D">
              <w:rPr>
                <w:rFonts w:eastAsia="Times New Roman"/>
                <w:color w:val="000000"/>
                <w:kern w:val="0"/>
                <w:sz w:val="24"/>
                <w:szCs w:val="24"/>
              </w:rPr>
              <w:t>–</w:t>
            </w: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6</w:t>
            </w:r>
            <w:r w:rsidR="00A9269D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 months</w:t>
            </w: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  <w:t>After 7</w:t>
            </w:r>
            <w:r w:rsidR="00A9269D">
              <w:rPr>
                <w:rFonts w:eastAsia="Times New Roman"/>
                <w:color w:val="000000"/>
                <w:kern w:val="0"/>
                <w:sz w:val="24"/>
                <w:szCs w:val="24"/>
              </w:rPr>
              <w:t>–</w:t>
            </w: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9</w:t>
            </w:r>
            <w:r w:rsidR="00A9269D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 months</w:t>
            </w: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  <w:t>After 10</w:t>
            </w:r>
            <w:r w:rsidR="00A9269D">
              <w:rPr>
                <w:rFonts w:eastAsia="Times New Roman"/>
                <w:color w:val="000000"/>
                <w:kern w:val="0"/>
                <w:sz w:val="24"/>
                <w:szCs w:val="24"/>
              </w:rPr>
              <w:t>–</w:t>
            </w: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12</w:t>
            </w:r>
            <w:r w:rsidR="00A9269D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 months</w:t>
            </w:r>
          </w:p>
        </w:tc>
        <w:tc>
          <w:tcPr>
            <w:tcW w:w="482" w:type="dxa"/>
            <w:vMerge/>
            <w:vAlign w:val="center"/>
            <w:hideMark/>
          </w:tcPr>
          <w:p w14:paraId="67DF9DAE" w14:textId="77777777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top w:val="nil"/>
              <w:bottom w:val="nil"/>
              <w:tr2bl w:val="single" w:sz="4" w:space="0" w:color="auto"/>
            </w:tcBorders>
            <w:vAlign w:val="center"/>
            <w:hideMark/>
          </w:tcPr>
          <w:p w14:paraId="08B10D22" w14:textId="77777777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F3DE2" w:rsidRPr="00793B7C" w14:paraId="12BDCF17" w14:textId="77777777" w:rsidTr="00CF5563">
        <w:trPr>
          <w:trHeight w:val="1890"/>
        </w:trPr>
        <w:tc>
          <w:tcPr>
            <w:tcW w:w="7015" w:type="dxa"/>
            <w:shd w:val="clear" w:color="auto" w:fill="auto"/>
            <w:noWrap/>
            <w:vAlign w:val="center"/>
            <w:hideMark/>
          </w:tcPr>
          <w:p w14:paraId="4FD7BC68" w14:textId="79828D3D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When to assess the response to </w:t>
            </w:r>
            <w:proofErr w:type="spellStart"/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CGRPmAbs</w:t>
            </w:r>
            <w:proofErr w:type="spellEnd"/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 for patients with CM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2263B04F" w14:textId="74970ED3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After 1</w:t>
            </w:r>
            <w:r w:rsidR="00A9269D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 month</w:t>
            </w: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  <w:t>After 2</w:t>
            </w:r>
            <w:r w:rsidR="00A9269D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 months</w:t>
            </w: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  <w:t>After 3</w:t>
            </w:r>
            <w:r w:rsidR="00A9269D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 months</w:t>
            </w: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  <w:t>After 4</w:t>
            </w:r>
            <w:r w:rsidR="00A9269D">
              <w:rPr>
                <w:rFonts w:eastAsia="Times New Roman"/>
                <w:color w:val="000000"/>
                <w:kern w:val="0"/>
                <w:sz w:val="24"/>
                <w:szCs w:val="24"/>
              </w:rPr>
              <w:t>–</w:t>
            </w: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6</w:t>
            </w:r>
            <w:r w:rsidR="00A9269D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 months</w:t>
            </w: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  <w:t>After 7</w:t>
            </w:r>
            <w:r w:rsidR="00A9269D">
              <w:rPr>
                <w:rFonts w:eastAsia="Times New Roman"/>
                <w:color w:val="000000"/>
                <w:kern w:val="0"/>
                <w:sz w:val="24"/>
                <w:szCs w:val="24"/>
              </w:rPr>
              <w:t>–</w:t>
            </w: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9</w:t>
            </w:r>
            <w:r w:rsidR="00A9269D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 months</w:t>
            </w: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  <w:t>After 10</w:t>
            </w:r>
            <w:r w:rsidR="00A9269D">
              <w:rPr>
                <w:rFonts w:eastAsia="Times New Roman"/>
                <w:color w:val="000000"/>
                <w:kern w:val="0"/>
                <w:sz w:val="24"/>
                <w:szCs w:val="24"/>
              </w:rPr>
              <w:t>–</w:t>
            </w: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12</w:t>
            </w:r>
            <w:r w:rsidR="00A9269D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 months</w:t>
            </w:r>
          </w:p>
        </w:tc>
        <w:tc>
          <w:tcPr>
            <w:tcW w:w="482" w:type="dxa"/>
            <w:vMerge/>
            <w:vAlign w:val="center"/>
            <w:hideMark/>
          </w:tcPr>
          <w:p w14:paraId="656F87F6" w14:textId="77777777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top w:val="nil"/>
              <w:bottom w:val="nil"/>
              <w:tr2bl w:val="single" w:sz="4" w:space="0" w:color="auto"/>
            </w:tcBorders>
            <w:vAlign w:val="center"/>
            <w:hideMark/>
          </w:tcPr>
          <w:p w14:paraId="02BFCA3A" w14:textId="77777777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F3DE2" w:rsidRPr="00793B7C" w14:paraId="46118E33" w14:textId="77777777" w:rsidTr="00CF5563">
        <w:trPr>
          <w:trHeight w:val="1875"/>
        </w:trPr>
        <w:tc>
          <w:tcPr>
            <w:tcW w:w="7015" w:type="dxa"/>
            <w:shd w:val="clear" w:color="auto" w:fill="auto"/>
            <w:noWrap/>
            <w:vAlign w:val="center"/>
            <w:hideMark/>
          </w:tcPr>
          <w:p w14:paraId="16BE6BCB" w14:textId="4DC9CAFF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The percentage of EM patients whose MMDs have decreased </w:t>
            </w:r>
            <w:r w:rsidR="00A9269D">
              <w:rPr>
                <w:rFonts w:eastAsia="Times New Roman"/>
                <w:color w:val="000000"/>
                <w:kern w:val="0"/>
                <w:sz w:val="24"/>
                <w:szCs w:val="24"/>
              </w:rPr>
              <w:t>≥</w:t>
            </w: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50%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223A0B56" w14:textId="49289B6F" w:rsidR="00793B7C" w:rsidRPr="00793B7C" w:rsidRDefault="00A9269D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&lt;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20%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≥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20% and </w:t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&lt;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40%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≥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40% and </w:t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&lt;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60%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≥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60% and </w:t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&lt;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80%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≥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80% </w:t>
            </w:r>
          </w:p>
        </w:tc>
        <w:tc>
          <w:tcPr>
            <w:tcW w:w="482" w:type="dxa"/>
            <w:vMerge/>
            <w:vAlign w:val="center"/>
            <w:hideMark/>
          </w:tcPr>
          <w:p w14:paraId="27D1ABC0" w14:textId="77777777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top w:val="nil"/>
              <w:bottom w:val="nil"/>
              <w:tr2bl w:val="single" w:sz="4" w:space="0" w:color="auto"/>
            </w:tcBorders>
            <w:vAlign w:val="center"/>
            <w:hideMark/>
          </w:tcPr>
          <w:p w14:paraId="31B69F7F" w14:textId="77777777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F3DE2" w:rsidRPr="00793B7C" w14:paraId="5355D4E4" w14:textId="77777777" w:rsidTr="00CF5563">
        <w:trPr>
          <w:trHeight w:val="1875"/>
        </w:trPr>
        <w:tc>
          <w:tcPr>
            <w:tcW w:w="7015" w:type="dxa"/>
            <w:shd w:val="clear" w:color="auto" w:fill="auto"/>
            <w:noWrap/>
            <w:vAlign w:val="center"/>
            <w:hideMark/>
          </w:tcPr>
          <w:p w14:paraId="2A8903CF" w14:textId="305FE133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The percentage of CM patients whose MMDs have decreased </w:t>
            </w:r>
            <w:r w:rsidR="00A9269D">
              <w:rPr>
                <w:rFonts w:eastAsia="Times New Roman"/>
                <w:color w:val="000000"/>
                <w:kern w:val="0"/>
                <w:sz w:val="24"/>
                <w:szCs w:val="24"/>
              </w:rPr>
              <w:t>≥</w:t>
            </w: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50%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6563E866" w14:textId="3272A474" w:rsidR="00793B7C" w:rsidRPr="00793B7C" w:rsidRDefault="00A9269D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&lt;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20%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≥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20% and </w:t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&lt;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40%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≥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40% and </w:t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&lt;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60%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≥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60% and </w:t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&lt;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80%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eastAsia="Times New Roman"/>
                <w:color w:val="000000"/>
                <w:kern w:val="0"/>
                <w:sz w:val="24"/>
                <w:szCs w:val="24"/>
              </w:rPr>
              <w:t>≥</w:t>
            </w:r>
            <w:r w:rsidR="00793B7C"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80% </w:t>
            </w:r>
          </w:p>
        </w:tc>
        <w:tc>
          <w:tcPr>
            <w:tcW w:w="482" w:type="dxa"/>
            <w:vMerge/>
            <w:vAlign w:val="center"/>
            <w:hideMark/>
          </w:tcPr>
          <w:p w14:paraId="44D786D8" w14:textId="77777777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top w:val="nil"/>
              <w:bottom w:val="nil"/>
              <w:tr2bl w:val="single" w:sz="4" w:space="0" w:color="auto"/>
            </w:tcBorders>
            <w:vAlign w:val="center"/>
            <w:hideMark/>
          </w:tcPr>
          <w:p w14:paraId="1B5CD4A1" w14:textId="77777777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F3DE2" w:rsidRPr="00793B7C" w14:paraId="76F27160" w14:textId="77777777" w:rsidTr="00CF5563">
        <w:trPr>
          <w:trHeight w:val="2205"/>
        </w:trPr>
        <w:tc>
          <w:tcPr>
            <w:tcW w:w="7015" w:type="dxa"/>
            <w:shd w:val="clear" w:color="auto" w:fill="auto"/>
            <w:noWrap/>
            <w:vAlign w:val="center"/>
            <w:hideMark/>
          </w:tcPr>
          <w:p w14:paraId="1ED515B5" w14:textId="20714BFB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The most frequently reported reason for responders to discontinue </w:t>
            </w:r>
            <w:proofErr w:type="spellStart"/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CGRPmAbs</w:t>
            </w:r>
            <w:proofErr w:type="spellEnd"/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6FAE834A" w14:textId="77777777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Cost</w:t>
            </w: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  <w:t>Adverse effects, safety (including injection site reaction, constipation, pregnancy)</w:t>
            </w: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  <w:t>Frequent hospital visits</w:t>
            </w: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  <w:t>Enough improvement of migraine</w:t>
            </w: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br/>
              <w:t>Others</w:t>
            </w:r>
          </w:p>
        </w:tc>
        <w:tc>
          <w:tcPr>
            <w:tcW w:w="482" w:type="dxa"/>
            <w:vMerge/>
            <w:vAlign w:val="center"/>
            <w:hideMark/>
          </w:tcPr>
          <w:p w14:paraId="14EF931D" w14:textId="77777777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top w:val="nil"/>
              <w:bottom w:val="nil"/>
              <w:tr2bl w:val="single" w:sz="4" w:space="0" w:color="auto"/>
            </w:tcBorders>
            <w:vAlign w:val="center"/>
            <w:hideMark/>
          </w:tcPr>
          <w:p w14:paraId="45EB824C" w14:textId="77777777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F3DE2" w:rsidRPr="00793B7C" w14:paraId="09A82341" w14:textId="77777777" w:rsidTr="00CF5563">
        <w:trPr>
          <w:trHeight w:val="315"/>
        </w:trPr>
        <w:tc>
          <w:tcPr>
            <w:tcW w:w="7015" w:type="dxa"/>
            <w:shd w:val="clear" w:color="auto" w:fill="auto"/>
            <w:noWrap/>
            <w:vAlign w:val="center"/>
            <w:hideMark/>
          </w:tcPr>
          <w:p w14:paraId="4DF472ED" w14:textId="357CA889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Any request</w:t>
            </w:r>
            <w:r w:rsidR="00417FDD">
              <w:rPr>
                <w:rFonts w:eastAsia="Times New Roman"/>
                <w:color w:val="000000"/>
                <w:kern w:val="0"/>
                <w:sz w:val="24"/>
                <w:szCs w:val="24"/>
              </w:rPr>
              <w:t>s</w:t>
            </w: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 about </w:t>
            </w:r>
            <w:proofErr w:type="spellStart"/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CGRPmAbs</w:t>
            </w:r>
            <w:proofErr w:type="spellEnd"/>
          </w:p>
        </w:tc>
        <w:tc>
          <w:tcPr>
            <w:tcW w:w="3420" w:type="dxa"/>
            <w:shd w:val="clear" w:color="auto" w:fill="auto"/>
            <w:noWrap/>
            <w:hideMark/>
          </w:tcPr>
          <w:p w14:paraId="35E9BC19" w14:textId="77777777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82" w:type="dxa"/>
            <w:vMerge/>
            <w:vAlign w:val="center"/>
            <w:hideMark/>
          </w:tcPr>
          <w:p w14:paraId="62E1E84B" w14:textId="77777777" w:rsidR="00793B7C" w:rsidRPr="00793B7C" w:rsidRDefault="00793B7C" w:rsidP="00793B7C">
            <w:pPr>
              <w:widowControl/>
              <w:spacing w:line="276" w:lineRule="auto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F995D97" w14:textId="77777777" w:rsidR="00793B7C" w:rsidRPr="00793B7C" w:rsidRDefault="00793B7C" w:rsidP="00793B7C">
            <w:pPr>
              <w:widowControl/>
              <w:spacing w:line="276" w:lineRule="auto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793B7C">
              <w:rPr>
                <w:rFonts w:eastAsia="Times New Roman"/>
                <w:color w:val="000000"/>
                <w:kern w:val="0"/>
                <w:sz w:val="24"/>
                <w:szCs w:val="24"/>
              </w:rPr>
              <w:t>3</w:t>
            </w:r>
          </w:p>
        </w:tc>
      </w:tr>
    </w:tbl>
    <w:p w14:paraId="44572488" w14:textId="77777777" w:rsidR="00793B7C" w:rsidRDefault="00793B7C"/>
    <w:p w14:paraId="16322DE0" w14:textId="77777777" w:rsidR="00321149" w:rsidRDefault="00321149"/>
    <w:p w14:paraId="3DF8E674" w14:textId="77777777" w:rsidR="00722FF6" w:rsidRDefault="00722FF6">
      <w:pPr>
        <w:rPr>
          <w:b/>
          <w:bCs/>
          <w:sz w:val="28"/>
          <w:szCs w:val="28"/>
        </w:rPr>
      </w:pPr>
    </w:p>
    <w:p w14:paraId="0C82CDFC" w14:textId="77777777" w:rsidR="00936137" w:rsidRDefault="00936137">
      <w:pPr>
        <w:rPr>
          <w:b/>
          <w:bCs/>
          <w:sz w:val="28"/>
          <w:szCs w:val="28"/>
        </w:rPr>
      </w:pPr>
    </w:p>
    <w:p w14:paraId="41254A83" w14:textId="77777777" w:rsidR="00936137" w:rsidRDefault="00936137">
      <w:pPr>
        <w:rPr>
          <w:b/>
          <w:bCs/>
          <w:sz w:val="28"/>
          <w:szCs w:val="28"/>
        </w:rPr>
      </w:pPr>
    </w:p>
    <w:p w14:paraId="4E249B9C" w14:textId="77777777" w:rsidR="00722FF6" w:rsidRPr="00AE2D35" w:rsidRDefault="00722FF6">
      <w:pPr>
        <w:rPr>
          <w:b/>
          <w:bCs/>
          <w:sz w:val="28"/>
          <w:szCs w:val="28"/>
        </w:rPr>
      </w:pPr>
    </w:p>
    <w:sectPr w:rsidR="00722FF6" w:rsidRPr="00AE2D35" w:rsidSect="00C92AAA">
      <w:pgSz w:w="13040" w:h="18440"/>
      <w:pgMar w:top="720" w:right="720" w:bottom="720" w:left="720" w:header="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B56AE" w14:textId="77777777" w:rsidR="00C92AAA" w:rsidRDefault="00C92AAA" w:rsidP="00937818">
      <w:r>
        <w:separator/>
      </w:r>
    </w:p>
  </w:endnote>
  <w:endnote w:type="continuationSeparator" w:id="0">
    <w:p w14:paraId="49FC220B" w14:textId="77777777" w:rsidR="00C92AAA" w:rsidRDefault="00C92AAA" w:rsidP="00937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 Bayan">
    <w:panose1 w:val="00000000000000000000"/>
    <w:charset w:val="B2"/>
    <w:family w:val="auto"/>
    <w:notTrueType/>
    <w:pitch w:val="variable"/>
    <w:sig w:usb0="00002001" w:usb1="00000000" w:usb2="00000008" w:usb3="00000000" w:csb0="0000004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BAADC" w14:textId="77777777" w:rsidR="00C92AAA" w:rsidRDefault="00C92AAA" w:rsidP="00937818">
      <w:r>
        <w:separator/>
      </w:r>
    </w:p>
  </w:footnote>
  <w:footnote w:type="continuationSeparator" w:id="0">
    <w:p w14:paraId="5CD7FA7E" w14:textId="77777777" w:rsidR="00C92AAA" w:rsidRDefault="00C92AAA" w:rsidP="009378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5D0C07"/>
    <w:multiLevelType w:val="hybridMultilevel"/>
    <w:tmpl w:val="4CA02766"/>
    <w:lvl w:ilvl="0" w:tplc="C4DA8062">
      <w:start w:val="1"/>
      <w:numFmt w:val="decimal"/>
      <w:pStyle w:val="Numberedlist"/>
      <w:lvlText w:val="(%1)"/>
      <w:lvlJc w:val="right"/>
      <w:pPr>
        <w:ind w:left="720" w:hanging="153"/>
      </w:pPr>
      <w:rPr>
        <w:rFonts w:cs="Times New Roman" w:hint="default"/>
      </w:rPr>
    </w:lvl>
    <w:lvl w:ilvl="1" w:tplc="A31606E6">
      <w:start w:val="1"/>
      <w:numFmt w:val="lowerLetter"/>
      <w:lvlText w:val="(%2)"/>
      <w:lvlJc w:val="left"/>
      <w:pPr>
        <w:ind w:left="1440" w:hanging="360"/>
      </w:pPr>
      <w:rPr>
        <w:rFonts w:cs="Times New Roman" w:hint="default"/>
      </w:rPr>
    </w:lvl>
    <w:lvl w:ilvl="2" w:tplc="F5EAC1AE">
      <w:start w:val="1"/>
      <w:numFmt w:val="lowerRoman"/>
      <w:lvlText w:val="(%3)"/>
      <w:lvlJc w:val="right"/>
      <w:pPr>
        <w:ind w:left="2160" w:hanging="180"/>
      </w:pPr>
      <w:rPr>
        <w:rFonts w:cs="Times New Roman" w:hint="default"/>
      </w:rPr>
    </w:lvl>
    <w:lvl w:ilvl="3" w:tplc="C10C615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18C2A0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D66601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65E433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F0A25B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22283B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BD96BF8"/>
    <w:multiLevelType w:val="hybridMultilevel"/>
    <w:tmpl w:val="76D2C65A"/>
    <w:lvl w:ilvl="0" w:tplc="2236DEA6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3A01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0014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74CB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B274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6EFA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CA77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1E79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5CF3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06358">
    <w:abstractNumId w:val="0"/>
  </w:num>
  <w:num w:numId="2" w16cid:durableId="1185823210">
    <w:abstractNumId w:val="1"/>
  </w:num>
  <w:num w:numId="3" w16cid:durableId="984241686">
    <w:abstractNumId w:val="0"/>
  </w:num>
  <w:num w:numId="4" w16cid:durableId="427699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B7C"/>
    <w:rsid w:val="000340C1"/>
    <w:rsid w:val="00053B37"/>
    <w:rsid w:val="00072ACC"/>
    <w:rsid w:val="00073FF7"/>
    <w:rsid w:val="000A5833"/>
    <w:rsid w:val="000D3FA0"/>
    <w:rsid w:val="00157D4E"/>
    <w:rsid w:val="001648D6"/>
    <w:rsid w:val="001775CA"/>
    <w:rsid w:val="0018363C"/>
    <w:rsid w:val="001F3DE2"/>
    <w:rsid w:val="00257215"/>
    <w:rsid w:val="00277814"/>
    <w:rsid w:val="002D20D6"/>
    <w:rsid w:val="002E1B8A"/>
    <w:rsid w:val="00303F96"/>
    <w:rsid w:val="00321149"/>
    <w:rsid w:val="00335B7F"/>
    <w:rsid w:val="003364F6"/>
    <w:rsid w:val="0039759E"/>
    <w:rsid w:val="003B0111"/>
    <w:rsid w:val="00403358"/>
    <w:rsid w:val="00417FDD"/>
    <w:rsid w:val="00435500"/>
    <w:rsid w:val="00437656"/>
    <w:rsid w:val="00447D66"/>
    <w:rsid w:val="00462A9D"/>
    <w:rsid w:val="004D4295"/>
    <w:rsid w:val="005306CC"/>
    <w:rsid w:val="00616DAC"/>
    <w:rsid w:val="00662563"/>
    <w:rsid w:val="006D5CF3"/>
    <w:rsid w:val="00722FF6"/>
    <w:rsid w:val="00773AFD"/>
    <w:rsid w:val="00775651"/>
    <w:rsid w:val="00793B7C"/>
    <w:rsid w:val="007B7698"/>
    <w:rsid w:val="007D1E33"/>
    <w:rsid w:val="007D6D11"/>
    <w:rsid w:val="007F66F6"/>
    <w:rsid w:val="0082392D"/>
    <w:rsid w:val="0083270D"/>
    <w:rsid w:val="008336C1"/>
    <w:rsid w:val="00833FF2"/>
    <w:rsid w:val="008A131D"/>
    <w:rsid w:val="008C3ADA"/>
    <w:rsid w:val="008D2290"/>
    <w:rsid w:val="00916FF2"/>
    <w:rsid w:val="00936137"/>
    <w:rsid w:val="00937818"/>
    <w:rsid w:val="009E48AC"/>
    <w:rsid w:val="009F338B"/>
    <w:rsid w:val="00A100BE"/>
    <w:rsid w:val="00A83FD5"/>
    <w:rsid w:val="00A9269D"/>
    <w:rsid w:val="00A97AA8"/>
    <w:rsid w:val="00AE2D35"/>
    <w:rsid w:val="00B31307"/>
    <w:rsid w:val="00B35F6C"/>
    <w:rsid w:val="00B4614E"/>
    <w:rsid w:val="00B83AE0"/>
    <w:rsid w:val="00BA4FB0"/>
    <w:rsid w:val="00BC27C0"/>
    <w:rsid w:val="00BE21F2"/>
    <w:rsid w:val="00BE2E26"/>
    <w:rsid w:val="00C046D1"/>
    <w:rsid w:val="00C46A9C"/>
    <w:rsid w:val="00C52B0F"/>
    <w:rsid w:val="00C92AAA"/>
    <w:rsid w:val="00CE1187"/>
    <w:rsid w:val="00CE1260"/>
    <w:rsid w:val="00CF5563"/>
    <w:rsid w:val="00D302F0"/>
    <w:rsid w:val="00F23C26"/>
    <w:rsid w:val="00F30128"/>
    <w:rsid w:val="00F46C7B"/>
    <w:rsid w:val="00F55165"/>
    <w:rsid w:val="00FA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F085C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kern w:val="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100BE"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A100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Paragraph"/>
    <w:link w:val="20"/>
    <w:semiHidden/>
    <w:unhideWhenUsed/>
    <w:qFormat/>
    <w:rsid w:val="00A100B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Paragraph"/>
    <w:link w:val="30"/>
    <w:semiHidden/>
    <w:unhideWhenUsed/>
    <w:qFormat/>
    <w:rsid w:val="00A100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4">
    <w:name w:val="heading 4"/>
    <w:basedOn w:val="Paragraph"/>
    <w:next w:val="Newparagraph"/>
    <w:link w:val="40"/>
    <w:semiHidden/>
    <w:unhideWhenUsed/>
    <w:qFormat/>
    <w:rsid w:val="00A100B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A100B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">
    <w:name w:val="Style"/>
    <w:basedOn w:val="a0"/>
    <w:rsid w:val="00157D4E"/>
    <w:rPr>
      <w:rFonts w:ascii="Arial" w:hAnsi="Arial"/>
      <w:sz w:val="20"/>
    </w:rPr>
  </w:style>
  <w:style w:type="paragraph" w:styleId="a3">
    <w:name w:val="annotation text"/>
    <w:basedOn w:val="a"/>
    <w:link w:val="a4"/>
    <w:unhideWhenUsed/>
    <w:rsid w:val="00A100BE"/>
    <w:pPr>
      <w:jc w:val="left"/>
    </w:pPr>
    <w:rPr>
      <w:rFonts w:ascii="Arial" w:hAnsi="Arial"/>
    </w:rPr>
  </w:style>
  <w:style w:type="character" w:customStyle="1" w:styleId="a4">
    <w:name w:val="コメント文字列 (文字)"/>
    <w:basedOn w:val="a0"/>
    <w:link w:val="a3"/>
    <w:rsid w:val="00A100BE"/>
    <w:rPr>
      <w:rFonts w:ascii="Arial" w:eastAsiaTheme="minorEastAsia" w:hAnsi="Arial"/>
      <w:sz w:val="20"/>
      <w:szCs w:val="20"/>
      <w:lang w:eastAsia="ja-JP"/>
    </w:rPr>
  </w:style>
  <w:style w:type="paragraph" w:customStyle="1" w:styleId="Articletitle">
    <w:name w:val="Article title"/>
    <w:basedOn w:val="a"/>
    <w:next w:val="a"/>
    <w:qFormat/>
    <w:rsid w:val="000A5833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a"/>
    <w:next w:val="a"/>
    <w:qFormat/>
    <w:rsid w:val="000A5833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a"/>
    <w:qFormat/>
    <w:rsid w:val="000A5833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a"/>
    <w:qFormat/>
    <w:rsid w:val="000A5833"/>
  </w:style>
  <w:style w:type="paragraph" w:customStyle="1" w:styleId="Abstract">
    <w:name w:val="Abstract"/>
    <w:basedOn w:val="a"/>
    <w:next w:val="Keywords"/>
    <w:qFormat/>
    <w:rsid w:val="000A5833"/>
    <w:pPr>
      <w:spacing w:before="360" w:after="300" w:line="360" w:lineRule="auto"/>
      <w:ind w:left="720" w:right="567"/>
    </w:pPr>
    <w:rPr>
      <w:sz w:val="22"/>
    </w:rPr>
  </w:style>
  <w:style w:type="paragraph" w:customStyle="1" w:styleId="Keywords">
    <w:name w:val="Keywords"/>
    <w:basedOn w:val="a"/>
    <w:next w:val="Paragraph"/>
    <w:qFormat/>
    <w:rsid w:val="000A5833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a"/>
    <w:qFormat/>
    <w:rsid w:val="000A5833"/>
    <w:pPr>
      <w:spacing w:before="240" w:line="360" w:lineRule="auto"/>
    </w:pPr>
  </w:style>
  <w:style w:type="paragraph" w:customStyle="1" w:styleId="Displayedquotation">
    <w:name w:val="Displayed quotation"/>
    <w:basedOn w:val="a"/>
    <w:qFormat/>
    <w:rsid w:val="000A5833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0A5833"/>
    <w:pPr>
      <w:widowControl/>
      <w:numPr>
        <w:numId w:val="3"/>
      </w:numPr>
      <w:spacing w:after="240"/>
      <w:contextualSpacing/>
    </w:pPr>
  </w:style>
  <w:style w:type="paragraph" w:customStyle="1" w:styleId="Displayedequation">
    <w:name w:val="Displayed equation"/>
    <w:basedOn w:val="a"/>
    <w:next w:val="Paragraph"/>
    <w:qFormat/>
    <w:rsid w:val="000A5833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a"/>
    <w:next w:val="a"/>
    <w:qFormat/>
    <w:rsid w:val="000A5833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a"/>
    <w:next w:val="a"/>
    <w:qFormat/>
    <w:rsid w:val="000A5833"/>
    <w:pPr>
      <w:spacing w:before="240" w:line="360" w:lineRule="auto"/>
    </w:pPr>
  </w:style>
  <w:style w:type="paragraph" w:customStyle="1" w:styleId="Figurecaption">
    <w:name w:val="Figure caption"/>
    <w:basedOn w:val="a"/>
    <w:next w:val="a"/>
    <w:qFormat/>
    <w:rsid w:val="000A5833"/>
    <w:pPr>
      <w:spacing w:before="240" w:line="360" w:lineRule="auto"/>
    </w:pPr>
  </w:style>
  <w:style w:type="paragraph" w:customStyle="1" w:styleId="Footnotes">
    <w:name w:val="Footnotes"/>
    <w:basedOn w:val="a"/>
    <w:qFormat/>
    <w:rsid w:val="000A5833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a"/>
    <w:qFormat/>
    <w:rsid w:val="000A5833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a"/>
    <w:next w:val="a"/>
    <w:rsid w:val="000A5833"/>
  </w:style>
  <w:style w:type="paragraph" w:customStyle="1" w:styleId="Paragraph">
    <w:name w:val="Paragraph"/>
    <w:basedOn w:val="a"/>
    <w:next w:val="Newparagraph"/>
    <w:qFormat/>
    <w:rsid w:val="000A5833"/>
    <w:pPr>
      <w:spacing w:before="240"/>
    </w:pPr>
  </w:style>
  <w:style w:type="paragraph" w:customStyle="1" w:styleId="Newparagraph">
    <w:name w:val="New paragraph"/>
    <w:basedOn w:val="a"/>
    <w:qFormat/>
    <w:rsid w:val="000A5833"/>
    <w:pPr>
      <w:ind w:firstLine="720"/>
    </w:pPr>
  </w:style>
  <w:style w:type="paragraph" w:customStyle="1" w:styleId="References">
    <w:name w:val="References"/>
    <w:basedOn w:val="a"/>
    <w:qFormat/>
    <w:rsid w:val="000A5833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0A5833"/>
  </w:style>
  <w:style w:type="paragraph" w:customStyle="1" w:styleId="Bulletedlist">
    <w:name w:val="Bulleted list"/>
    <w:basedOn w:val="Paragraph"/>
    <w:next w:val="Paragraph"/>
    <w:qFormat/>
    <w:rsid w:val="000A5833"/>
    <w:pPr>
      <w:widowControl/>
      <w:numPr>
        <w:numId w:val="4"/>
      </w:numPr>
      <w:spacing w:after="240"/>
      <w:contextualSpacing/>
    </w:pPr>
  </w:style>
  <w:style w:type="paragraph" w:customStyle="1" w:styleId="Heading4Paragraph">
    <w:name w:val="Heading 4 + Paragraph"/>
    <w:basedOn w:val="Paragraph"/>
    <w:next w:val="Newparagraph"/>
    <w:qFormat/>
    <w:rsid w:val="000A5833"/>
    <w:pPr>
      <w:widowControl/>
      <w:spacing w:before="360"/>
    </w:pPr>
  </w:style>
  <w:style w:type="character" w:customStyle="1" w:styleId="ref-title">
    <w:name w:val="ref-title"/>
    <w:basedOn w:val="a0"/>
    <w:rsid w:val="000A5833"/>
    <w:rPr>
      <w:rFonts w:cs="Times New Roman"/>
    </w:rPr>
  </w:style>
  <w:style w:type="character" w:customStyle="1" w:styleId="ref-journal">
    <w:name w:val="ref-journal"/>
    <w:basedOn w:val="a0"/>
    <w:rsid w:val="000A5833"/>
    <w:rPr>
      <w:rFonts w:cs="Times New Roman"/>
    </w:rPr>
  </w:style>
  <w:style w:type="character" w:customStyle="1" w:styleId="ref-vol">
    <w:name w:val="ref-vol"/>
    <w:basedOn w:val="a0"/>
    <w:rsid w:val="000A5833"/>
    <w:rPr>
      <w:rFonts w:cs="Times New Roman"/>
    </w:rPr>
  </w:style>
  <w:style w:type="character" w:customStyle="1" w:styleId="ref-lnk">
    <w:name w:val="ref-lnk"/>
    <w:basedOn w:val="a0"/>
    <w:rsid w:val="000A5833"/>
    <w:rPr>
      <w:rFonts w:cs="Times New Roman"/>
    </w:rPr>
  </w:style>
  <w:style w:type="character" w:customStyle="1" w:styleId="10">
    <w:name w:val="見出し 1 (文字)"/>
    <w:basedOn w:val="a0"/>
    <w:link w:val="1"/>
    <w:rsid w:val="00A100B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ja-JP"/>
    </w:rPr>
  </w:style>
  <w:style w:type="character" w:customStyle="1" w:styleId="20">
    <w:name w:val="見出し 2 (文字)"/>
    <w:basedOn w:val="a0"/>
    <w:link w:val="2"/>
    <w:semiHidden/>
    <w:rsid w:val="00A100B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ja-JP"/>
    </w:rPr>
  </w:style>
  <w:style w:type="character" w:customStyle="1" w:styleId="30">
    <w:name w:val="見出し 3 (文字)"/>
    <w:basedOn w:val="a0"/>
    <w:link w:val="3"/>
    <w:semiHidden/>
    <w:rsid w:val="00A100B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ja-JP"/>
    </w:rPr>
  </w:style>
  <w:style w:type="character" w:customStyle="1" w:styleId="40">
    <w:name w:val="見出し 4 (文字)"/>
    <w:basedOn w:val="a0"/>
    <w:link w:val="4"/>
    <w:semiHidden/>
    <w:rsid w:val="00A100BE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eastAsia="ja-JP"/>
    </w:rPr>
  </w:style>
  <w:style w:type="character" w:customStyle="1" w:styleId="50">
    <w:name w:val="見出し 5 (文字)"/>
    <w:basedOn w:val="a0"/>
    <w:link w:val="5"/>
    <w:semiHidden/>
    <w:rsid w:val="00A100BE"/>
    <w:rPr>
      <w:rFonts w:asciiTheme="majorHAnsi" w:eastAsiaTheme="majorEastAsia" w:hAnsiTheme="majorHAnsi" w:cstheme="majorBidi"/>
      <w:color w:val="2F5496" w:themeColor="accent1" w:themeShade="BF"/>
      <w:szCs w:val="24"/>
      <w:lang w:eastAsia="ja-JP"/>
    </w:rPr>
  </w:style>
  <w:style w:type="paragraph" w:styleId="a5">
    <w:name w:val="Normal Indent"/>
    <w:basedOn w:val="a"/>
    <w:semiHidden/>
    <w:unhideWhenUsed/>
    <w:rsid w:val="00A100BE"/>
    <w:pPr>
      <w:ind w:left="720"/>
    </w:pPr>
  </w:style>
  <w:style w:type="paragraph" w:styleId="a6">
    <w:name w:val="footnote text"/>
    <w:basedOn w:val="a"/>
    <w:link w:val="a7"/>
    <w:semiHidden/>
    <w:unhideWhenUsed/>
    <w:rsid w:val="00A100BE"/>
  </w:style>
  <w:style w:type="character" w:customStyle="1" w:styleId="a7">
    <w:name w:val="脚注文字列 (文字)"/>
    <w:basedOn w:val="a0"/>
    <w:link w:val="a6"/>
    <w:semiHidden/>
    <w:rsid w:val="00A100BE"/>
    <w:rPr>
      <w:rFonts w:eastAsiaTheme="minorEastAsia"/>
      <w:sz w:val="20"/>
      <w:szCs w:val="20"/>
      <w:lang w:eastAsia="ja-JP"/>
    </w:rPr>
  </w:style>
  <w:style w:type="paragraph" w:styleId="a8">
    <w:name w:val="header"/>
    <w:basedOn w:val="a"/>
    <w:link w:val="a9"/>
    <w:rsid w:val="00A100B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A100BE"/>
    <w:rPr>
      <w:rFonts w:eastAsiaTheme="minorEastAsia"/>
      <w:szCs w:val="24"/>
      <w:lang w:eastAsia="ja-JP"/>
    </w:rPr>
  </w:style>
  <w:style w:type="paragraph" w:styleId="aa">
    <w:name w:val="footer"/>
    <w:basedOn w:val="a"/>
    <w:link w:val="ab"/>
    <w:uiPriority w:val="99"/>
    <w:rsid w:val="00A100B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100BE"/>
    <w:rPr>
      <w:rFonts w:eastAsiaTheme="minorEastAsia"/>
      <w:szCs w:val="24"/>
      <w:lang w:eastAsia="ja-JP"/>
    </w:rPr>
  </w:style>
  <w:style w:type="character" w:styleId="ac">
    <w:name w:val="footnote reference"/>
    <w:basedOn w:val="a0"/>
    <w:semiHidden/>
    <w:unhideWhenUsed/>
    <w:rsid w:val="00A100BE"/>
    <w:rPr>
      <w:vertAlign w:val="superscript"/>
    </w:rPr>
  </w:style>
  <w:style w:type="character" w:styleId="ad">
    <w:name w:val="annotation reference"/>
    <w:basedOn w:val="a0"/>
    <w:semiHidden/>
    <w:unhideWhenUsed/>
    <w:rsid w:val="00A100BE"/>
    <w:rPr>
      <w:sz w:val="16"/>
      <w:szCs w:val="16"/>
    </w:rPr>
  </w:style>
  <w:style w:type="character" w:styleId="ae">
    <w:name w:val="line number"/>
    <w:basedOn w:val="a0"/>
    <w:semiHidden/>
    <w:unhideWhenUsed/>
    <w:rsid w:val="00A100BE"/>
  </w:style>
  <w:style w:type="character" w:styleId="af">
    <w:name w:val="endnote reference"/>
    <w:basedOn w:val="a0"/>
    <w:semiHidden/>
    <w:unhideWhenUsed/>
    <w:rsid w:val="00A100BE"/>
    <w:rPr>
      <w:vertAlign w:val="superscript"/>
    </w:rPr>
  </w:style>
  <w:style w:type="paragraph" w:styleId="af0">
    <w:name w:val="endnote text"/>
    <w:basedOn w:val="a"/>
    <w:link w:val="af1"/>
    <w:semiHidden/>
    <w:unhideWhenUsed/>
    <w:rsid w:val="00A100BE"/>
  </w:style>
  <w:style w:type="character" w:customStyle="1" w:styleId="af1">
    <w:name w:val="文末脚注文字列 (文字)"/>
    <w:basedOn w:val="a0"/>
    <w:link w:val="af0"/>
    <w:semiHidden/>
    <w:rsid w:val="00A100BE"/>
    <w:rPr>
      <w:rFonts w:eastAsiaTheme="minorEastAsia"/>
      <w:sz w:val="20"/>
      <w:szCs w:val="20"/>
      <w:lang w:eastAsia="ja-JP"/>
    </w:rPr>
  </w:style>
  <w:style w:type="character" w:styleId="af2">
    <w:name w:val="Hyperlink"/>
    <w:uiPriority w:val="99"/>
    <w:unhideWhenUsed/>
    <w:rsid w:val="00A100BE"/>
    <w:rPr>
      <w:color w:val="0000FF"/>
      <w:u w:val="single"/>
    </w:rPr>
  </w:style>
  <w:style w:type="character" w:styleId="af3">
    <w:name w:val="Strong"/>
    <w:basedOn w:val="a0"/>
    <w:qFormat/>
    <w:rsid w:val="00A100BE"/>
    <w:rPr>
      <w:b/>
      <w:bCs/>
    </w:rPr>
  </w:style>
  <w:style w:type="paragraph" w:styleId="Web">
    <w:name w:val="Normal (Web)"/>
    <w:basedOn w:val="a"/>
    <w:semiHidden/>
    <w:unhideWhenUsed/>
    <w:rsid w:val="00A100BE"/>
    <w:rPr>
      <w:rFonts w:cs="ＭＳ Ｐゴシック"/>
      <w:sz w:val="24"/>
    </w:rPr>
  </w:style>
  <w:style w:type="paragraph" w:styleId="af4">
    <w:name w:val="annotation subject"/>
    <w:basedOn w:val="a3"/>
    <w:next w:val="a3"/>
    <w:link w:val="af5"/>
    <w:semiHidden/>
    <w:unhideWhenUsed/>
    <w:rsid w:val="00A100BE"/>
    <w:rPr>
      <w:b/>
      <w:bCs/>
    </w:rPr>
  </w:style>
  <w:style w:type="character" w:customStyle="1" w:styleId="af5">
    <w:name w:val="コメント内容 (文字)"/>
    <w:basedOn w:val="a4"/>
    <w:link w:val="af4"/>
    <w:semiHidden/>
    <w:rsid w:val="00A100BE"/>
    <w:rPr>
      <w:rFonts w:ascii="Arial" w:eastAsiaTheme="minorEastAsia" w:hAnsi="Arial"/>
      <w:b/>
      <w:bCs/>
      <w:sz w:val="20"/>
      <w:szCs w:val="20"/>
      <w:lang w:eastAsia="ja-JP"/>
    </w:rPr>
  </w:style>
  <w:style w:type="paragraph" w:styleId="af6">
    <w:name w:val="Balloon Text"/>
    <w:basedOn w:val="a"/>
    <w:link w:val="af7"/>
    <w:rsid w:val="00A100BE"/>
    <w:rPr>
      <w:rFonts w:ascii="Segoe UI" w:hAnsi="Segoe UI" w:cs="Segoe UI"/>
      <w:sz w:val="18"/>
      <w:szCs w:val="18"/>
    </w:rPr>
  </w:style>
  <w:style w:type="character" w:customStyle="1" w:styleId="af7">
    <w:name w:val="吹き出し (文字)"/>
    <w:basedOn w:val="a0"/>
    <w:link w:val="af6"/>
    <w:rsid w:val="00A100BE"/>
    <w:rPr>
      <w:rFonts w:ascii="Segoe UI" w:eastAsiaTheme="minorEastAsia" w:hAnsi="Segoe UI" w:cs="Segoe UI"/>
      <w:sz w:val="18"/>
      <w:szCs w:val="18"/>
      <w:lang w:eastAsia="ja-JP"/>
    </w:rPr>
  </w:style>
  <w:style w:type="paragraph" w:styleId="af8">
    <w:name w:val="List Paragraph"/>
    <w:basedOn w:val="a"/>
    <w:uiPriority w:val="99"/>
    <w:rsid w:val="00A100BE"/>
    <w:pPr>
      <w:ind w:leftChars="400" w:left="840"/>
    </w:pPr>
  </w:style>
  <w:style w:type="paragraph" w:customStyle="1" w:styleId="EndNoteBibliographyTitle">
    <w:name w:val="EndNote Bibliography Title"/>
    <w:basedOn w:val="a"/>
    <w:link w:val="EndNoteBibliographyTitle0"/>
    <w:rsid w:val="003B0111"/>
    <w:pPr>
      <w:jc w:val="center"/>
    </w:pPr>
    <w:rPr>
      <w:rFonts w:ascii="Al Bayan" w:eastAsia="游明朝" w:hAnsi="Al Bayan" w:cs="Al Bayan"/>
      <w:szCs w:val="22"/>
    </w:rPr>
  </w:style>
  <w:style w:type="character" w:customStyle="1" w:styleId="EndNoteBibliographyTitle0">
    <w:name w:val="EndNote Bibliography Title (文字)"/>
    <w:basedOn w:val="a0"/>
    <w:link w:val="EndNoteBibliographyTitle"/>
    <w:locked/>
    <w:rsid w:val="003B0111"/>
    <w:rPr>
      <w:rFonts w:ascii="Al Bayan" w:eastAsia="游明朝" w:hAnsi="Al Bayan" w:cs="Al Bayan"/>
      <w:kern w:val="2"/>
      <w:szCs w:val="22"/>
      <w:lang w:eastAsia="ja-JP"/>
    </w:rPr>
  </w:style>
  <w:style w:type="paragraph" w:customStyle="1" w:styleId="EndNoteBibliography">
    <w:name w:val="EndNote Bibliography"/>
    <w:basedOn w:val="a"/>
    <w:link w:val="EndNoteBibliography0"/>
    <w:rsid w:val="003B0111"/>
    <w:rPr>
      <w:rFonts w:ascii="Al Bayan" w:eastAsia="游明朝" w:hAnsi="Al Bayan" w:cs="Al Bayan"/>
      <w:szCs w:val="22"/>
    </w:rPr>
  </w:style>
  <w:style w:type="character" w:customStyle="1" w:styleId="EndNoteBibliography0">
    <w:name w:val="EndNote Bibliography (文字)"/>
    <w:basedOn w:val="a0"/>
    <w:link w:val="EndNoteBibliography"/>
    <w:locked/>
    <w:rsid w:val="003B0111"/>
    <w:rPr>
      <w:rFonts w:ascii="Al Bayan" w:eastAsia="游明朝" w:hAnsi="Al Bayan" w:cs="Al Bayan"/>
      <w:kern w:val="2"/>
      <w:szCs w:val="22"/>
      <w:lang w:eastAsia="ja-JP"/>
    </w:rPr>
  </w:style>
  <w:style w:type="character" w:customStyle="1" w:styleId="apple-converted-space">
    <w:name w:val="apple-converted-space"/>
    <w:basedOn w:val="a0"/>
    <w:rsid w:val="003B0111"/>
    <w:rPr>
      <w:rFonts w:cs="Times New Roman"/>
    </w:rPr>
  </w:style>
  <w:style w:type="paragraph" w:customStyle="1" w:styleId="yiv2138192127msonormal">
    <w:name w:val="yiv2138192127msonormal"/>
    <w:basedOn w:val="a"/>
    <w:rsid w:val="003B0111"/>
    <w:pPr>
      <w:spacing w:before="100" w:beforeAutospacing="1" w:after="100" w:afterAutospacing="1"/>
    </w:pPr>
  </w:style>
  <w:style w:type="character" w:customStyle="1" w:styleId="yiv2138192127st1">
    <w:name w:val="yiv2138192127st1"/>
    <w:rsid w:val="003B0111"/>
  </w:style>
  <w:style w:type="character" w:styleId="af9">
    <w:name w:val="page number"/>
    <w:basedOn w:val="a0"/>
    <w:semiHidden/>
    <w:unhideWhenUsed/>
    <w:rsid w:val="00A100BE"/>
  </w:style>
  <w:style w:type="character" w:styleId="afa">
    <w:name w:val="Unresolved Mention"/>
    <w:basedOn w:val="a0"/>
    <w:uiPriority w:val="99"/>
    <w:semiHidden/>
    <w:unhideWhenUsed/>
    <w:rsid w:val="00A100BE"/>
    <w:rPr>
      <w:color w:val="605E5C"/>
      <w:shd w:val="clear" w:color="auto" w:fill="E1DFDD"/>
    </w:rPr>
  </w:style>
  <w:style w:type="paragraph" w:styleId="afb">
    <w:name w:val="Body Text"/>
    <w:basedOn w:val="a"/>
    <w:link w:val="afc"/>
    <w:semiHidden/>
    <w:unhideWhenUsed/>
    <w:rsid w:val="00A100BE"/>
    <w:pPr>
      <w:spacing w:after="120"/>
    </w:pPr>
  </w:style>
  <w:style w:type="character" w:customStyle="1" w:styleId="afc">
    <w:name w:val="本文 (文字)"/>
    <w:basedOn w:val="a0"/>
    <w:link w:val="afb"/>
    <w:semiHidden/>
    <w:rsid w:val="00A100BE"/>
    <w:rPr>
      <w:rFonts w:eastAsiaTheme="minorEastAsia"/>
      <w:szCs w:val="24"/>
      <w:lang w:eastAsia="ja-JP"/>
    </w:rPr>
  </w:style>
  <w:style w:type="character" w:customStyle="1" w:styleId="period">
    <w:name w:val="period"/>
    <w:basedOn w:val="a0"/>
    <w:rsid w:val="00257215"/>
  </w:style>
  <w:style w:type="character" w:customStyle="1" w:styleId="cit">
    <w:name w:val="cit"/>
    <w:basedOn w:val="a0"/>
    <w:rsid w:val="00257215"/>
  </w:style>
  <w:style w:type="character" w:customStyle="1" w:styleId="markedcontent">
    <w:name w:val="markedcontent"/>
    <w:basedOn w:val="a0"/>
    <w:rsid w:val="00257215"/>
  </w:style>
  <w:style w:type="paragraph" w:styleId="afd">
    <w:name w:val="Revision"/>
    <w:hidden/>
    <w:uiPriority w:val="99"/>
    <w:semiHidden/>
    <w:rsid w:val="00793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2024-03-01T13:56:00Z</dcterms:created>
  <dcterms:modified xsi:type="dcterms:W3CDTF">2024-03-10T00:13:00Z</dcterms:modified>
</cp:coreProperties>
</file>