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Table S2. Epidemiological evidence for the relationship between the studied lifestyle factors and candidate mediators with migraine</w:t>
      </w:r>
      <w:r>
        <w:rPr>
          <w:rFonts w:hint="eastAsia" w:ascii="Times New Roman" w:hAnsi="Times New Roman" w:cs="Times New Roman"/>
          <w:sz w:val="24"/>
          <w:szCs w:val="24"/>
          <w:lang w:val="en-US" w:eastAsia="zh-CN"/>
        </w:rPr>
        <w:t>.</w:t>
      </w:r>
      <w:bookmarkStart w:id="1" w:name="_GoBack"/>
      <w:bookmarkEnd w:id="1"/>
    </w:p>
    <w:tbl>
      <w:tblPr>
        <w:tblStyle w:val="3"/>
        <w:tblW w:w="10349"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1701"/>
        <w:gridCol w:w="1560"/>
        <w:gridCol w:w="1794"/>
        <w:gridCol w:w="3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jc w:val="left"/>
              <w:rPr>
                <w:rFonts w:ascii="Times New Roman" w:hAnsi="Times New Roman" w:cs="Times New Roman"/>
                <w:b/>
                <w:bCs/>
                <w:color w:val="2E75B6" w:themeColor="accent5" w:themeShade="BF"/>
                <w:sz w:val="24"/>
                <w:szCs w:val="24"/>
              </w:rPr>
            </w:pPr>
            <w:r>
              <w:rPr>
                <w:rFonts w:ascii="Times New Roman" w:hAnsi="Times New Roman" w:cs="Times New Roman"/>
                <w:b/>
                <w:bCs/>
                <w:color w:val="2E75B6" w:themeColor="accent5" w:themeShade="BF"/>
                <w:sz w:val="24"/>
                <w:szCs w:val="24"/>
              </w:rPr>
              <w:t>Genotype</w:t>
            </w:r>
          </w:p>
        </w:tc>
        <w:tc>
          <w:tcPr>
            <w:tcW w:w="1701" w:type="dxa"/>
          </w:tcPr>
          <w:p>
            <w:pPr>
              <w:jc w:val="left"/>
              <w:rPr>
                <w:rFonts w:ascii="Times New Roman" w:hAnsi="Times New Roman" w:cs="Times New Roman"/>
                <w:b/>
                <w:bCs/>
                <w:color w:val="2E75B6" w:themeColor="accent5" w:themeShade="BF"/>
                <w:sz w:val="24"/>
                <w:szCs w:val="24"/>
              </w:rPr>
            </w:pPr>
            <w:r>
              <w:rPr>
                <w:rFonts w:ascii="Times New Roman" w:hAnsi="Times New Roman" w:cs="Times New Roman"/>
                <w:b/>
                <w:bCs/>
                <w:color w:val="2E75B6" w:themeColor="accent5" w:themeShade="BF"/>
                <w:sz w:val="24"/>
                <w:szCs w:val="24"/>
              </w:rPr>
              <w:t>Study design</w:t>
            </w:r>
          </w:p>
        </w:tc>
        <w:tc>
          <w:tcPr>
            <w:tcW w:w="1560" w:type="dxa"/>
          </w:tcPr>
          <w:p>
            <w:pPr>
              <w:jc w:val="left"/>
              <w:rPr>
                <w:rFonts w:ascii="Times New Roman" w:hAnsi="Times New Roman" w:cs="Times New Roman"/>
                <w:b/>
                <w:bCs/>
                <w:color w:val="2E75B6" w:themeColor="accent5" w:themeShade="BF"/>
                <w:sz w:val="24"/>
                <w:szCs w:val="24"/>
              </w:rPr>
            </w:pPr>
            <w:r>
              <w:rPr>
                <w:rFonts w:ascii="Times New Roman" w:hAnsi="Times New Roman" w:cs="Times New Roman"/>
                <w:b/>
                <w:bCs/>
                <w:color w:val="2E75B6" w:themeColor="accent5" w:themeShade="BF"/>
                <w:sz w:val="24"/>
                <w:szCs w:val="24"/>
              </w:rPr>
              <w:t>Sample size</w:t>
            </w:r>
          </w:p>
        </w:tc>
        <w:tc>
          <w:tcPr>
            <w:tcW w:w="1794" w:type="dxa"/>
          </w:tcPr>
          <w:p>
            <w:pPr>
              <w:jc w:val="left"/>
              <w:rPr>
                <w:rFonts w:ascii="Times New Roman" w:hAnsi="Times New Roman" w:cs="Times New Roman"/>
                <w:b/>
                <w:bCs/>
                <w:color w:val="2E75B6" w:themeColor="accent5" w:themeShade="BF"/>
                <w:sz w:val="24"/>
                <w:szCs w:val="24"/>
              </w:rPr>
            </w:pPr>
            <w:r>
              <w:rPr>
                <w:rFonts w:ascii="Times New Roman" w:hAnsi="Times New Roman" w:cs="Times New Roman"/>
                <w:b/>
                <w:bCs/>
                <w:color w:val="2E75B6" w:themeColor="accent5" w:themeShade="BF"/>
                <w:sz w:val="24"/>
                <w:szCs w:val="24"/>
              </w:rPr>
              <w:t>Data collection</w:t>
            </w:r>
          </w:p>
        </w:tc>
        <w:tc>
          <w:tcPr>
            <w:tcW w:w="3167" w:type="dxa"/>
          </w:tcPr>
          <w:p>
            <w:pPr>
              <w:jc w:val="left"/>
              <w:rPr>
                <w:rFonts w:ascii="Times New Roman" w:hAnsi="Times New Roman" w:cs="Times New Roman"/>
                <w:b/>
                <w:bCs/>
                <w:color w:val="2E75B6" w:themeColor="accent5" w:themeShade="BF"/>
                <w:sz w:val="24"/>
                <w:szCs w:val="24"/>
              </w:rPr>
            </w:pPr>
            <w:r>
              <w:rPr>
                <w:rFonts w:ascii="Times New Roman" w:hAnsi="Times New Roman" w:cs="Times New Roman"/>
                <w:b/>
                <w:bCs/>
                <w:color w:val="2E75B6" w:themeColor="accent5" w:themeShade="BF"/>
                <w:sz w:val="24"/>
                <w:szCs w:val="24"/>
              </w:rPr>
              <w:t>Epidemiological evidence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9" w:type="dxa"/>
            <w:gridSpan w:val="5"/>
          </w:tcPr>
          <w:p>
            <w:pPr>
              <w:rPr>
                <w:rFonts w:ascii="Times New Roman" w:hAnsi="Times New Roman" w:cs="Times New Roman"/>
                <w:b/>
                <w:bCs/>
                <w:color w:val="2E75B6" w:themeColor="accent5" w:themeShade="BF"/>
                <w:sz w:val="24"/>
                <w:szCs w:val="24"/>
              </w:rPr>
            </w:pPr>
            <w:r>
              <w:rPr>
                <w:rFonts w:hint="eastAsia" w:ascii="Times New Roman" w:hAnsi="Times New Roman" w:cs="Times New Roman"/>
                <w:b/>
                <w:bCs/>
                <w:sz w:val="24"/>
                <w:szCs w:val="24"/>
              </w:rPr>
              <w:t>L</w:t>
            </w:r>
            <w:r>
              <w:rPr>
                <w:rFonts w:ascii="Times New Roman" w:hAnsi="Times New Roman" w:cs="Times New Roman"/>
                <w:b/>
                <w:bCs/>
                <w:sz w:val="24"/>
                <w:szCs w:val="24"/>
              </w:rPr>
              <w:t>ifestyle factors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ascii="Times New Roman" w:hAnsi="Times New Roman" w:cs="Times New Roman"/>
                <w:sz w:val="24"/>
                <w:szCs w:val="24"/>
              </w:rPr>
              <w:t>Physical activity</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&lt;EndNote&gt;&lt;Cite&gt;&lt;Author&gt;Casanova&lt;/Author&gt;&lt;Year&gt;2023&lt;/Year&gt;&lt;RecNum&gt;317&lt;/RecNum&gt;&lt;DisplayText&gt;[1]&lt;/DisplayText&gt;&lt;record&gt;&lt;rec-number&gt;317&lt;/rec-number&gt;&lt;foreign-keys&gt;&lt;key app="EN" db-id="09v05rrx7rpasyevvpmp9azwrsp2et2z9d9x" timestamp="1698909688"&gt;317&lt;/key&gt;&lt;/foreign-keys&gt;&lt;ref-type name="Journal Article"&gt;17&lt;/ref-type&gt;&lt;contributors&gt;&lt;authors&gt;&lt;author&gt;Casanova, A&lt;/author&gt;&lt;author&gt;Vives-Mestres, M&lt;/author&gt;&lt;author&gt;Donoghue, S&lt;/author&gt;&lt;author&gt;Mian, A&lt;/author&gt;&lt;author&gt;Wöber, C&lt;/author&gt;&lt;/authors&gt;&lt;/contributors&gt;&lt;titles&gt;&lt;title&gt;The role of avoiding known triggers, embracing protectors, and adhering to healthy lifestyle recommendations in migraine prophylaxis: Insights from a prospective cohort of 1125 people with episodic migraine&lt;/title&gt;&lt;secondary-title&gt;Headache&lt;/secondary-title&gt;&lt;/titles&gt;&lt;periodical&gt;&lt;full-title&gt;Headache&lt;/full-title&gt;&lt;abbr-1&gt;Headache&lt;/abbr-1&gt;&lt;/periodical&gt;&lt;pages&gt;51-61&lt;/pages&gt;&lt;volume&gt;63&lt;/volume&gt;&lt;number&gt;1&lt;/number&gt;&lt;dates&gt;&lt;year&gt;2023&lt;/year&gt;&lt;/dates&gt;&lt;accession-num&gt;36651502&lt;/accession-num&gt;&lt;label&gt;4.041&lt;/label&gt;&lt;urls&gt;&lt;/urls&gt;&lt;electronic-resource-num&gt;10.1111/head.14451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Prospective cohort study</w:t>
            </w:r>
          </w:p>
        </w:tc>
        <w:tc>
          <w:tcPr>
            <w:tcW w:w="1560" w:type="dxa"/>
          </w:tcPr>
          <w:p>
            <w:pPr>
              <w:rPr>
                <w:rFonts w:ascii="Times New Roman" w:hAnsi="Times New Roman" w:cs="Times New Roman"/>
                <w:sz w:val="24"/>
                <w:szCs w:val="24"/>
              </w:rPr>
            </w:pPr>
            <w:r>
              <w:rPr>
                <w:rFonts w:ascii="Times New Roman" w:hAnsi="Times New Roman" w:cs="Times New Roman"/>
                <w:sz w:val="24"/>
                <w:szCs w:val="24"/>
              </w:rPr>
              <w:t>1125 patients with EM</w:t>
            </w:r>
          </w:p>
        </w:tc>
        <w:tc>
          <w:tcPr>
            <w:tcW w:w="1794" w:type="dxa"/>
          </w:tcPr>
          <w:p>
            <w:pPr>
              <w:rPr>
                <w:rFonts w:ascii="Times New Roman" w:hAnsi="Times New Roman" w:cs="Times New Roman"/>
                <w:sz w:val="24"/>
                <w:szCs w:val="24"/>
              </w:rPr>
            </w:pPr>
            <w:r>
              <w:rPr>
                <w:rFonts w:ascii="Times New Roman" w:hAnsi="Times New Roman" w:cs="Times New Roman"/>
                <w:sz w:val="24"/>
                <w:szCs w:val="24"/>
              </w:rPr>
              <w:t>90 days</w:t>
            </w:r>
          </w:p>
        </w:tc>
        <w:tc>
          <w:tcPr>
            <w:tcW w:w="3167" w:type="dxa"/>
          </w:tcPr>
          <w:p>
            <w:pPr>
              <w:rPr>
                <w:rFonts w:ascii="Times New Roman" w:hAnsi="Times New Roman" w:cs="Times New Roman"/>
                <w:sz w:val="24"/>
                <w:szCs w:val="24"/>
              </w:rPr>
            </w:pPr>
            <w:r>
              <w:rPr>
                <w:rFonts w:ascii="Times New Roman" w:hAnsi="Times New Roman" w:cs="Times New Roman"/>
                <w:sz w:val="24"/>
                <w:szCs w:val="24"/>
              </w:rPr>
              <w:t>Physical activity was associated with decreased migraine attack risk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ascii="Times New Roman" w:hAnsi="Times New Roman" w:cs="Times New Roman"/>
                <w:sz w:val="24"/>
                <w:szCs w:val="24"/>
              </w:rPr>
              <w:t xml:space="preserve">Leisure screen time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&lt;EndNote&gt;&lt;Cite&gt;&lt;Author&gt;Torsheim&lt;/Author&gt;&lt;Year&gt;2010&lt;/Year&gt;&lt;RecNum&gt;318&lt;/RecNum&gt;&lt;DisplayText&gt;[2]&lt;/DisplayText&gt;&lt;record&gt;&lt;rec-number&gt;318&lt;/rec-number&gt;&lt;foreign-keys&gt;&lt;key app="EN" db-id="09v05rrx7rpasyevvpmp9azwrsp2et2z9d9x" timestamp="1698911789"&gt;318&lt;/key&gt;&lt;/foreign-keys&gt;&lt;ref-type name="Journal Article"&gt;17&lt;/ref-type&gt;&lt;contributors&gt;&lt;authors&gt;&lt;author&gt;Torsheim, Torbjørn&lt;/author&gt;&lt;author&gt;Eriksson, Lilly&lt;/author&gt;&lt;author&gt;Schnohr, Christina W.&lt;/author&gt;&lt;author&gt;Hansen, Fredrik&lt;/author&gt;&lt;author&gt;Bjarnason, Thoroddur&lt;/author&gt;&lt;author&gt;Välimaa, Raili&lt;/author&gt;&lt;/authors&gt;&lt;/contributors&gt;&lt;titles&gt;&lt;title&gt;Screen-based activities and physical complaints among adolescents from the Nordic countries&lt;/title&gt;&lt;secondary-title&gt;BMC Public Health&lt;/secondary-title&gt;&lt;/titles&gt;&lt;periodical&gt;&lt;full-title&gt;BMC Public Health&lt;/full-title&gt;&lt;/periodical&gt;&lt;pages&gt;324&lt;/pages&gt;&lt;volume&gt;10&lt;/volume&gt;&lt;number&gt;1&lt;/number&gt;&lt;dates&gt;&lt;year&gt;2010&lt;/year&gt;&lt;pub-dates&gt;&lt;date&gt;2010/06/09&lt;/date&gt;&lt;/pub-dates&gt;&lt;/dates&gt;&lt;isbn&gt;1471-2458&lt;/isbn&gt;&lt;urls&gt;&lt;related-urls&gt;&lt;url&gt;https://doi.org/10.1186/1471-2458-10-324&lt;/url&gt;&lt;/related-urls&gt;&lt;/urls&gt;&lt;electronic-resource-num&gt;10.1186/1471-2458-10-324&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Cross-sectional study</w:t>
            </w:r>
          </w:p>
        </w:tc>
        <w:tc>
          <w:tcPr>
            <w:tcW w:w="1560" w:type="dxa"/>
          </w:tcPr>
          <w:p>
            <w:pPr>
              <w:rPr>
                <w:rFonts w:ascii="Times New Roman" w:hAnsi="Times New Roman" w:cs="Times New Roman"/>
                <w:sz w:val="24"/>
                <w:szCs w:val="24"/>
              </w:rPr>
            </w:pPr>
            <w:r>
              <w:rPr>
                <w:rFonts w:ascii="Times New Roman" w:hAnsi="Times New Roman" w:cs="Times New Roman"/>
                <w:sz w:val="24"/>
                <w:szCs w:val="24"/>
              </w:rPr>
              <w:t>31,022 adolescents</w:t>
            </w:r>
          </w:p>
        </w:tc>
        <w:tc>
          <w:tcPr>
            <w:tcW w:w="1794" w:type="dxa"/>
          </w:tcPr>
          <w:p>
            <w:pPr>
              <w:rPr>
                <w:rFonts w:ascii="Times New Roman" w:hAnsi="Times New Roman" w:cs="Times New Roman"/>
                <w:sz w:val="24"/>
                <w:szCs w:val="24"/>
              </w:rPr>
            </w:pPr>
            <w:r>
              <w:rPr>
                <w:rFonts w:ascii="Times New Roman" w:hAnsi="Times New Roman" w:cs="Times New Roman"/>
                <w:sz w:val="24"/>
                <w:szCs w:val="24"/>
              </w:rPr>
              <w:t>NA</w:t>
            </w:r>
          </w:p>
        </w:tc>
        <w:tc>
          <w:tcPr>
            <w:tcW w:w="3167" w:type="dxa"/>
          </w:tcPr>
          <w:p>
            <w:pPr>
              <w:rPr>
                <w:rFonts w:ascii="Times New Roman" w:hAnsi="Times New Roman" w:cs="Times New Roman"/>
                <w:sz w:val="24"/>
                <w:szCs w:val="24"/>
              </w:rPr>
            </w:pPr>
            <w:r>
              <w:rPr>
                <w:rFonts w:ascii="Times New Roman" w:hAnsi="Times New Roman" w:cs="Times New Roman"/>
                <w:sz w:val="24"/>
                <w:szCs w:val="24"/>
              </w:rPr>
              <w:t>After adjusting for age, socioeconomic status, depressed mood, school-related stress, and physical activity, regression analyses showed that computer use, computer games, and TV viewing increased the risk of headaches.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ascii="Times New Roman" w:hAnsi="Times New Roman" w:cs="Times New Roman"/>
                <w:sz w:val="24"/>
                <w:szCs w:val="24"/>
              </w:rPr>
              <w:t xml:space="preserve">Sleep disorder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&lt;EndNote&gt;&lt;Cite&gt;&lt;Author&gt;Kim&lt;/Author&gt;&lt;Year&gt;2018&lt;/Year&gt;&lt;RecNum&gt;319&lt;/RecNum&gt;&lt;DisplayText&gt;[3]&lt;/DisplayText&gt;&lt;record&gt;&lt;rec-number&gt;319&lt;/rec-number&gt;&lt;foreign-keys&gt;&lt;key app="EN" db-id="09v05rrx7rpasyevvpmp9azwrsp2et2z9d9x" timestamp="1698914007"&gt;319&lt;/key&gt;&lt;/foreign-keys&gt;&lt;ref-type name="Journal Article"&gt;17&lt;/ref-type&gt;&lt;contributors&gt;&lt;authors&gt;&lt;author&gt;Kim, Seung Ju&lt;/author&gt;&lt;author&gt;Han, Kyu-Tae&lt;/author&gt;&lt;author&gt;Jang, Suk-Yong&lt;/author&gt;&lt;author&gt;Yoo, Ki-Bong&lt;/author&gt;&lt;author&gt;Kim, Sun Jung&lt;/author&gt;&lt;/authors&gt;&lt;/contributors&gt;&lt;titles&gt;&lt;title&gt;The Association between Migraine and Types of Sleep Disorder&lt;/title&gt;&lt;secondary-title&gt;International Journal of Environmental Research and Public Health&lt;/secondary-title&gt;&lt;/titles&gt;&lt;periodical&gt;&lt;full-title&gt;International Journal of Environmental Research and Public Health&lt;/full-title&gt;&lt;/periodical&gt;&lt;pages&gt;2648&lt;/pages&gt;&lt;volume&gt;15&lt;/volume&gt;&lt;number&gt;12&lt;/number&gt;&lt;dates&gt;&lt;year&gt;2018&lt;/year&gt;&lt;/dates&gt;&lt;isbn&gt;1660-4601&lt;/isbn&gt;&lt;accession-num&gt;doi:10.3390/ijerph15122648&lt;/accession-num&gt;&lt;urls&gt;&lt;related-urls&gt;&lt;url&gt;https://www.mdpi.com/1660-4601/15/12/2648&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Retrospective cohort study</w:t>
            </w:r>
          </w:p>
        </w:tc>
        <w:tc>
          <w:tcPr>
            <w:tcW w:w="1560" w:type="dxa"/>
          </w:tcPr>
          <w:p>
            <w:pPr>
              <w:rPr>
                <w:rFonts w:ascii="Times New Roman" w:hAnsi="Times New Roman" w:cs="Times New Roman"/>
                <w:sz w:val="24"/>
                <w:szCs w:val="24"/>
              </w:rPr>
            </w:pPr>
            <w:r>
              <w:rPr>
                <w:rFonts w:ascii="Times New Roman" w:hAnsi="Times New Roman" w:cs="Times New Roman"/>
                <w:sz w:val="24"/>
                <w:szCs w:val="24"/>
              </w:rPr>
              <w:t>133,262 subjects</w:t>
            </w:r>
          </w:p>
        </w:tc>
        <w:tc>
          <w:tcPr>
            <w:tcW w:w="1794" w:type="dxa"/>
          </w:tcPr>
          <w:p>
            <w:pPr>
              <w:rPr>
                <w:rFonts w:ascii="Times New Roman" w:hAnsi="Times New Roman" w:cs="Times New Roman"/>
                <w:sz w:val="24"/>
                <w:szCs w:val="24"/>
              </w:rPr>
            </w:pPr>
            <w:r>
              <w:rPr>
                <w:rFonts w:ascii="Times New Roman" w:hAnsi="Times New Roman" w:cs="Times New Roman"/>
                <w:sz w:val="24"/>
                <w:szCs w:val="24"/>
              </w:rPr>
              <w:t>3 years</w:t>
            </w:r>
          </w:p>
        </w:tc>
        <w:tc>
          <w:tcPr>
            <w:tcW w:w="3167" w:type="dxa"/>
          </w:tcPr>
          <w:p>
            <w:pPr>
              <w:rPr>
                <w:rFonts w:ascii="Times New Roman" w:hAnsi="Times New Roman" w:cs="Times New Roman"/>
                <w:sz w:val="24"/>
                <w:szCs w:val="24"/>
              </w:rPr>
            </w:pPr>
            <w:r>
              <w:rPr>
                <w:rFonts w:ascii="Times New Roman" w:hAnsi="Times New Roman" w:cs="Times New Roman"/>
                <w:sz w:val="24"/>
                <w:szCs w:val="24"/>
              </w:rPr>
              <w:t>A survival analysis using a Cox proportional risk model with time-dependent covariates showed that sleep disorders were positively associated with the diagnosis of migraine (hazard ratio, 1.591).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ascii="Times New Roman" w:hAnsi="Times New Roman" w:cs="Times New Roman"/>
                <w:sz w:val="24"/>
                <w:szCs w:val="24"/>
              </w:rPr>
              <w:t xml:space="preserve">Smoking and drink behavior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&lt;EndNote&gt;&lt;Cite&gt;&lt;Author&gt;Aamodt&lt;/Author&gt;&lt;Year&gt;2006&lt;/Year&gt;&lt;RecNum&gt;289&lt;/RecNum&gt;&lt;DisplayText&gt;[4]&lt;/DisplayText&gt;&lt;record&gt;&lt;rec-number&gt;289&lt;/rec-number&gt;&lt;foreign-keys&gt;&lt;key app="EN" db-id="09v05rrx7rpasyevvpmp9azwrsp2et2z9d9x" timestamp="1697811254"&gt;289&lt;/key&gt;&lt;/foreign-keys&gt;&lt;ref-type name="Journal Article"&gt;17&lt;/ref-type&gt;&lt;contributors&gt;&lt;authors&gt;&lt;author&gt;Aamodt, A. H.&lt;/author&gt;&lt;author&gt;Stovner, L. J.&lt;/author&gt;&lt;author&gt;Hagen, K.&lt;/author&gt;&lt;author&gt;Bråthen, G.&lt;/author&gt;&lt;author&gt;Zwart, J.&lt;/author&gt;&lt;/authors&gt;&lt;/contributors&gt;&lt;auth-address&gt;Norwegian National Headache Centre, Trondheim University Hospital, Trondheim, Norway. anne.hege.aamodt@ntnu.no&lt;/auth-address&gt;&lt;titles&gt;&lt;title&gt;Headache prevalence related to smoking and alcohol use. The Head-HUNT Study&lt;/title&gt;&lt;secondary-title&gt;Eur J Neurol&lt;/secondary-title&gt;&lt;alt-title&gt;European journal of neurology&lt;/alt-title&gt;&lt;/titles&gt;&lt;alt-periodical&gt;&lt;full-title&gt;European journal of neurology&lt;/full-title&gt;&lt;/alt-periodical&gt;&lt;pages&gt;1233-8&lt;/pages&gt;&lt;volume&gt;13&lt;/volume&gt;&lt;number&gt;11&lt;/number&gt;&lt;edition&gt;2006/10/14&lt;/edition&gt;&lt;keywords&gt;&lt;keyword&gt;Adult&lt;/keyword&gt;&lt;keyword&gt;Age Distribution&lt;/keyword&gt;&lt;keyword&gt;Aged&lt;/keyword&gt;&lt;keyword&gt;*Alcohol Drinking&lt;/keyword&gt;&lt;keyword&gt;Alcoholism/physiopathology&lt;/keyword&gt;&lt;keyword&gt;Cross-Sectional Studies&lt;/keyword&gt;&lt;keyword&gt;Female&lt;/keyword&gt;&lt;keyword&gt;Headache/*epidemiology&lt;/keyword&gt;&lt;keyword&gt;Humans&lt;/keyword&gt;&lt;keyword&gt;Male&lt;/keyword&gt;&lt;keyword&gt;Middle Aged&lt;/keyword&gt;&lt;keyword&gt;Migraine Disorders/epidemiology&lt;/keyword&gt;&lt;keyword&gt;Prevalence&lt;/keyword&gt;&lt;keyword&gt;Severity of Illness Index&lt;/keyword&gt;&lt;keyword&gt;*Smoking&lt;/keyword&gt;&lt;keyword&gt;Surveys and Questionnaires&lt;/keyword&gt;&lt;keyword&gt;Temperance&lt;/keyword&gt;&lt;keyword&gt;Tobacco Smoke Pollution&lt;/keyword&gt;&lt;/keywords&gt;&lt;dates&gt;&lt;year&gt;2006&lt;/year&gt;&lt;pub-dates&gt;&lt;date&gt;Nov&lt;/date&gt;&lt;/pub-dates&gt;&lt;/dates&gt;&lt;isbn&gt;1351-5101&lt;/isbn&gt;&lt;accession-num&gt;17038038&lt;/accession-num&gt;&lt;urls&gt;&lt;/urls&gt;&lt;electronic-resource-num&gt;10.1111/j.1468-1331.2006.01492.x&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Cross-sectional study</w:t>
            </w:r>
          </w:p>
        </w:tc>
        <w:tc>
          <w:tcPr>
            <w:tcW w:w="1560" w:type="dxa"/>
          </w:tcPr>
          <w:p>
            <w:pPr>
              <w:rPr>
                <w:rFonts w:ascii="Times New Roman" w:hAnsi="Times New Roman" w:cs="Times New Roman"/>
                <w:sz w:val="24"/>
                <w:szCs w:val="24"/>
              </w:rPr>
            </w:pPr>
            <w:r>
              <w:rPr>
                <w:rFonts w:ascii="Times New Roman" w:hAnsi="Times New Roman" w:cs="Times New Roman"/>
                <w:sz w:val="24"/>
                <w:szCs w:val="24"/>
              </w:rPr>
              <w:t>51,383 subjects</w:t>
            </w:r>
          </w:p>
        </w:tc>
        <w:tc>
          <w:tcPr>
            <w:tcW w:w="1794" w:type="dxa"/>
          </w:tcPr>
          <w:p>
            <w:pPr>
              <w:rPr>
                <w:rFonts w:ascii="Times New Roman" w:hAnsi="Times New Roman" w:cs="Times New Roman"/>
                <w:sz w:val="24"/>
                <w:szCs w:val="24"/>
              </w:rPr>
            </w:pPr>
            <w:r>
              <w:rPr>
                <w:rFonts w:ascii="Times New Roman" w:hAnsi="Times New Roman" w:cs="Times New Roman"/>
                <w:sz w:val="24"/>
                <w:szCs w:val="24"/>
              </w:rPr>
              <w:t>NA</w:t>
            </w:r>
          </w:p>
        </w:tc>
        <w:tc>
          <w:tcPr>
            <w:tcW w:w="3167" w:type="dxa"/>
          </w:tcPr>
          <w:p>
            <w:pPr>
              <w:rPr>
                <w:rFonts w:ascii="Times New Roman" w:hAnsi="Times New Roman" w:cs="Times New Roman"/>
                <w:color w:val="000000"/>
                <w:sz w:val="24"/>
                <w:szCs w:val="24"/>
              </w:rPr>
            </w:pPr>
            <w:r>
              <w:rPr>
                <w:rFonts w:ascii="Times New Roman" w:hAnsi="Times New Roman" w:cs="Times New Roman"/>
                <w:color w:val="000000"/>
                <w:sz w:val="24"/>
                <w:szCs w:val="24"/>
              </w:rPr>
              <w:t>After adjusting for sex, age, and education, an unit of alcohol  consumption associated with 20% decreasing prevalence of migraine (OR 0.8, 95%CI 0.7-0.9), and slightly higher</w:t>
            </w:r>
          </w:p>
          <w:p>
            <w:pPr>
              <w:rPr>
                <w:rFonts w:ascii="Times New Roman" w:hAnsi="Times New Roman" w:cs="Times New Roman"/>
                <w:color w:val="000000"/>
                <w:sz w:val="24"/>
                <w:szCs w:val="24"/>
              </w:rPr>
            </w:pPr>
            <w:r>
              <w:rPr>
                <w:rFonts w:ascii="Times New Roman" w:hAnsi="Times New Roman" w:cs="Times New Roman"/>
                <w:color w:val="000000"/>
                <w:sz w:val="24"/>
                <w:szCs w:val="24"/>
              </w:rPr>
              <w:t>headache prevalence OR amongst never smokers exposed to passive smoking compared with those not</w:t>
            </w:r>
          </w:p>
          <w:p>
            <w:pPr>
              <w:rPr>
                <w:rFonts w:ascii="Times New Roman" w:hAnsi="Times New Roman" w:cs="Times New Roman"/>
                <w:color w:val="000000"/>
                <w:sz w:val="24"/>
                <w:szCs w:val="24"/>
              </w:rPr>
            </w:pPr>
            <w:r>
              <w:rPr>
                <w:rFonts w:ascii="Times New Roman" w:hAnsi="Times New Roman" w:cs="Times New Roman"/>
                <w:color w:val="000000"/>
                <w:sz w:val="24"/>
                <w:szCs w:val="24"/>
              </w:rPr>
              <w:t>exposed to passive smoking (OR 1.4, 95%CI 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ascii="Times New Roman" w:hAnsi="Times New Roman" w:cs="Times New Roman"/>
                <w:sz w:val="24"/>
                <w:szCs w:val="24"/>
              </w:rPr>
              <w:t xml:space="preserve">Coffee intake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&lt;EndNote&gt;&lt;Cite&gt;&lt;Author&gt;Lee&lt;/Author&gt;&lt;Year&gt;2016&lt;/Year&gt;&lt;RecNum&gt;321&lt;/RecNum&gt;&lt;DisplayText&gt;[5]&lt;/DisplayText&gt;&lt;record&gt;&lt;rec-number&gt;321&lt;/rec-number&gt;&lt;foreign-keys&gt;&lt;key app="EN" db-id="09v05rrx7rpasyevvpmp9azwrsp2et2z9d9x" timestamp="1698919211"&gt;321&lt;/key&gt;&lt;/foreign-keys&gt;&lt;ref-type name="Journal Article"&gt;17&lt;/ref-type&gt;&lt;contributors&gt;&lt;authors&gt;&lt;author&gt;Lee, Mi Ji&lt;/author&gt;&lt;author&gt;Choi, Hyun Ah&lt;/author&gt;&lt;author&gt;Choi, Hanna&lt;/author&gt;&lt;author&gt;Chung, Chin-Sang&lt;/author&gt;&lt;/authors&gt;&lt;/contributors&gt;&lt;titles&gt;&lt;title&gt;Caffeine discontinuation improves acute migraine treatment: a prospective clinic-based study&lt;/title&gt;&lt;secondary-title&gt;The Journal of Headache and Pain&lt;/secondary-title&gt;&lt;/titles&gt;&lt;periodical&gt;&lt;full-title&gt;The journal of headache and pain&lt;/full-title&gt;&lt;/periodical&gt;&lt;pages&gt;71&lt;/pages&gt;&lt;volume&gt;17&lt;/volume&gt;&lt;number&gt;1&lt;/number&gt;&lt;dates&gt;&lt;year&gt;2016&lt;/year&gt;&lt;pub-dates&gt;&lt;date&gt;2016/08/05&lt;/date&gt;&lt;/pub-dates&gt;&lt;/dates&gt;&lt;isbn&gt;1129-2377&lt;/isbn&gt;&lt;urls&gt;&lt;related-urls&gt;&lt;url&gt;https://doi.org/10.1186/s10194-016-0662-5&lt;/url&gt;&lt;/related-urls&gt;&lt;/urls&gt;&lt;electronic-resource-num&gt;10.1186/s10194-016-0662-5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Prospective cohort study</w:t>
            </w:r>
          </w:p>
        </w:tc>
        <w:tc>
          <w:tcPr>
            <w:tcW w:w="1560" w:type="dxa"/>
          </w:tcPr>
          <w:p>
            <w:pPr>
              <w:rPr>
                <w:rFonts w:ascii="Times New Roman" w:hAnsi="Times New Roman" w:cs="Times New Roman"/>
                <w:sz w:val="24"/>
                <w:szCs w:val="24"/>
              </w:rPr>
            </w:pPr>
            <w:r>
              <w:rPr>
                <w:rFonts w:ascii="Times New Roman" w:hAnsi="Times New Roman" w:cs="Times New Roman"/>
                <w:sz w:val="24"/>
                <w:szCs w:val="24"/>
              </w:rPr>
              <w:t>108 migraine patients who consumed caffeine drinks daily</w:t>
            </w:r>
          </w:p>
        </w:tc>
        <w:tc>
          <w:tcPr>
            <w:tcW w:w="1794" w:type="dxa"/>
          </w:tcPr>
          <w:p>
            <w:pPr>
              <w:rPr>
                <w:rFonts w:ascii="Times New Roman" w:hAnsi="Times New Roman" w:cs="Times New Roman"/>
                <w:sz w:val="24"/>
                <w:szCs w:val="24"/>
              </w:rPr>
            </w:pPr>
            <w:r>
              <w:rPr>
                <w:rFonts w:ascii="Times New Roman" w:hAnsi="Times New Roman" w:cs="Times New Roman"/>
                <w:sz w:val="24"/>
                <w:szCs w:val="24"/>
              </w:rPr>
              <w:t>1-month</w:t>
            </w:r>
          </w:p>
        </w:tc>
        <w:tc>
          <w:tcPr>
            <w:tcW w:w="3167" w:type="dxa"/>
          </w:tcPr>
          <w:p>
            <w:pPr>
              <w:rPr>
                <w:rFonts w:ascii="Times New Roman" w:hAnsi="Times New Roman" w:cs="Times New Roman"/>
                <w:sz w:val="24"/>
                <w:szCs w:val="24"/>
              </w:rPr>
            </w:pPr>
            <w:r>
              <w:rPr>
                <w:rFonts w:ascii="Times New Roman" w:hAnsi="Times New Roman" w:cs="Times New Roman"/>
                <w:sz w:val="24"/>
                <w:szCs w:val="24"/>
              </w:rPr>
              <w:t>After controlling for chronic migraine, BMI, allodynia, depression, anxiety, antiemetic use, different triptans, and use of prophylactic medication, multivariable logistic regression model shown that caffeine abstinence was independently associated with an excellent efficacy of acute treatment (OR 3.2, 95%CI 1.2–8.4)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ascii="Times New Roman" w:hAnsi="Times New Roman" w:cs="Times New Roman"/>
                <w:sz w:val="24"/>
                <w:szCs w:val="24"/>
              </w:rPr>
              <w:t xml:space="preserve">Affective disorders </w:t>
            </w:r>
            <w:r>
              <w:rPr>
                <w:rFonts w:ascii="Times New Roman" w:hAnsi="Times New Roman" w:cs="Times New Roman"/>
                <w:sz w:val="24"/>
                <w:szCs w:val="24"/>
              </w:rPr>
              <w:fldChar w:fldCharType="begin">
                <w:fldData xml:space="preserve">PEVuZE5vdGU+PENpdGU+PEF1dGhvcj5QZXJlczwvQXV0aG9yPjxZZWFyPjIwMTc8L1llYXI+PFJl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PEVuZE5vdGU+PENpdGU+PEF1dGhvcj5QZXJlczwvQXV0aG9yPjxZZWFyPjIwMTc8L1llYXI+PFJl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bookmarkStart w:id="0" w:name="OLE_LINK1"/>
            <w:r>
              <w:rPr>
                <w:rFonts w:ascii="Times New Roman" w:hAnsi="Times New Roman" w:cs="Times New Roman"/>
                <w:sz w:val="24"/>
                <w:szCs w:val="24"/>
              </w:rPr>
              <w:t>Cross-sectional study</w:t>
            </w:r>
            <w:bookmarkEnd w:id="0"/>
          </w:p>
        </w:tc>
        <w:tc>
          <w:tcPr>
            <w:tcW w:w="1560" w:type="dxa"/>
          </w:tcPr>
          <w:p>
            <w:pPr>
              <w:rPr>
                <w:rFonts w:ascii="Times New Roman" w:hAnsi="Times New Roman" w:cs="Times New Roman"/>
                <w:sz w:val="24"/>
                <w:szCs w:val="24"/>
              </w:rPr>
            </w:pPr>
            <w:r>
              <w:rPr>
                <w:rFonts w:ascii="Times New Roman" w:hAnsi="Times New Roman" w:cs="Times New Roman"/>
                <w:sz w:val="24"/>
                <w:szCs w:val="24"/>
              </w:rPr>
              <w:t>782 subjects</w:t>
            </w:r>
          </w:p>
        </w:tc>
        <w:tc>
          <w:tcPr>
            <w:tcW w:w="1794" w:type="dxa"/>
          </w:tcPr>
          <w:p>
            <w:pPr>
              <w:rPr>
                <w:rFonts w:ascii="Times New Roman" w:hAnsi="Times New Roman" w:cs="Times New Roman"/>
                <w:sz w:val="24"/>
                <w:szCs w:val="24"/>
              </w:rPr>
            </w:pPr>
            <w:r>
              <w:rPr>
                <w:rFonts w:ascii="Times New Roman" w:hAnsi="Times New Roman" w:cs="Times New Roman"/>
                <w:sz w:val="24"/>
                <w:szCs w:val="24"/>
              </w:rPr>
              <w:t>NA</w:t>
            </w:r>
          </w:p>
        </w:tc>
        <w:tc>
          <w:tcPr>
            <w:tcW w:w="3167" w:type="dxa"/>
          </w:tcPr>
          <w:p>
            <w:pPr>
              <w:rPr>
                <w:rFonts w:ascii="Times New Roman" w:hAnsi="Times New Roman" w:cs="Times New Roman"/>
                <w:sz w:val="24"/>
                <w:szCs w:val="24"/>
              </w:rPr>
            </w:pPr>
            <w:r>
              <w:rPr>
                <w:rFonts w:ascii="Times New Roman" w:hAnsi="Times New Roman" w:cs="Times New Roman"/>
                <w:sz w:val="24"/>
                <w:szCs w:val="24"/>
              </w:rPr>
              <w:t>The leading OR observed in the migraine patients  relative to those without migraine were anxiety related, “Not being able to stop or control worrying” on a daily basis (OR 49.2, 95%CI   13.6–178.2), “trouble relaxing” (25.7, 7.1–92.6), “Feeling nervous, anxious or on edge” on a daily basis (25.4, 6.8–93.8), and “worrying too much about different things” (24.4, 7.6–77.6). Irritability had a significant increase in migraine risk (OR 3.8, 95%CI 1.9–7.8)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9" w:type="dxa"/>
            <w:gridSpan w:val="5"/>
          </w:tcPr>
          <w:p>
            <w:pPr>
              <w:rPr>
                <w:rFonts w:ascii="Times New Roman" w:hAnsi="Times New Roman" w:cs="Times New Roman"/>
                <w:b/>
                <w:bCs/>
                <w:sz w:val="24"/>
                <w:szCs w:val="24"/>
              </w:rPr>
            </w:pPr>
            <w:r>
              <w:rPr>
                <w:rFonts w:hint="eastAsia" w:ascii="Times New Roman" w:hAnsi="Times New Roman" w:cs="Times New Roman"/>
                <w:b/>
                <w:bCs/>
                <w:sz w:val="24"/>
                <w:szCs w:val="24"/>
              </w:rPr>
              <w:t>M</w:t>
            </w:r>
            <w:r>
              <w:rPr>
                <w:rFonts w:ascii="Times New Roman" w:hAnsi="Times New Roman" w:cs="Times New Roman"/>
                <w:b/>
                <w:bCs/>
                <w:sz w:val="24"/>
                <w:szCs w:val="24"/>
              </w:rPr>
              <w:t>ediators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27" w:type="dxa"/>
          </w:tcPr>
          <w:p>
            <w:pPr>
              <w:rPr>
                <w:rFonts w:ascii="Times New Roman" w:hAnsi="Times New Roman" w:cs="Times New Roman"/>
                <w:sz w:val="24"/>
                <w:szCs w:val="24"/>
              </w:rPr>
            </w:pPr>
            <w:r>
              <w:rPr>
                <w:rFonts w:hint="eastAsia" w:ascii="Times New Roman" w:hAnsi="Times New Roman" w:cs="Times New Roman"/>
                <w:sz w:val="24"/>
                <w:szCs w:val="24"/>
              </w:rPr>
              <w:t>Vitamins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&lt;EndNote&gt;&lt;Cite&gt;&lt;Author&gt;Bahrampour&lt;/Author&gt;&lt;Year&gt;2022&lt;/Year&gt;&lt;RecNum&gt;274&lt;/RecNum&gt;&lt;DisplayText&gt;[7]&lt;/DisplayText&gt;&lt;record&gt;&lt;rec-number&gt;274&lt;/rec-number&gt;&lt;foreign-keys&gt;&lt;key app="EN" db-id="w00eaw5r022t01erwrq5ea0h25rvv5depx0d" timestamp="1702017324"&gt;274&lt;/key&gt;&lt;/foreign-keys&gt;&lt;ref-type name="Journal Article"&gt;17&lt;/ref-type&gt;&lt;contributors&gt;&lt;authors&gt;&lt;author&gt;Bahrampour, N&lt;/author&gt;&lt;author&gt;Mirzababaei, A&lt;/author&gt;&lt;author&gt;Yarizadeh, H&lt;/author&gt;&lt;author&gt;Barekzai, AM&lt;/author&gt;&lt;author&gt;Khorsha, F&lt;/author&gt;&lt;author&gt;Clark, CCT&lt;/author&gt;&lt;author&gt;Mirzaei, K&lt;/author&gt;&lt;/authors&gt;&lt;/contributors&gt;&lt;titles&gt;&lt;title&gt;The relationship between dietary nutrients patterns and intensity and duration of migraine headaches&lt;/title&gt;&lt;secondary-title&gt;The British journal of nutrition&lt;/secondary-title&gt;&lt;/titles&gt;&lt;periodical&gt;&lt;full-title&gt;The British journal of nutrition&lt;/full-title&gt;&lt;/periodical&gt;&lt;pages&gt;1-8&lt;/pages&gt;&lt;dates&gt;&lt;year&gt;2022&lt;/year&gt;&lt;/dates&gt;&lt;accession-num&gt;35034669&lt;/accession-num&gt;&lt;label&gt;3.334&lt;/label&gt;&lt;urls&gt;&lt;/urls&gt;&lt;electronic-resource-num&gt;10.1017/s0007114522000046&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Cross-sectional study</w:t>
            </w:r>
          </w:p>
        </w:tc>
        <w:tc>
          <w:tcPr>
            <w:tcW w:w="1560" w:type="dxa"/>
          </w:tcPr>
          <w:p>
            <w:pPr>
              <w:rPr>
                <w:rFonts w:ascii="Times New Roman" w:hAnsi="Times New Roman" w:cs="Times New Roman"/>
                <w:sz w:val="24"/>
                <w:szCs w:val="24"/>
              </w:rPr>
            </w:pPr>
            <w:r>
              <w:rPr>
                <w:rFonts w:hint="eastAsia" w:ascii="Times New Roman" w:hAnsi="Times New Roman" w:cs="Times New Roman"/>
                <w:sz w:val="24"/>
                <w:szCs w:val="24"/>
              </w:rPr>
              <w:t>266 women</w:t>
            </w:r>
          </w:p>
        </w:tc>
        <w:tc>
          <w:tcPr>
            <w:tcW w:w="1794" w:type="dxa"/>
          </w:tcPr>
          <w:p>
            <w:pPr>
              <w:rPr>
                <w:rFonts w:ascii="Times New Roman" w:hAnsi="Times New Roman" w:cs="Times New Roman"/>
                <w:sz w:val="24"/>
                <w:szCs w:val="24"/>
              </w:rPr>
            </w:pPr>
            <w:r>
              <w:rPr>
                <w:rFonts w:ascii="Times New Roman" w:hAnsi="Times New Roman" w:cs="Times New Roman"/>
                <w:sz w:val="24"/>
                <w:szCs w:val="24"/>
              </w:rPr>
              <w:t>NA</w:t>
            </w:r>
          </w:p>
        </w:tc>
        <w:tc>
          <w:tcPr>
            <w:tcW w:w="3167" w:type="dxa"/>
          </w:tcPr>
          <w:p>
            <w:pPr>
              <w:rPr>
                <w:rFonts w:ascii="Times New Roman" w:hAnsi="Times New Roman" w:cs="Times New Roman"/>
                <w:sz w:val="24"/>
                <w:szCs w:val="24"/>
              </w:rPr>
            </w:pPr>
            <w:r>
              <w:rPr>
                <w:rFonts w:hint="eastAsia" w:ascii="Times New Roman" w:hAnsi="Times New Roman" w:cs="Times New Roman"/>
                <w:sz w:val="24"/>
                <w:szCs w:val="24"/>
              </w:rPr>
              <w:t xml:space="preserve">After adjusting for age, physical activity, BMI, education, marital status and job, dietary pattern (vitamin B1, carbohydrate, vitamin B3, vitamin B9, protein and total fibre) was associated with the intensity of migraine  (β 0.37; 95%CI, 0.13-0.61; </w:t>
            </w:r>
            <w:r>
              <w:rPr>
                <w:rFonts w:hint="eastAsia" w:ascii="Times New Roman" w:hAnsi="Times New Roman" w:cs="Times New Roman"/>
                <w:i/>
                <w:iCs/>
                <w:sz w:val="24"/>
                <w:szCs w:val="24"/>
              </w:rPr>
              <w:t>P</w:t>
            </w:r>
            <w:r>
              <w:rPr>
                <w:rFonts w:hint="eastAsia" w:ascii="Times New Roman" w:hAnsi="Times New Roman" w:cs="Times New Roman"/>
                <w:sz w:val="24"/>
                <w:szCs w:val="24"/>
              </w:rPr>
              <w:t xml:space="preserve">-value &lt; 0.001), nutrient pattern (Ca, vitamin A, vitamin K, vitamin C, vitamin B6, vitamin B2 and Mg) was negatively related with migraine disability (β –3·14; 95 % CI, -5.47~-0.81; </w:t>
            </w:r>
            <w:r>
              <w:rPr>
                <w:rFonts w:hint="eastAsia" w:ascii="Times New Roman" w:hAnsi="Times New Roman" w:cs="Times New Roman"/>
                <w:i/>
                <w:iCs/>
                <w:sz w:val="24"/>
                <w:szCs w:val="24"/>
              </w:rPr>
              <w:t>P</w:t>
            </w:r>
            <w:r>
              <w:rPr>
                <w:rFonts w:hint="eastAsia" w:ascii="Times New Roman" w:hAnsi="Times New Roman" w:cs="Times New Roman"/>
                <w:sz w:val="24"/>
                <w:szCs w:val="24"/>
              </w:rPr>
              <w:t xml:space="preserve">-value = 0.01), and a significant positive association between vitamin D and B12 and headache duration (β1.89; 95 %CI;0.49-3.29, </w:t>
            </w:r>
            <w:r>
              <w:rPr>
                <w:rFonts w:hint="eastAsia" w:ascii="Times New Roman" w:hAnsi="Times New Roman" w:cs="Times New Roman"/>
                <w:i/>
                <w:iCs/>
                <w:sz w:val="24"/>
                <w:szCs w:val="24"/>
              </w:rPr>
              <w:t>P</w:t>
            </w:r>
            <w:r>
              <w:rPr>
                <w:rFonts w:hint="eastAsia" w:ascii="Times New Roman" w:hAnsi="Times New Roman" w:cs="Times New Roman"/>
                <w:sz w:val="24"/>
                <w:szCs w:val="24"/>
              </w:rPr>
              <w:t>-value = 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hint="eastAsia" w:ascii="Times New Roman" w:hAnsi="Times New Roman" w:cs="Times New Roman"/>
                <w:sz w:val="24"/>
                <w:szCs w:val="24"/>
              </w:rPr>
              <w:t>O</w:t>
            </w:r>
            <w:r>
              <w:rPr>
                <w:rFonts w:ascii="Times New Roman" w:hAnsi="Times New Roman" w:cs="Times New Roman"/>
                <w:sz w:val="24"/>
                <w:szCs w:val="24"/>
              </w:rPr>
              <w:t xml:space="preserve">besity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&lt;EndNote&gt;&lt;Cite&gt;&lt;Author&gt;Zloof&lt;/Author&gt;&lt;Year&gt;2023&lt;/Year&gt;&lt;RecNum&gt;312&lt;/RecNum&gt;&lt;DisplayText&gt;[8]&lt;/DisplayText&gt;&lt;record&gt;&lt;rec-number&gt;312&lt;/rec-number&gt;&lt;foreign-keys&gt;&lt;key app="EN" db-id="09v05rrx7rpasyevvpmp9azwrsp2et2z9d9x" timestamp="1698895508"&gt;312&lt;/key&gt;&lt;/foreign-keys&gt;&lt;ref-type name="Journal Article"&gt;17&lt;/ref-type&gt;&lt;contributors&gt;&lt;authors&gt;&lt;author&gt;Zloof, Y&lt;/author&gt;&lt;author&gt;Tsur, AM&lt;/author&gt;&lt;author&gt;Simchoni, M&lt;/author&gt;&lt;author&gt;Derazne, E&lt;/author&gt;&lt;author&gt;Tzur, D&lt;/author&gt;&lt;author&gt;Honig, A&lt;/author&gt;&lt;author&gt;Braun, M&lt;/author&gt;&lt;author&gt;Ganelin-Cohen, E&lt;/author&gt;&lt;author&gt;Amarilyo, G&lt;/author&gt;&lt;author&gt;Pinhas-Hamiel, O&lt;/author&gt;&lt;author&gt;Afek, A&lt;/author&gt;&lt;author&gt;Twig, G&lt;/author&gt;&lt;/authors&gt;&lt;/contributors&gt;&lt;titles&gt;&lt;title&gt;Body mass index and migraine in adolescence: A nationwide study&lt;/title&gt;&lt;secondary-title&gt;Cephalalgia : an international journal of headache&lt;/secondary-title&gt;&lt;/titles&gt;&lt;periodical&gt;&lt;full-title&gt;Cephalalgia : an international journal of headache&lt;/full-title&gt;&lt;/periodical&gt;&lt;pages&gt;3331024231209309&lt;/pages&gt;&lt;volume&gt;43&lt;/volume&gt;&lt;number&gt;10&lt;/number&gt;&lt;dates&gt;&lt;year&gt;2023&lt;/year&gt;&lt;/dates&gt;&lt;accession-num&gt;37882650&lt;/accession-num&gt;&lt;label&gt;4.868&lt;/label&gt;&lt;urls&gt;&lt;/urls&gt;&lt;electronic-resource-num&gt;10.1177/03331024231209309&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Retrospective cross-sectional study</w:t>
            </w:r>
          </w:p>
        </w:tc>
        <w:tc>
          <w:tcPr>
            <w:tcW w:w="1560" w:type="dxa"/>
          </w:tcPr>
          <w:p>
            <w:pPr>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,094,862 adolescents</w:t>
            </w:r>
          </w:p>
        </w:tc>
        <w:tc>
          <w:tcPr>
            <w:tcW w:w="1794" w:type="dxa"/>
          </w:tcPr>
          <w:p>
            <w:pPr>
              <w:rPr>
                <w:rFonts w:ascii="Times New Roman" w:hAnsi="Times New Roman" w:cs="Times New Roman"/>
                <w:sz w:val="24"/>
                <w:szCs w:val="24"/>
              </w:rPr>
            </w:pPr>
            <w:r>
              <w:rPr>
                <w:rFonts w:hint="eastAsia" w:ascii="Times New Roman" w:hAnsi="Times New Roman" w:cs="Times New Roman"/>
                <w:sz w:val="24"/>
                <w:szCs w:val="24"/>
              </w:rPr>
              <w:t>N</w:t>
            </w:r>
            <w:r>
              <w:rPr>
                <w:rFonts w:ascii="Times New Roman" w:hAnsi="Times New Roman" w:cs="Times New Roman"/>
                <w:sz w:val="24"/>
                <w:szCs w:val="24"/>
              </w:rPr>
              <w:t>A</w:t>
            </w:r>
          </w:p>
        </w:tc>
        <w:tc>
          <w:tcPr>
            <w:tcW w:w="3167" w:type="dxa"/>
          </w:tcPr>
          <w:p>
            <w:pPr>
              <w:rPr>
                <w:rFonts w:ascii="Times New Roman" w:hAnsi="Times New Roman" w:cs="Times New Roman"/>
                <w:sz w:val="24"/>
                <w:szCs w:val="24"/>
              </w:rPr>
            </w:pPr>
            <w:r>
              <w:rPr>
                <w:rFonts w:ascii="Times New Roman" w:hAnsi="Times New Roman" w:cs="Times New Roman"/>
                <w:sz w:val="24"/>
                <w:szCs w:val="24"/>
              </w:rPr>
              <w:t>After adjusting for residential socioeconomic status, education status, and cognitive performance, the adjusted ORs for migraine were 1.11 (95%CI, 1.06-1.16), 1.13 (1.08-1.17), and 1.24 (1.19-1.30), for the underweight, overweight, and obesity subgroups, respectively, compared to the reference group of low-normal BMI (5th-49th percentile) among males, the respective adjusted ORs were 1.12 (1.05–1.19), 1.23 (1.19–1.28), and 1.38 (1.31–1.46) among females.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hint="eastAsia" w:ascii="Times New Roman" w:hAnsi="Times New Roman" w:cs="Times New Roman"/>
                <w:sz w:val="24"/>
                <w:szCs w:val="24"/>
              </w:rPr>
              <w:t>L</w:t>
            </w:r>
            <w:r>
              <w:rPr>
                <w:rFonts w:ascii="Times New Roman" w:hAnsi="Times New Roman" w:cs="Times New Roman"/>
                <w:sz w:val="24"/>
                <w:szCs w:val="24"/>
              </w:rPr>
              <w:t xml:space="preserve">ipid metabolism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&lt;EndNote&gt;&lt;Cite&gt;&lt;Author&gt;Rist&lt;/Author&gt;&lt;Year&gt;2011&lt;/Year&gt;&lt;RecNum&gt;314&lt;/RecNum&gt;&lt;DisplayText&gt;[9]&lt;/DisplayText&gt;&lt;record&gt;&lt;rec-number&gt;314&lt;/rec-number&gt;&lt;foreign-keys&gt;&lt;key app="EN" db-id="09v05rrx7rpasyevvpmp9azwrsp2et2z9d9x" timestamp="1698896058"&gt;314&lt;/key&gt;&lt;/foreign-keys&gt;&lt;ref-type name="Journal Article"&gt;17&lt;/ref-type&gt;&lt;contributors&gt;&lt;authors&gt;&lt;author&gt;Rist, PM&lt;/author&gt;&lt;author&gt;Tzourio, C&lt;/author&gt;&lt;author&gt;Kurth, T&lt;/author&gt;&lt;/authors&gt;&lt;/contributors&gt;&lt;titles&gt;&lt;title&gt;Associations between lipid levels and migraine: cross-sectional analysis in the epidemiology of vascular ageing study&lt;/title&gt;&lt;secondary-title&gt;Cephalalgia : an international journal of headache&lt;/secondary-title&gt;&lt;/titles&gt;&lt;periodical&gt;&lt;full-title&gt;Cephalalgia : an international journal of headache&lt;/full-title&gt;&lt;/periodical&gt;&lt;pages&gt;1459-65&lt;/pages&gt;&lt;volume&gt;31&lt;/volume&gt;&lt;number&gt;14&lt;/number&gt;&lt;dates&gt;&lt;year&gt;2011&lt;/year&gt;&lt;/dates&gt;&lt;accession-num&gt;21926156&lt;/accession-num&gt;&lt;label&gt;4.868&lt;/label&gt;&lt;urls&gt;&lt;/urls&gt;&lt;electronic-resource-num&gt;10.1177/0333102411421682&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hint="eastAsia" w:ascii="Times New Roman" w:hAnsi="Times New Roman" w:cs="Times New Roman"/>
                <w:sz w:val="24"/>
                <w:szCs w:val="24"/>
              </w:rPr>
              <w:t>L</w:t>
            </w:r>
            <w:r>
              <w:rPr>
                <w:rFonts w:ascii="Times New Roman" w:hAnsi="Times New Roman" w:cs="Times New Roman"/>
                <w:sz w:val="24"/>
                <w:szCs w:val="24"/>
              </w:rPr>
              <w:t>ongitudinal cross-sectional study</w:t>
            </w:r>
          </w:p>
        </w:tc>
        <w:tc>
          <w:tcPr>
            <w:tcW w:w="1560" w:type="dxa"/>
          </w:tcPr>
          <w:p>
            <w:pPr>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389 subjects</w:t>
            </w:r>
          </w:p>
        </w:tc>
        <w:tc>
          <w:tcPr>
            <w:tcW w:w="1794" w:type="dxa"/>
          </w:tcPr>
          <w:p>
            <w:pPr>
              <w:rPr>
                <w:rFonts w:ascii="Times New Roman" w:hAnsi="Times New Roman" w:cs="Times New Roman"/>
                <w:sz w:val="24"/>
                <w:szCs w:val="24"/>
              </w:rPr>
            </w:pPr>
            <w:r>
              <w:rPr>
                <w:rFonts w:hint="eastAsia" w:ascii="Times New Roman" w:hAnsi="Times New Roman" w:cs="Times New Roman"/>
                <w:sz w:val="24"/>
                <w:szCs w:val="24"/>
              </w:rPr>
              <w:t>N</w:t>
            </w:r>
            <w:r>
              <w:rPr>
                <w:rFonts w:ascii="Times New Roman" w:hAnsi="Times New Roman" w:cs="Times New Roman"/>
                <w:sz w:val="24"/>
                <w:szCs w:val="24"/>
              </w:rPr>
              <w:t>A</w:t>
            </w:r>
          </w:p>
        </w:tc>
        <w:tc>
          <w:tcPr>
            <w:tcW w:w="3167" w:type="dxa"/>
          </w:tcPr>
          <w:p>
            <w:pPr>
              <w:rPr>
                <w:rFonts w:ascii="Times New Roman" w:hAnsi="Times New Roman" w:cs="Times New Roman"/>
                <w:sz w:val="24"/>
                <w:szCs w:val="24"/>
              </w:rPr>
            </w:pPr>
            <w:r>
              <w:rPr>
                <w:rFonts w:ascii="Times New Roman" w:hAnsi="Times New Roman" w:cs="Times New Roman"/>
                <w:sz w:val="24"/>
                <w:szCs w:val="24"/>
              </w:rPr>
              <w:t>After adjusting of age, gender, smoking status, ever cholesterol medication use, alcohol consumption, blood pressure, and BMI, a significant correlations between higher tertiles of total cholesterol and migraine with aura compared to participants without headache, with OR of 4.67 (0.99–21.97) for the 2nd tertile and 5.97 (1.29–27.61) for the 3rd tertile, and strong associations between triglycerides and migraine with aura, with an OR of 4.42 (1.32–14.77) for the 3rd tertile.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hint="eastAsia" w:ascii="Times New Roman" w:hAnsi="Times New Roman" w:cs="Times New Roman"/>
                <w:sz w:val="24"/>
                <w:szCs w:val="24"/>
              </w:rPr>
              <w:t>G</w:t>
            </w:r>
            <w:r>
              <w:rPr>
                <w:rFonts w:ascii="Times New Roman" w:hAnsi="Times New Roman" w:cs="Times New Roman"/>
                <w:sz w:val="24"/>
                <w:szCs w:val="24"/>
              </w:rPr>
              <w:t xml:space="preserve">lucose metabolism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&lt;EndNote&gt;&lt;Cite&gt;&lt;Author&gt;Fagherazzi&lt;/Author&gt;&lt;Year&gt;2019&lt;/Year&gt;&lt;RecNum&gt;326&lt;/RecNum&gt;&lt;DisplayText&gt;[10]&lt;/DisplayText&gt;&lt;record&gt;&lt;rec-number&gt;326&lt;/rec-number&gt;&lt;foreign-keys&gt;&lt;key app="EN" db-id="09v05rrx7rpasyevvpmp9azwrsp2et2z9d9x" timestamp="1698934248"&gt;326&lt;/key&gt;&lt;/foreign-keys&gt;&lt;ref-type name="Journal Article"&gt;17&lt;/ref-type&gt;&lt;contributors&gt;&lt;authors&gt;&lt;author&gt;Fagherazzi, G&lt;/author&gt;&lt;author&gt;El Fatouhi, D&lt;/author&gt;&lt;author&gt;Fournier, A&lt;/author&gt;&lt;author&gt;Gusto, G&lt;/author&gt;&lt;author&gt;Mancini, FR&lt;/author&gt;&lt;author&gt;Balkau, B&lt;/author&gt;&lt;author&gt;Boutron-Ruault, MC&lt;/author&gt;&lt;author&gt;Kurth, T&lt;/author&gt;&lt;author&gt;Bonnet, F&lt;/author&gt;&lt;/authors&gt;&lt;/contributors&gt;&lt;titles&gt;&lt;title&gt;Associations Between Migraine and Type 2 Diabetes in Women: Findings From the E3N Cohort Study&lt;/title&gt;&lt;secondary-title&gt;JAMA neurology&lt;/secondary-title&gt;&lt;/titles&gt;&lt;periodical&gt;&lt;full-title&gt;JAMA neurology&lt;/full-title&gt;&lt;/periodical&gt;&lt;pages&gt;257-263&lt;/pages&gt;&lt;volume&gt;76&lt;/volume&gt;&lt;number&gt;3&lt;/number&gt;&lt;dates&gt;&lt;year&gt;2019&lt;/year&gt;&lt;/dates&gt;&lt;accession-num&gt;30556831&lt;/accession-num&gt;&lt;label&gt;13.608&lt;/label&gt;&lt;urls&gt;&lt;/urls&gt;&lt;electronic-resource-num&gt;10.1001/jamaneurol.2018.3960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Prospective cohort study</w:t>
            </w:r>
          </w:p>
        </w:tc>
        <w:tc>
          <w:tcPr>
            <w:tcW w:w="1560" w:type="dxa"/>
          </w:tcPr>
          <w:p>
            <w:pPr>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7 chronic migraineurs and 37 healthy controls</w:t>
            </w:r>
          </w:p>
        </w:tc>
        <w:tc>
          <w:tcPr>
            <w:tcW w:w="1794" w:type="dxa"/>
          </w:tcPr>
          <w:p>
            <w:pPr>
              <w:rPr>
                <w:rFonts w:ascii="Times New Roman" w:hAnsi="Times New Roman" w:cs="Times New Roman"/>
                <w:sz w:val="24"/>
                <w:szCs w:val="24"/>
              </w:rPr>
            </w:pPr>
            <w:r>
              <w:rPr>
                <w:rFonts w:ascii="Times New Roman" w:hAnsi="Times New Roman" w:cs="Times New Roman"/>
                <w:sz w:val="24"/>
                <w:szCs w:val="24"/>
              </w:rPr>
              <w:t>24 years</w:t>
            </w:r>
          </w:p>
        </w:tc>
        <w:tc>
          <w:tcPr>
            <w:tcW w:w="3167" w:type="dxa"/>
          </w:tcPr>
          <w:p>
            <w:pPr>
              <w:rPr>
                <w:rFonts w:ascii="Times New Roman" w:hAnsi="Times New Roman" w:cs="Times New Roman"/>
                <w:sz w:val="24"/>
                <w:szCs w:val="24"/>
              </w:rPr>
            </w:pPr>
            <w:r>
              <w:rPr>
                <w:rFonts w:ascii="Times New Roman" w:hAnsi="Times New Roman" w:cs="Times New Roman"/>
                <w:sz w:val="24"/>
                <w:szCs w:val="24"/>
              </w:rPr>
              <w:t>After adjusting for age, level of education, family history of diabetes, BMI, smoking status, hypertension, physical activity, use of oral contraceptives, menopausal status, menopausal hormone therapy uses, and handedness,  a lower risk of type 2 diabetes was observed for women with active migraine compared with women with no migraine history (HR 0.70, 95% CI 0.58-0.85).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rPr>
                <w:rFonts w:ascii="Times New Roman" w:hAnsi="Times New Roman" w:cs="Times New Roman"/>
                <w:sz w:val="24"/>
                <w:szCs w:val="24"/>
              </w:rPr>
            </w:pPr>
            <w:r>
              <w:rPr>
                <w:rFonts w:hint="eastAsia" w:ascii="Times New Roman" w:hAnsi="Times New Roman" w:cs="Times New Roman"/>
                <w:sz w:val="24"/>
                <w:szCs w:val="24"/>
              </w:rPr>
              <w:t>B</w:t>
            </w:r>
            <w:r>
              <w:rPr>
                <w:rFonts w:ascii="Times New Roman" w:hAnsi="Times New Roman" w:cs="Times New Roman"/>
                <w:sz w:val="24"/>
                <w:szCs w:val="24"/>
              </w:rPr>
              <w:t xml:space="preserve">lood pressure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&lt;EndNote&gt;&lt;Cite&gt;&lt;Author&gt;Fagernæs&lt;/Author&gt;&lt;Year&gt;2015&lt;/Year&gt;&lt;RecNum&gt;85&lt;/RecNum&gt;&lt;DisplayText&gt;[11]&lt;/DisplayText&gt;&lt;record&gt;&lt;rec-number&gt;85&lt;/rec-number&gt;&lt;foreign-keys&gt;&lt;key app="EN" db-id="09v05rrx7rpasyevvpmp9azwrsp2et2z9d9x" timestamp="1662211496"&gt;85&lt;/key&gt;&lt;/foreign-keys&gt;&lt;ref-type name="Journal Article"&gt;17&lt;/ref-type&gt;&lt;contributors&gt;&lt;authors&gt;&lt;author&gt;Fagernæs, CF&lt;/author&gt;&lt;author&gt;Heuch, I&lt;/author&gt;&lt;author&gt;Zwart, JA&lt;/author&gt;&lt;author&gt;Winsvold, BS&lt;/author&gt;&lt;author&gt;Linde, M&lt;/author&gt;&lt;author&gt;Hagen, K&lt;/author&gt;&lt;/authors&gt;&lt;/contributors&gt;&lt;titles&gt;&lt;title&gt;Blood pressure as a risk factor for headache and migraine: a prospective population-based study&lt;/title&gt;&lt;secondary-title&gt;European journal of neurology&lt;/secondary-title&gt;&lt;/titles&gt;&lt;periodical&gt;&lt;full-title&gt;European journal of neurology&lt;/full-title&gt;&lt;/periodical&gt;&lt;pages&gt;156-62, e10-1&lt;/pages&gt;&lt;volume&gt;22&lt;/volume&gt;&lt;number&gt;1&lt;/number&gt;&lt;dates&gt;&lt;year&gt;2015&lt;/year&gt;&lt;/dates&gt;&lt;accession-num&gt;25155744&lt;/accession-num&gt;&lt;label&gt;4.516&lt;/label&gt;&lt;urls&gt;&lt;/urls&gt;&lt;electronic-resource-num&gt;10.1111/ene.12547&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p>
        </w:tc>
        <w:tc>
          <w:tcPr>
            <w:tcW w:w="1701" w:type="dxa"/>
          </w:tcPr>
          <w:p>
            <w:pPr>
              <w:rPr>
                <w:rFonts w:ascii="Times New Roman" w:hAnsi="Times New Roman" w:cs="Times New Roman"/>
                <w:sz w:val="24"/>
                <w:szCs w:val="24"/>
              </w:rPr>
            </w:pPr>
            <w:r>
              <w:rPr>
                <w:rFonts w:ascii="Times New Roman" w:hAnsi="Times New Roman" w:cs="Times New Roman"/>
                <w:sz w:val="24"/>
                <w:szCs w:val="24"/>
              </w:rPr>
              <w:t>Prospective cohort study</w:t>
            </w:r>
          </w:p>
        </w:tc>
        <w:tc>
          <w:tcPr>
            <w:tcW w:w="1560" w:type="dxa"/>
          </w:tcPr>
          <w:p>
            <w:pPr>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3,852</w:t>
            </w:r>
          </w:p>
        </w:tc>
        <w:tc>
          <w:tcPr>
            <w:tcW w:w="1794" w:type="dxa"/>
          </w:tcPr>
          <w:p>
            <w:pPr>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1 years</w:t>
            </w:r>
          </w:p>
        </w:tc>
        <w:tc>
          <w:tcPr>
            <w:tcW w:w="3167" w:type="dxa"/>
          </w:tcPr>
          <w:p>
            <w:pPr>
              <w:rPr>
                <w:rFonts w:ascii="Times New Roman" w:hAnsi="Times New Roman" w:cs="Times New Roman"/>
                <w:sz w:val="24"/>
                <w:szCs w:val="24"/>
              </w:rPr>
            </w:pPr>
            <w:r>
              <w:rPr>
                <w:rFonts w:ascii="Times New Roman" w:hAnsi="Times New Roman" w:cs="Times New Roman"/>
                <w:sz w:val="24"/>
                <w:szCs w:val="24"/>
              </w:rPr>
              <w:t>After adjusting of age, BMI, education, HADS score,</w:t>
            </w:r>
          </w:p>
          <w:p>
            <w:pPr>
              <w:rPr>
                <w:rFonts w:ascii="Times New Roman" w:hAnsi="Times New Roman" w:cs="Times New Roman"/>
                <w:sz w:val="24"/>
                <w:szCs w:val="24"/>
              </w:rPr>
            </w:pPr>
            <w:r>
              <w:rPr>
                <w:rFonts w:ascii="Times New Roman" w:hAnsi="Times New Roman" w:cs="Times New Roman"/>
                <w:sz w:val="24"/>
                <w:szCs w:val="24"/>
              </w:rPr>
              <w:t>smoking, physical activity, caffeine intake, cholesterol</w:t>
            </w:r>
          </w:p>
          <w:p>
            <w:pPr>
              <w:rPr>
                <w:rFonts w:ascii="Times New Roman" w:hAnsi="Times New Roman" w:cs="Times New Roman"/>
                <w:sz w:val="24"/>
                <w:szCs w:val="24"/>
              </w:rPr>
            </w:pPr>
            <w:r>
              <w:rPr>
                <w:rFonts w:ascii="Times New Roman" w:hAnsi="Times New Roman" w:cs="Times New Roman"/>
                <w:sz w:val="24"/>
                <w:szCs w:val="24"/>
              </w:rPr>
              <w:t>levels and alcohol overuse, it was found that a high PP was associated with a lower odds ratio (OR 0.73, 95% CI 0.64-0.82) of migraine, and high SBP was associated with an odds ratio (OR 0.84, 95% CI 0.77-0.93) of migraine. However, no association was found between DBP and the risk of migraine.</w:t>
            </w:r>
          </w:p>
        </w:tc>
      </w:tr>
    </w:tbl>
    <w:p/>
    <w:p>
      <w:pPr>
        <w:pStyle w:val="9"/>
        <w:ind w:left="720" w:hanging="720"/>
      </w:pPr>
      <w:r>
        <w:fldChar w:fldCharType="begin"/>
      </w:r>
      <w:r>
        <w:instrText xml:space="preserve"> ADDIN EN.REFLIST </w:instrText>
      </w:r>
      <w:r>
        <w:fldChar w:fldCharType="separate"/>
      </w:r>
      <w:r>
        <w:t>1.</w:t>
      </w:r>
      <w:r>
        <w:tab/>
      </w:r>
      <w:r>
        <w:t xml:space="preserve">Casanova A, Vives-Mestres M, Donoghue S, Mian A, Wöber C: </w:t>
      </w:r>
      <w:r>
        <w:rPr>
          <w:b/>
        </w:rPr>
        <w:t>The role of avoiding known triggers, embracing protectors, and adhering to healthy lifestyle recommendations in migraine prophylaxis: Insights from a prospective cohort of 1125 people with episodic migraine</w:t>
      </w:r>
      <w:r>
        <w:t xml:space="preserve">. </w:t>
      </w:r>
      <w:r>
        <w:rPr>
          <w:i/>
        </w:rPr>
        <w:t xml:space="preserve">Headache </w:t>
      </w:r>
      <w:r>
        <w:t xml:space="preserve">2023, </w:t>
      </w:r>
      <w:r>
        <w:rPr>
          <w:b/>
        </w:rPr>
        <w:t>63</w:t>
      </w:r>
      <w:r>
        <w:t xml:space="preserve">(1):51-61. </w:t>
      </w:r>
      <w:r>
        <w:fldChar w:fldCharType="begin"/>
      </w:r>
      <w:r>
        <w:instrText xml:space="preserve"> HYPERLINK "https://doi.org/10.1111/head.14451" </w:instrText>
      </w:r>
      <w:r>
        <w:fldChar w:fldCharType="separate"/>
      </w:r>
      <w:r>
        <w:rPr>
          <w:rStyle w:val="6"/>
        </w:rPr>
        <w:t>https://doi.org/10.1111/head.14451</w:t>
      </w:r>
      <w:r>
        <w:rPr>
          <w:rStyle w:val="6"/>
        </w:rPr>
        <w:fldChar w:fldCharType="end"/>
      </w:r>
      <w:r>
        <w:t xml:space="preserve"> </w:t>
      </w:r>
    </w:p>
    <w:p>
      <w:pPr>
        <w:pStyle w:val="9"/>
        <w:ind w:left="720" w:hanging="720"/>
      </w:pPr>
      <w:r>
        <w:t>2.</w:t>
      </w:r>
      <w:r>
        <w:tab/>
      </w:r>
      <w:r>
        <w:t xml:space="preserve">Torsheim T, Eriksson L, Schnohr CW, Hansen F, Bjarnason T, Välimaa R: </w:t>
      </w:r>
      <w:r>
        <w:rPr>
          <w:b/>
        </w:rPr>
        <w:t>Screen-based activities and physical complaints among adolescents from the Nordic countries</w:t>
      </w:r>
      <w:r>
        <w:t xml:space="preserve">. </w:t>
      </w:r>
      <w:r>
        <w:rPr>
          <w:i/>
        </w:rPr>
        <w:t xml:space="preserve">BMC Public Health </w:t>
      </w:r>
      <w:r>
        <w:t xml:space="preserve">2010, </w:t>
      </w:r>
      <w:r>
        <w:rPr>
          <w:b/>
        </w:rPr>
        <w:t>10</w:t>
      </w:r>
      <w:r>
        <w:t xml:space="preserve">(1):324. </w:t>
      </w:r>
      <w:r>
        <w:fldChar w:fldCharType="begin"/>
      </w:r>
      <w:r>
        <w:instrText xml:space="preserve"> HYPERLINK "https://doi.org/10.1186/1471-2458-10-324" </w:instrText>
      </w:r>
      <w:r>
        <w:fldChar w:fldCharType="separate"/>
      </w:r>
      <w:r>
        <w:rPr>
          <w:rStyle w:val="6"/>
        </w:rPr>
        <w:t>https://doi.org/10.1186/1471-2458-10-324</w:t>
      </w:r>
      <w:r>
        <w:rPr>
          <w:rStyle w:val="6"/>
        </w:rPr>
        <w:fldChar w:fldCharType="end"/>
      </w:r>
      <w:r>
        <w:t xml:space="preserve"> </w:t>
      </w:r>
    </w:p>
    <w:p>
      <w:pPr>
        <w:pStyle w:val="9"/>
        <w:ind w:left="720" w:hanging="720"/>
      </w:pPr>
      <w:r>
        <w:t>3.</w:t>
      </w:r>
      <w:r>
        <w:tab/>
      </w:r>
      <w:r>
        <w:t xml:space="preserve">Kim SJ, Han K-T, Jang S-Y, Yoo K-B, Kim SJ: </w:t>
      </w:r>
      <w:r>
        <w:rPr>
          <w:b/>
        </w:rPr>
        <w:t>The Association between Migraine and Types of Sleep Disorder</w:t>
      </w:r>
      <w:r>
        <w:t xml:space="preserve">. </w:t>
      </w:r>
      <w:r>
        <w:rPr>
          <w:i/>
        </w:rPr>
        <w:t xml:space="preserve">International Journal of Environmental Research and Public Health </w:t>
      </w:r>
      <w:r>
        <w:t xml:space="preserve">2018, </w:t>
      </w:r>
      <w:r>
        <w:rPr>
          <w:b/>
        </w:rPr>
        <w:t>15</w:t>
      </w:r>
      <w:r>
        <w:t xml:space="preserve">(12):2648. </w:t>
      </w:r>
    </w:p>
    <w:p>
      <w:pPr>
        <w:pStyle w:val="9"/>
        <w:ind w:left="720" w:hanging="720"/>
      </w:pPr>
      <w:r>
        <w:t>4.</w:t>
      </w:r>
      <w:r>
        <w:tab/>
      </w:r>
      <w:r>
        <w:t xml:space="preserve">Aamodt AH, Stovner LJ, Hagen K, Bråthen G, Zwart J: </w:t>
      </w:r>
      <w:r>
        <w:rPr>
          <w:b/>
        </w:rPr>
        <w:t>Headache prevalence related to smoking and alcohol use. The Head-HUNT Study</w:t>
      </w:r>
      <w:r>
        <w:t xml:space="preserve">. </w:t>
      </w:r>
      <w:r>
        <w:rPr>
          <w:i/>
        </w:rPr>
        <w:t xml:space="preserve">Eur J Neurol </w:t>
      </w:r>
      <w:r>
        <w:t xml:space="preserve">2006, </w:t>
      </w:r>
      <w:r>
        <w:rPr>
          <w:b/>
        </w:rPr>
        <w:t>13</w:t>
      </w:r>
      <w:r>
        <w:t xml:space="preserve">(11):1233-1238. </w:t>
      </w:r>
      <w:r>
        <w:fldChar w:fldCharType="begin"/>
      </w:r>
      <w:r>
        <w:instrText xml:space="preserve"> HYPERLINK "https://doi.org/10.1111/j.1468-1331.2006.01492.x" </w:instrText>
      </w:r>
      <w:r>
        <w:fldChar w:fldCharType="separate"/>
      </w:r>
      <w:r>
        <w:rPr>
          <w:rStyle w:val="6"/>
        </w:rPr>
        <w:t>https://doi.org/10.1111/j.1468-1331.2006.01492.x</w:t>
      </w:r>
      <w:r>
        <w:rPr>
          <w:rStyle w:val="6"/>
        </w:rPr>
        <w:fldChar w:fldCharType="end"/>
      </w:r>
      <w:r>
        <w:t xml:space="preserve"> </w:t>
      </w:r>
    </w:p>
    <w:p>
      <w:pPr>
        <w:pStyle w:val="9"/>
        <w:ind w:left="720" w:hanging="720"/>
      </w:pPr>
      <w:r>
        <w:t>5.</w:t>
      </w:r>
      <w:r>
        <w:tab/>
      </w:r>
      <w:r>
        <w:t xml:space="preserve">Lee MJ, Choi HA, Choi H, Chung C-S: </w:t>
      </w:r>
      <w:r>
        <w:rPr>
          <w:b/>
        </w:rPr>
        <w:t>Caffeine discontinuation improves acute migraine treatment: a prospective clinic-based study</w:t>
      </w:r>
      <w:r>
        <w:t xml:space="preserve">. </w:t>
      </w:r>
      <w:r>
        <w:rPr>
          <w:i/>
        </w:rPr>
        <w:t xml:space="preserve">The Journal of Headache and Pain </w:t>
      </w:r>
      <w:r>
        <w:t xml:space="preserve">2016, </w:t>
      </w:r>
      <w:r>
        <w:rPr>
          <w:b/>
        </w:rPr>
        <w:t>17</w:t>
      </w:r>
      <w:r>
        <w:t xml:space="preserve">(1):71. </w:t>
      </w:r>
      <w:r>
        <w:fldChar w:fldCharType="begin"/>
      </w:r>
      <w:r>
        <w:instrText xml:space="preserve"> HYPERLINK "https://doi.org/10.1186/s10194-016-0662-5" </w:instrText>
      </w:r>
      <w:r>
        <w:fldChar w:fldCharType="separate"/>
      </w:r>
      <w:r>
        <w:rPr>
          <w:rStyle w:val="6"/>
        </w:rPr>
        <w:t>https://doi.org/10.1186/s10194-016-0662-5</w:t>
      </w:r>
      <w:r>
        <w:rPr>
          <w:rStyle w:val="6"/>
        </w:rPr>
        <w:fldChar w:fldCharType="end"/>
      </w:r>
      <w:r>
        <w:t xml:space="preserve"> </w:t>
      </w:r>
    </w:p>
    <w:p>
      <w:pPr>
        <w:pStyle w:val="9"/>
        <w:ind w:left="720" w:hanging="720"/>
      </w:pPr>
      <w:r>
        <w:t>6.</w:t>
      </w:r>
      <w:r>
        <w:tab/>
      </w:r>
      <w:r>
        <w:t xml:space="preserve">Peres MFP, Mercante JPP, Tobo PR, Kamei H, Bigal ME: </w:t>
      </w:r>
      <w:r>
        <w:rPr>
          <w:b/>
        </w:rPr>
        <w:t>Anxiety and depression symptoms and migraine: a symptom-based approach research</w:t>
      </w:r>
      <w:r>
        <w:t xml:space="preserve">. </w:t>
      </w:r>
      <w:r>
        <w:rPr>
          <w:i/>
        </w:rPr>
        <w:t xml:space="preserve">J Headache Pain </w:t>
      </w:r>
      <w:r>
        <w:t xml:space="preserve">2017, </w:t>
      </w:r>
      <w:r>
        <w:rPr>
          <w:b/>
        </w:rPr>
        <w:t>18</w:t>
      </w:r>
      <w:r>
        <w:t xml:space="preserve">(1):37. </w:t>
      </w:r>
      <w:r>
        <w:fldChar w:fldCharType="begin"/>
      </w:r>
      <w:r>
        <w:instrText xml:space="preserve"> HYPERLINK "https://doi.org/10.1186/s10194-017-0742-1" </w:instrText>
      </w:r>
      <w:r>
        <w:fldChar w:fldCharType="separate"/>
      </w:r>
      <w:r>
        <w:rPr>
          <w:rStyle w:val="6"/>
        </w:rPr>
        <w:t>https://doi.org/10.1186/s10194-017-0742-1</w:t>
      </w:r>
      <w:r>
        <w:rPr>
          <w:rStyle w:val="6"/>
        </w:rPr>
        <w:fldChar w:fldCharType="end"/>
      </w:r>
      <w:r>
        <w:t xml:space="preserve"> </w:t>
      </w:r>
    </w:p>
    <w:p>
      <w:pPr>
        <w:pStyle w:val="9"/>
        <w:ind w:left="720" w:hanging="720"/>
      </w:pPr>
      <w:r>
        <w:t>7.</w:t>
      </w:r>
      <w:r>
        <w:tab/>
      </w:r>
      <w:r>
        <w:t xml:space="preserve">Bahrampour N, Mirzababaei A, Yarizadeh H, Barekzai A, Khorsha F, Clark C, Mirzaei K: </w:t>
      </w:r>
      <w:r>
        <w:rPr>
          <w:b/>
        </w:rPr>
        <w:t>The relationship between dietary nutrients patterns and intensity and duration of migraine headaches</w:t>
      </w:r>
      <w:r>
        <w:t xml:space="preserve">. </w:t>
      </w:r>
      <w:r>
        <w:rPr>
          <w:i/>
        </w:rPr>
        <w:t xml:space="preserve">The British journal of nutrition </w:t>
      </w:r>
      <w:r>
        <w:t xml:space="preserve">2022:1-8. </w:t>
      </w:r>
      <w:r>
        <w:fldChar w:fldCharType="begin"/>
      </w:r>
      <w:r>
        <w:instrText xml:space="preserve"> HYPERLINK "https://doi.org/10.1017/s0007114522000046" </w:instrText>
      </w:r>
      <w:r>
        <w:fldChar w:fldCharType="separate"/>
      </w:r>
      <w:r>
        <w:rPr>
          <w:rStyle w:val="6"/>
        </w:rPr>
        <w:t>https://doi.org/10.1017/s0007114522000046</w:t>
      </w:r>
      <w:r>
        <w:rPr>
          <w:rStyle w:val="6"/>
        </w:rPr>
        <w:fldChar w:fldCharType="end"/>
      </w:r>
      <w:r>
        <w:t xml:space="preserve"> </w:t>
      </w:r>
    </w:p>
    <w:p>
      <w:pPr>
        <w:pStyle w:val="9"/>
        <w:ind w:left="720" w:hanging="720"/>
      </w:pPr>
      <w:r>
        <w:t>8.</w:t>
      </w:r>
      <w:r>
        <w:tab/>
      </w:r>
      <w:r>
        <w:t>Zloof Y, Tsur A, Simchoni M, Derazne E, Tzur D, Honig A, Braun M, Ganelin-Cohen E, Amarilyo G, Pinhas-Hamiel O</w:t>
      </w:r>
      <w:r>
        <w:rPr>
          <w:i/>
        </w:rPr>
        <w:t xml:space="preserve"> et al</w:t>
      </w:r>
      <w:r>
        <w:t xml:space="preserve">: </w:t>
      </w:r>
      <w:r>
        <w:rPr>
          <w:b/>
        </w:rPr>
        <w:t>Body mass index and migraine in adolescence: A nationwide study</w:t>
      </w:r>
      <w:r>
        <w:t xml:space="preserve">. </w:t>
      </w:r>
      <w:r>
        <w:rPr>
          <w:i/>
        </w:rPr>
        <w:t xml:space="preserve">Cephalalgia : an international journal of headache </w:t>
      </w:r>
      <w:r>
        <w:t xml:space="preserve">2023, </w:t>
      </w:r>
      <w:r>
        <w:rPr>
          <w:b/>
        </w:rPr>
        <w:t>43</w:t>
      </w:r>
      <w:r>
        <w:t xml:space="preserve">(10):3331024231209309. </w:t>
      </w:r>
      <w:r>
        <w:fldChar w:fldCharType="begin"/>
      </w:r>
      <w:r>
        <w:instrText xml:space="preserve"> HYPERLINK "https://doi.org/10.1177/03331024231209309" </w:instrText>
      </w:r>
      <w:r>
        <w:fldChar w:fldCharType="separate"/>
      </w:r>
      <w:r>
        <w:rPr>
          <w:rStyle w:val="6"/>
        </w:rPr>
        <w:t>https://doi.org/10.1177/03331024231209309</w:t>
      </w:r>
      <w:r>
        <w:rPr>
          <w:rStyle w:val="6"/>
        </w:rPr>
        <w:fldChar w:fldCharType="end"/>
      </w:r>
      <w:r>
        <w:t xml:space="preserve"> </w:t>
      </w:r>
    </w:p>
    <w:p>
      <w:pPr>
        <w:pStyle w:val="9"/>
        <w:ind w:left="720" w:hanging="720"/>
      </w:pPr>
      <w:r>
        <w:t>9.</w:t>
      </w:r>
      <w:r>
        <w:tab/>
      </w:r>
      <w:r>
        <w:t xml:space="preserve">Rist P, Tzourio C, Kurth T: </w:t>
      </w:r>
      <w:r>
        <w:rPr>
          <w:b/>
        </w:rPr>
        <w:t>Associations between lipid levels and migraine: cross-sectional analysis in the epidemiology of vascular ageing study</w:t>
      </w:r>
      <w:r>
        <w:t xml:space="preserve">. </w:t>
      </w:r>
      <w:r>
        <w:rPr>
          <w:i/>
        </w:rPr>
        <w:t xml:space="preserve">Cephalalgia : an international journal of headache </w:t>
      </w:r>
      <w:r>
        <w:t xml:space="preserve">2011, </w:t>
      </w:r>
      <w:r>
        <w:rPr>
          <w:b/>
        </w:rPr>
        <w:t>31</w:t>
      </w:r>
      <w:r>
        <w:t xml:space="preserve">(14):1459-1465. </w:t>
      </w:r>
      <w:r>
        <w:fldChar w:fldCharType="begin"/>
      </w:r>
      <w:r>
        <w:instrText xml:space="preserve"> HYPERLINK "https://doi.org/10.1177/0333102411421682" </w:instrText>
      </w:r>
      <w:r>
        <w:fldChar w:fldCharType="separate"/>
      </w:r>
      <w:r>
        <w:rPr>
          <w:rStyle w:val="6"/>
        </w:rPr>
        <w:t>https://doi.org/10.1177/0333102411421682</w:t>
      </w:r>
      <w:r>
        <w:rPr>
          <w:rStyle w:val="6"/>
        </w:rPr>
        <w:fldChar w:fldCharType="end"/>
      </w:r>
      <w:r>
        <w:t xml:space="preserve"> </w:t>
      </w:r>
    </w:p>
    <w:p>
      <w:pPr>
        <w:pStyle w:val="9"/>
        <w:ind w:left="720" w:hanging="720"/>
      </w:pPr>
      <w:r>
        <w:t>10.</w:t>
      </w:r>
      <w:r>
        <w:tab/>
      </w:r>
      <w:r>
        <w:t xml:space="preserve">Fagherazzi G, El Fatouhi D, Fournier A, Gusto G, Mancini F, Balkau B, Boutron-Ruault M, Kurth T, Bonnet F: </w:t>
      </w:r>
      <w:r>
        <w:rPr>
          <w:b/>
        </w:rPr>
        <w:t>Associations Between Migraine and Type 2 Diabetes in Women: Findings From the E3N Cohort Study</w:t>
      </w:r>
      <w:r>
        <w:t xml:space="preserve">. </w:t>
      </w:r>
      <w:r>
        <w:rPr>
          <w:i/>
        </w:rPr>
        <w:t xml:space="preserve">JAMA neurology </w:t>
      </w:r>
      <w:r>
        <w:t xml:space="preserve">2019, </w:t>
      </w:r>
      <w:r>
        <w:rPr>
          <w:b/>
        </w:rPr>
        <w:t>76</w:t>
      </w:r>
      <w:r>
        <w:t xml:space="preserve">(3):257-263. </w:t>
      </w:r>
      <w:r>
        <w:fldChar w:fldCharType="begin"/>
      </w:r>
      <w:r>
        <w:instrText xml:space="preserve"> HYPERLINK "https://doi.org/10.1001/jamaneurol.2018.3960" </w:instrText>
      </w:r>
      <w:r>
        <w:fldChar w:fldCharType="separate"/>
      </w:r>
      <w:r>
        <w:rPr>
          <w:rStyle w:val="6"/>
        </w:rPr>
        <w:t>https://doi.org/10.1001/jamaneurol.2018.3960</w:t>
      </w:r>
      <w:r>
        <w:rPr>
          <w:rStyle w:val="6"/>
        </w:rPr>
        <w:fldChar w:fldCharType="end"/>
      </w:r>
      <w:r>
        <w:t xml:space="preserve"> </w:t>
      </w:r>
    </w:p>
    <w:p>
      <w:pPr>
        <w:pStyle w:val="9"/>
        <w:ind w:left="720" w:hanging="720"/>
      </w:pPr>
      <w:r>
        <w:t>11.</w:t>
      </w:r>
      <w:r>
        <w:tab/>
      </w:r>
      <w:r>
        <w:t xml:space="preserve">Fagernæs C, Heuch I, Zwart J, Winsvold B, Linde M, Hagen K: </w:t>
      </w:r>
      <w:r>
        <w:rPr>
          <w:b/>
        </w:rPr>
        <w:t>Blood pressure as a risk factor for headache and migraine: a prospective population-based study</w:t>
      </w:r>
      <w:r>
        <w:t xml:space="preserve">. </w:t>
      </w:r>
      <w:r>
        <w:rPr>
          <w:i/>
        </w:rPr>
        <w:t xml:space="preserve">European journal of neurology </w:t>
      </w:r>
      <w:r>
        <w:t xml:space="preserve">2015, </w:t>
      </w:r>
      <w:r>
        <w:rPr>
          <w:b/>
        </w:rPr>
        <w:t>22</w:t>
      </w:r>
      <w:r>
        <w:t xml:space="preserve">(1):156-162, e110-151. </w:t>
      </w:r>
      <w:r>
        <w:fldChar w:fldCharType="begin"/>
      </w:r>
      <w:r>
        <w:instrText xml:space="preserve"> HYPERLINK "https://doi.org/10.1111/ene.12547" </w:instrText>
      </w:r>
      <w:r>
        <w:fldChar w:fldCharType="separate"/>
      </w:r>
      <w:r>
        <w:rPr>
          <w:rStyle w:val="6"/>
        </w:rPr>
        <w:t>https://doi.org/10.1111/ene.12547</w:t>
      </w:r>
      <w:r>
        <w:rPr>
          <w:rStyle w:val="6"/>
        </w:rPr>
        <w:fldChar w:fldCharType="end"/>
      </w:r>
      <w:r>
        <w:t xml:space="preserve"> </w:t>
      </w:r>
    </w:p>
    <w:p>
      <w: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BmNjUxMjRlYjI3MmRjMjAzNjAzOWViNjVlNDZiYzYifQ=="/>
    <w:docVar w:name="EN.InstantFormat" w:val="&lt;ENInstantFormat&gt;&lt;Enabled&gt;1&lt;/Enabled&gt;&lt;ScanUnformatted&gt;1&lt;/ScanUnformatted&gt;&lt;ScanChanges&gt;1&lt;/ScanChanges&gt;&lt;Suspended&gt;0&lt;/Suspended&gt;&lt;/ENInstantFormat&gt;"/>
    <w:docVar w:name="EN.Layout" w:val="&lt;ENLayout&gt;&lt;Style&gt;BMC Cancer 副本&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0eaw5r022t01erwrq5ea0h25rvv5depx0d&quot;&gt;My EndNote Library&lt;record-ids&gt;&lt;item&gt;274&lt;/item&gt;&lt;/record-ids&gt;&lt;/item&gt;&lt;/Libraries&gt;"/>
  </w:docVars>
  <w:rsids>
    <w:rsidRoot w:val="00486417"/>
    <w:rsid w:val="0001724D"/>
    <w:rsid w:val="000255D8"/>
    <w:rsid w:val="0006213B"/>
    <w:rsid w:val="000E1EAB"/>
    <w:rsid w:val="001134F0"/>
    <w:rsid w:val="00147DCD"/>
    <w:rsid w:val="00235562"/>
    <w:rsid w:val="00371E7F"/>
    <w:rsid w:val="00413D70"/>
    <w:rsid w:val="00461695"/>
    <w:rsid w:val="00486417"/>
    <w:rsid w:val="00554C4A"/>
    <w:rsid w:val="00561896"/>
    <w:rsid w:val="005E7C57"/>
    <w:rsid w:val="00617430"/>
    <w:rsid w:val="006254D6"/>
    <w:rsid w:val="00761666"/>
    <w:rsid w:val="00767DDE"/>
    <w:rsid w:val="00871E8F"/>
    <w:rsid w:val="008A69EB"/>
    <w:rsid w:val="00937450"/>
    <w:rsid w:val="009D0A98"/>
    <w:rsid w:val="00A27C4B"/>
    <w:rsid w:val="00A337E1"/>
    <w:rsid w:val="00A911F3"/>
    <w:rsid w:val="00B32EED"/>
    <w:rsid w:val="00B56205"/>
    <w:rsid w:val="00BE49B5"/>
    <w:rsid w:val="00BF5ACD"/>
    <w:rsid w:val="00BF7D8F"/>
    <w:rsid w:val="00C03E23"/>
    <w:rsid w:val="00DC36D2"/>
    <w:rsid w:val="00E542B7"/>
    <w:rsid w:val="00E5477B"/>
    <w:rsid w:val="00F2692F"/>
    <w:rsid w:val="00FE59AD"/>
    <w:rsid w:val="06064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Emphasis"/>
    <w:basedOn w:val="4"/>
    <w:qFormat/>
    <w:uiPriority w:val="20"/>
    <w:rPr>
      <w:i/>
    </w:rPr>
  </w:style>
  <w:style w:type="character" w:styleId="6">
    <w:name w:val="Hyperlink"/>
    <w:basedOn w:val="4"/>
    <w:unhideWhenUsed/>
    <w:qFormat/>
    <w:uiPriority w:val="99"/>
    <w:rPr>
      <w:color w:val="0563C1" w:themeColor="hyperlink"/>
      <w:u w:val="single"/>
      <w14:textFill>
        <w14:solidFill>
          <w14:schemeClr w14:val="hlink"/>
        </w14:solidFill>
      </w14:textFill>
    </w:rPr>
  </w:style>
  <w:style w:type="paragraph" w:customStyle="1" w:styleId="7">
    <w:name w:val="EndNote Bibliography Title"/>
    <w:basedOn w:val="1"/>
    <w:link w:val="8"/>
    <w:qFormat/>
    <w:uiPriority w:val="0"/>
    <w:pPr>
      <w:jc w:val="center"/>
    </w:pPr>
    <w:rPr>
      <w:rFonts w:ascii="等线" w:hAnsi="等线" w:eastAsia="等线"/>
      <w:sz w:val="20"/>
    </w:rPr>
  </w:style>
  <w:style w:type="character" w:customStyle="1" w:styleId="8">
    <w:name w:val="EndNote Bibliography Title 字符"/>
    <w:basedOn w:val="4"/>
    <w:link w:val="7"/>
    <w:qFormat/>
    <w:uiPriority w:val="0"/>
    <w:rPr>
      <w:rFonts w:ascii="等线" w:hAnsi="等线" w:eastAsia="等线" w:cstheme="minorBidi"/>
      <w:kern w:val="2"/>
      <w:szCs w:val="22"/>
    </w:rPr>
  </w:style>
  <w:style w:type="paragraph" w:customStyle="1" w:styleId="9">
    <w:name w:val="EndNote Bibliography"/>
    <w:basedOn w:val="1"/>
    <w:link w:val="10"/>
    <w:qFormat/>
    <w:uiPriority w:val="0"/>
    <w:rPr>
      <w:rFonts w:ascii="等线" w:hAnsi="等线" w:eastAsia="等线"/>
      <w:sz w:val="20"/>
    </w:rPr>
  </w:style>
  <w:style w:type="character" w:customStyle="1" w:styleId="10">
    <w:name w:val="EndNote Bibliography 字符"/>
    <w:basedOn w:val="4"/>
    <w:link w:val="9"/>
    <w:qFormat/>
    <w:uiPriority w:val="0"/>
    <w:rPr>
      <w:rFonts w:ascii="等线" w:hAnsi="等线" w:eastAsia="等线" w:cstheme="minorBidi"/>
      <w:kern w:val="2"/>
      <w:szCs w:val="22"/>
    </w:rPr>
  </w:style>
  <w:style w:type="character" w:customStyle="1" w:styleId="11">
    <w:name w:val="Unresolved Mention"/>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3E139-2B72-495D-A13C-734A57C7EE6C}">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1077</Words>
  <Characters>6671</Characters>
  <Lines>271</Lines>
  <Paragraphs>78</Paragraphs>
  <TotalTime>197</TotalTime>
  <ScaleCrop>false</ScaleCrop>
  <LinksUpToDate>false</LinksUpToDate>
  <CharactersWithSpaces>7682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2023-11-02T14:26:00Z</dcterms:created>
  <dc:creator>365VIP</dc:creator>
  <cp:lastModifiedBy>甘泉</cp:lastModifiedBy>
  <dcterms:modified xsi:type="dcterms:W3CDTF">2024-06-28T07:30:04Z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84384253-b8f3-42c7-93d2-a40a28c86de1</vt:lpwstr>
  </property>
  <property fmtid="{D5CDD505-2E9C-101B-9397-08002B2CF9AE}" pid="3" name="KSOProductBuildVer">
    <vt:lpwstr>2052-12.1.0.16929</vt:lpwstr>
  </property>
  <property fmtid="{D5CDD505-2E9C-101B-9397-08002B2CF9AE}" pid="4" name="ICV">
    <vt:lpwstr>86F5C76A6D8D41568F25C784F20DD29B_13</vt:lpwstr>
  </property>
</Properties>
</file>