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B2457">
      <w:pPr>
        <w:rPr>
          <w:rFonts w:ascii="Times New Roman Regular" w:hAnsi="Times New Roman Regular" w:cs="Times New Roman Regular"/>
          <w:sz w:val="24"/>
          <w:lang w:eastAsia="zh-Hans"/>
        </w:rPr>
      </w:pPr>
      <w:bookmarkStart w:id="0" w:name="_Hlk177906082"/>
      <w:r>
        <w:rPr>
          <w:rFonts w:ascii="Times New Roman Bold" w:hAnsi="Times New Roman Bold" w:cs="Times New Roman Bold"/>
          <w:b/>
          <w:bCs/>
          <w:sz w:val="24"/>
          <w:lang w:eastAsia="zh-Hans"/>
        </w:rPr>
        <w:t>Table S1 MRI scanning times of the three groups</w:t>
      </w:r>
    </w:p>
    <w:p w14:paraId="425E03F5">
      <w:pPr>
        <w:rPr>
          <w:rFonts w:ascii="Times New Roman Regular" w:hAnsi="Times New Roman Regular" w:cs="Times New Roman Regular"/>
          <w:sz w:val="24"/>
          <w:lang w:eastAsia="zh-Hans"/>
        </w:rPr>
      </w:pPr>
    </w:p>
    <w:tbl>
      <w:tblPr>
        <w:tblStyle w:val="7"/>
        <w:tblW w:w="8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023"/>
        <w:gridCol w:w="2024"/>
        <w:gridCol w:w="2024"/>
      </w:tblGrid>
      <w:tr w14:paraId="3985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486" w:type="dxa"/>
            <w:tcBorders>
              <w:top w:val="single" w:color="auto" w:sz="4" w:space="0"/>
              <w:bottom w:val="single" w:color="auto" w:sz="4" w:space="0"/>
            </w:tcBorders>
          </w:tcPr>
          <w:p w14:paraId="2BCAACA4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MRI scanning time</w:t>
            </w:r>
          </w:p>
        </w:tc>
        <w:tc>
          <w:tcPr>
            <w:tcW w:w="2023" w:type="dxa"/>
            <w:tcBorders>
              <w:top w:val="single" w:color="auto" w:sz="4" w:space="0"/>
              <w:bottom w:val="single" w:color="auto" w:sz="4" w:space="0"/>
            </w:tcBorders>
          </w:tcPr>
          <w:p w14:paraId="194DD2DE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MI (n=28)</w:t>
            </w:r>
          </w:p>
        </w:tc>
        <w:tc>
          <w:tcPr>
            <w:tcW w:w="2024" w:type="dxa"/>
            <w:tcBorders>
              <w:top w:val="single" w:color="auto" w:sz="4" w:space="0"/>
              <w:bottom w:val="single" w:color="auto" w:sz="4" w:space="0"/>
            </w:tcBorders>
          </w:tcPr>
          <w:p w14:paraId="599F4678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MnI (n=28)</w:t>
            </w:r>
          </w:p>
        </w:tc>
        <w:tc>
          <w:tcPr>
            <w:tcW w:w="2024" w:type="dxa"/>
            <w:tcBorders>
              <w:top w:val="single" w:color="auto" w:sz="4" w:space="0"/>
              <w:bottom w:val="single" w:color="auto" w:sz="4" w:space="0"/>
            </w:tcBorders>
          </w:tcPr>
          <w:p w14:paraId="4E5F4FCC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HC (n=29)</w:t>
            </w:r>
          </w:p>
        </w:tc>
      </w:tr>
      <w:tr w14:paraId="0AF5A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86" w:type="dxa"/>
            <w:tcBorders>
              <w:top w:val="single" w:color="auto" w:sz="4" w:space="0"/>
            </w:tcBorders>
          </w:tcPr>
          <w:p w14:paraId="419CB1FC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16:00 to 18:00</w:t>
            </w:r>
          </w:p>
        </w:tc>
        <w:tc>
          <w:tcPr>
            <w:tcW w:w="2023" w:type="dxa"/>
            <w:tcBorders>
              <w:top w:val="single" w:color="auto" w:sz="4" w:space="0"/>
            </w:tcBorders>
          </w:tcPr>
          <w:p w14:paraId="3364F63A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4</w:t>
            </w:r>
          </w:p>
        </w:tc>
        <w:tc>
          <w:tcPr>
            <w:tcW w:w="2024" w:type="dxa"/>
            <w:tcBorders>
              <w:top w:val="single" w:color="auto" w:sz="4" w:space="0"/>
            </w:tcBorders>
          </w:tcPr>
          <w:p w14:paraId="4346D534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6</w:t>
            </w:r>
          </w:p>
        </w:tc>
        <w:tc>
          <w:tcPr>
            <w:tcW w:w="2024" w:type="dxa"/>
            <w:tcBorders>
              <w:top w:val="single" w:color="auto" w:sz="4" w:space="0"/>
            </w:tcBorders>
          </w:tcPr>
          <w:p w14:paraId="0F6E0655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11</w:t>
            </w:r>
          </w:p>
        </w:tc>
      </w:tr>
      <w:tr w14:paraId="6906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486" w:type="dxa"/>
          </w:tcPr>
          <w:p w14:paraId="0D2A6AD4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18:00 to 20:00</w:t>
            </w:r>
          </w:p>
        </w:tc>
        <w:tc>
          <w:tcPr>
            <w:tcW w:w="2023" w:type="dxa"/>
          </w:tcPr>
          <w:p w14:paraId="2F50F1E0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22</w:t>
            </w:r>
          </w:p>
        </w:tc>
        <w:tc>
          <w:tcPr>
            <w:tcW w:w="2024" w:type="dxa"/>
          </w:tcPr>
          <w:p w14:paraId="4F5BF451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19</w:t>
            </w:r>
          </w:p>
        </w:tc>
        <w:tc>
          <w:tcPr>
            <w:tcW w:w="2024" w:type="dxa"/>
          </w:tcPr>
          <w:p w14:paraId="15B8AE61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11</w:t>
            </w:r>
          </w:p>
        </w:tc>
      </w:tr>
      <w:tr w14:paraId="69656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86" w:type="dxa"/>
            <w:tcBorders>
              <w:bottom w:val="single" w:color="auto" w:sz="4" w:space="0"/>
            </w:tcBorders>
          </w:tcPr>
          <w:p w14:paraId="3AB8C222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20:00 to 22:00</w:t>
            </w:r>
          </w:p>
        </w:tc>
        <w:tc>
          <w:tcPr>
            <w:tcW w:w="2023" w:type="dxa"/>
            <w:tcBorders>
              <w:bottom w:val="single" w:color="auto" w:sz="4" w:space="0"/>
            </w:tcBorders>
          </w:tcPr>
          <w:p w14:paraId="5CFC5569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2</w:t>
            </w:r>
          </w:p>
        </w:tc>
        <w:tc>
          <w:tcPr>
            <w:tcW w:w="2024" w:type="dxa"/>
            <w:tcBorders>
              <w:bottom w:val="single" w:color="auto" w:sz="4" w:space="0"/>
            </w:tcBorders>
          </w:tcPr>
          <w:p w14:paraId="57658CC9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3</w:t>
            </w:r>
          </w:p>
        </w:tc>
        <w:tc>
          <w:tcPr>
            <w:tcW w:w="2024" w:type="dxa"/>
            <w:tcBorders>
              <w:bottom w:val="single" w:color="auto" w:sz="4" w:space="0"/>
            </w:tcBorders>
          </w:tcPr>
          <w:p w14:paraId="6DD6ED95">
            <w:pPr>
              <w:spacing w:after="0" w:line="360" w:lineRule="auto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</w:rPr>
              <w:t>7</w:t>
            </w:r>
          </w:p>
        </w:tc>
      </w:tr>
    </w:tbl>
    <w:p w14:paraId="71909986">
      <w:pPr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Regular" w:hAnsi="Times New Roman Regular" w:cs="Times New Roman Regular"/>
          <w:sz w:val="24"/>
        </w:rPr>
        <w:t>Abbreviations: MI, patients with comorbid migraine and insomnia; MnI, patients with migraine with no insomnia; MRI, magnetic resonance imaging; HC, healthy controls.</w:t>
      </w:r>
      <w:bookmarkEnd w:id="0"/>
      <w:r>
        <w:rPr>
          <w:rFonts w:ascii="Times New Roman Regular" w:hAnsi="Times New Roman Regular" w:cs="Times New Roman Regular"/>
          <w:sz w:val="24"/>
        </w:rPr>
        <w:br w:type="page"/>
      </w:r>
      <w:r>
        <w:rPr>
          <w:rFonts w:ascii="Times New Roman Bold" w:hAnsi="Times New Roman Bold" w:cs="Times New Roman Bold"/>
          <w:b/>
          <w:bCs/>
          <w:sz w:val="24"/>
        </w:rPr>
        <w:t>Table S2 Z-transformed correlation matrix of clinical features and behavioral assessments in the MI and MnI groups</w:t>
      </w:r>
    </w:p>
    <w:tbl>
      <w:tblPr>
        <w:tblStyle w:val="6"/>
        <w:tblW w:w="80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7"/>
        <w:gridCol w:w="1377"/>
        <w:gridCol w:w="1093"/>
        <w:gridCol w:w="818"/>
        <w:gridCol w:w="914"/>
        <w:gridCol w:w="818"/>
        <w:gridCol w:w="820"/>
        <w:gridCol w:w="823"/>
      </w:tblGrid>
      <w:tr w14:paraId="69875D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5EA6CF">
            <w:pPr>
              <w:spacing w:after="0"/>
              <w:jc w:val="center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 Regular" w:hAnsi="Times New Roman Regular" w:eastAsia="宋体" w:cs="Times New Roman Regular"/>
                <w:b/>
                <w:bCs/>
                <w:kern w:val="0"/>
                <w:sz w:val="24"/>
                <w:lang w:bidi="ar"/>
              </w:rPr>
              <w:t>MI group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323A39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F0938B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8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5918A1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91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12D03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8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CAFE9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8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959F33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SDS</w:t>
            </w:r>
          </w:p>
        </w:tc>
        <w:tc>
          <w:tcPr>
            <w:tcW w:w="82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09582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</w:tr>
      <w:tr w14:paraId="2AC1AA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91DE451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13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ACC99F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10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3B8ED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0.60</w:t>
            </w:r>
          </w:p>
        </w:tc>
        <w:tc>
          <w:tcPr>
            <w:tcW w:w="8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E2CBF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0.02</w:t>
            </w:r>
          </w:p>
        </w:tc>
        <w:tc>
          <w:tcPr>
            <w:tcW w:w="9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8B73C5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8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9384C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0.18</w:t>
            </w:r>
          </w:p>
        </w:tc>
        <w:tc>
          <w:tcPr>
            <w:tcW w:w="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929E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2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DA9161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0.19</w:t>
            </w:r>
          </w:p>
        </w:tc>
      </w:tr>
      <w:tr w14:paraId="2D852D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62A78C4C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0BE2C2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0.60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AB1C21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070D7D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-0.08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0414E58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0B6ACD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B115A9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CCA93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-0.14</w:t>
            </w:r>
          </w:p>
        </w:tc>
      </w:tr>
      <w:tr w14:paraId="5147C7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6929A544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DB61E2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0.02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EAFD96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-0.08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B34C57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42897AF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0.28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F4044A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-0.14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4F96A77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A3502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0.21</w:t>
            </w:r>
          </w:p>
        </w:tc>
      </w:tr>
      <w:tr w14:paraId="195B4D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49B4F570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E38B33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03F08B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D3D100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0.28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1A9C5F9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C0CF50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-0.06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8211C6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0.46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4C90C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0.79</w:t>
            </w:r>
          </w:p>
        </w:tc>
      </w:tr>
      <w:tr w14:paraId="490FA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5EB089F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5A9952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0.18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5CC03D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EBCF11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-0.14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7179642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-0.06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9042ED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085E5E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D22CD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0.03</w:t>
            </w:r>
          </w:p>
        </w:tc>
      </w:tr>
      <w:tr w14:paraId="6162C6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78B28481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SDS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3924CB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E96BC8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0.07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7CABCF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0.04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07BF2AB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0.46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BD76F8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2DF345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7E899D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0.85</w:t>
            </w:r>
          </w:p>
        </w:tc>
      </w:tr>
      <w:tr w14:paraId="61ED9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2576CC5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98AEA3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0.19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14754E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89132D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0.21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2557D41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0.79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57077D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0.03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36B1FB6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0.85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073E4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</w:tr>
      <w:tr w14:paraId="488A16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E6EFB7">
            <w:pPr>
              <w:spacing w:after="0"/>
              <w:jc w:val="center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kern w:val="0"/>
                <w:sz w:val="24"/>
                <w:lang w:bidi="ar"/>
              </w:rPr>
              <w:t>MnI group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0872CC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CE8EE8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B4D63B4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02F6A8F7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BBCC487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3CC3CBF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SDS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D4343B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</w:tr>
      <w:tr w14:paraId="190F98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748773BF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B70616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156299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0.22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186C9B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0.39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7AF56A7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40324A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0.16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7A24CE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86DD84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0.19</w:t>
            </w:r>
          </w:p>
        </w:tc>
      </w:tr>
      <w:tr w14:paraId="5D134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064A012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01AC60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0.22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E2BCF5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1BEEDE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0.03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44BAF13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2C4D3E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0.49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4010CB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52C31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</w:tr>
      <w:tr w14:paraId="44B815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46FFAFDF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A0AE4A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0.39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EF321C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0.03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062B45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65AD558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0.25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5B719C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1C64A13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-0.60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B897E1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-0.11</w:t>
            </w:r>
          </w:p>
        </w:tc>
      </w:tr>
      <w:tr w14:paraId="1BD6F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65101AE2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5E4464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0.25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168635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CB7C2C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0.25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60B7C1F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498851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0.06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A364F7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0947EF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0.62</w:t>
            </w:r>
          </w:p>
        </w:tc>
      </w:tr>
      <w:tr w14:paraId="65024F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20227B4F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5E158D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0.16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11B2E5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0.49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ACCA1F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776E073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0.06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318F48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7F697D3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F66EB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</w:tr>
      <w:tr w14:paraId="2EEE3B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24B0C65B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SDS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CB6574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A3EAD1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0.12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183EA1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-0.60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3CB8ECF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D67B3C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-0.16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2E6965E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777C7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0.52</w:t>
            </w:r>
          </w:p>
        </w:tc>
      </w:tr>
      <w:tr w14:paraId="116E8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  <w:jc w:val="center"/>
        </w:trPr>
        <w:tc>
          <w:tcPr>
            <w:tcW w:w="1377" w:type="dxa"/>
            <w:shd w:val="clear" w:color="auto" w:fill="auto"/>
            <w:vAlign w:val="center"/>
          </w:tcPr>
          <w:p w14:paraId="0474CF12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03889E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0.19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40E5A3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5A9171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-0.11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12E80FB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0.62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BAFE66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5627C29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0.52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619A6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inf</w:t>
            </w:r>
          </w:p>
        </w:tc>
      </w:tr>
    </w:tbl>
    <w:p w14:paraId="57D50CC7">
      <w:pPr>
        <w:pStyle w:val="3"/>
        <w:widowControl/>
        <w:spacing w:line="360" w:lineRule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Abbreviations: MI, patients with comorbid migraine and insomnia; MnI, patients with migraine with no insomnia; VAS, Visual Analogue Scale; HIT-6, Headache Impact Test six; PSQI, Pittsburgh Sleep Quality Index; SDS, Zung self-depression scale; SAS, Zung self-anxiety scale.</w:t>
      </w:r>
    </w:p>
    <w:p w14:paraId="23581399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 w14:paraId="04F49E3E">
      <w:pPr>
        <w:pStyle w:val="3"/>
        <w:widowControl/>
        <w:spacing w:line="360" w:lineRule="auto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 xml:space="preserve">Table S3 </w:t>
      </w:r>
      <w:r>
        <w:rPr>
          <w:rFonts w:hint="default" w:ascii="Times New Roman Bold" w:hAnsi="Times New Roman Bold" w:cs="Times New Roman Bold"/>
          <w:b/>
          <w:bCs/>
          <w:lang w:bidi="ar"/>
        </w:rPr>
        <w:t>Fisher’s z-transformed correlation coefficients between altered  LC-FC strength and behavior features in examined groups</w:t>
      </w:r>
    </w:p>
    <w:tbl>
      <w:tblPr>
        <w:tblStyle w:val="6"/>
        <w:tblW w:w="84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887"/>
        <w:gridCol w:w="1258"/>
        <w:gridCol w:w="940"/>
        <w:gridCol w:w="772"/>
        <w:gridCol w:w="1207"/>
        <w:gridCol w:w="1020"/>
        <w:gridCol w:w="1008"/>
      </w:tblGrid>
      <w:tr w14:paraId="7B571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130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76752D7">
            <w:pPr>
              <w:spacing w:after="0"/>
              <w:jc w:val="center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MI group</w:t>
            </w:r>
          </w:p>
        </w:tc>
        <w:tc>
          <w:tcPr>
            <w:tcW w:w="88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E1E34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PHG</w:t>
            </w:r>
          </w:p>
        </w:tc>
        <w:tc>
          <w:tcPr>
            <w:tcW w:w="125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D957E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Left STG/MTG</w:t>
            </w:r>
          </w:p>
        </w:tc>
        <w:tc>
          <w:tcPr>
            <w:tcW w:w="9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0E712B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Right DLPFC</w:t>
            </w:r>
          </w:p>
        </w:tc>
        <w:tc>
          <w:tcPr>
            <w:tcW w:w="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184B34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aCbm</w:t>
            </w:r>
          </w:p>
        </w:tc>
        <w:tc>
          <w:tcPr>
            <w:tcW w:w="120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09AF6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Thalamus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09BE8DF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Caudate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41B204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DMPFC</w:t>
            </w:r>
          </w:p>
        </w:tc>
      </w:tr>
      <w:tr w14:paraId="4DED1D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130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5F1FAD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Duration</w:t>
            </w:r>
          </w:p>
        </w:tc>
        <w:tc>
          <w:tcPr>
            <w:tcW w:w="88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4F1A7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125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0B759A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9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4F6BFB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77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925D93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-0.02</w:t>
            </w:r>
          </w:p>
        </w:tc>
        <w:tc>
          <w:tcPr>
            <w:tcW w:w="12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C0A4DD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-0.04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258586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-0.33</w:t>
            </w:r>
          </w:p>
        </w:tc>
        <w:tc>
          <w:tcPr>
            <w:tcW w:w="100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43CBC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0.04</w:t>
            </w:r>
          </w:p>
        </w:tc>
      </w:tr>
      <w:tr w14:paraId="1CF089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1C8F0624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5EB4C4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ED8FD6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-0.26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57F380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965BC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0.02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F4BFAA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DC6B6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-0.26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31237B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</w:tr>
      <w:tr w14:paraId="15874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52C87CA4">
            <w:pPr>
              <w:spacing w:after="0"/>
              <w:jc w:val="center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062836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E571E5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F33E46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CEBD8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A49CA0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D803D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0.41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79177F9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FF0000"/>
                <w:kern w:val="0"/>
                <w:sz w:val="24"/>
                <w:lang w:bidi="ar"/>
              </w:rPr>
              <w:t>0.44</w:t>
            </w:r>
          </w:p>
        </w:tc>
      </w:tr>
      <w:tr w14:paraId="49869F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00F68C23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D6ACDD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66A01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D19986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F835A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22F352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16680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EA1354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-0.10</w:t>
            </w:r>
          </w:p>
        </w:tc>
      </w:tr>
      <w:tr w14:paraId="2A1F33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4C98DAC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F0EE84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9F1C4A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B124B3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7DBF27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BF2952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4FE62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0.05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83D7E3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-0.06</w:t>
            </w:r>
          </w:p>
        </w:tc>
      </w:tr>
      <w:tr w14:paraId="3D0AD1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09F97992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2B97DD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11CF2C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E9B729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color w:val="FF0000"/>
                <w:kern w:val="0"/>
                <w:sz w:val="24"/>
                <w:lang w:bidi="ar"/>
              </w:rPr>
              <w:t>0.56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872B8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9E71E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846EC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-0.03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09B9E0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-0.10</w:t>
            </w:r>
          </w:p>
        </w:tc>
      </w:tr>
      <w:tr w14:paraId="534C65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630997F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2183FF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75AC10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-0.05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FABB1EF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D61BEE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8FA47E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A5964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F83EDF4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-0.01</w:t>
            </w:r>
          </w:p>
        </w:tc>
      </w:tr>
      <w:tr w14:paraId="1EED78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34D94B58">
            <w:pPr>
              <w:spacing w:after="0"/>
              <w:jc w:val="center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MnI group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F2C4F68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PHG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1EEF37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Left STG/MTG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6FFF0C8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Right DLPFC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3C4F17D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aCbm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571112B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Thalamus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AC6068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Caudate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8FB620E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DMPFC</w:t>
            </w:r>
          </w:p>
        </w:tc>
      </w:tr>
      <w:tr w14:paraId="630D47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173934D2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Duration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8AC139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C783D4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BD3BA3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9AA4C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-0.12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BAFF18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D1D1B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-0.30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7661A5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0.05</w:t>
            </w:r>
          </w:p>
        </w:tc>
      </w:tr>
      <w:tr w14:paraId="44C13F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0F7A404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Frequency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00073D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C6860E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-0.28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B5A9CC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3CE80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-0.12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19EA38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F30D4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05194A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0.24</w:t>
            </w:r>
          </w:p>
        </w:tc>
      </w:tr>
      <w:tr w14:paraId="69EDBF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44B4F511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Attack duration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D2A548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BF8D612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-0.08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439381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29DC7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-0.04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AFBA2B7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9E060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-0.14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359DFD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-0.05</w:t>
            </w:r>
          </w:p>
        </w:tc>
      </w:tr>
      <w:tr w14:paraId="4E83F3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60E8F276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VAS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3AA9360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1E4A30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B4F965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746798B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5B1945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-0.39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9505C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80B8F4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0.05</w:t>
            </w:r>
          </w:p>
        </w:tc>
      </w:tr>
      <w:tr w14:paraId="0D2757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372A001C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HIT-6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1530E5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A59BCC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0.09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FAB04D6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E585F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-0.23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65066A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7F41C1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-0.18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E0A533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0.20</w:t>
            </w:r>
          </w:p>
        </w:tc>
      </w:tr>
      <w:tr w14:paraId="6C215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4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3953856A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PSQI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431FFC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0.14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D2E986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F99DE8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FB51A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077BD93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B05E7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652589B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-0.03</w:t>
            </w:r>
          </w:p>
        </w:tc>
      </w:tr>
      <w:tr w14:paraId="2CBF94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308" w:type="dxa"/>
            <w:shd w:val="clear" w:color="auto" w:fill="auto"/>
            <w:vAlign w:val="center"/>
          </w:tcPr>
          <w:p w14:paraId="565CA495">
            <w:pPr>
              <w:widowControl/>
              <w:spacing w:after="0"/>
              <w:jc w:val="center"/>
              <w:textAlignment w:val="top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SAS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B22BBF9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92231D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-0.15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759D958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0.07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F3B53A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-0.26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C7C24A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0.32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96BF15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0.26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F2D6D1C">
            <w:pPr>
              <w:widowControl/>
              <w:spacing w:after="0"/>
              <w:jc w:val="center"/>
              <w:textAlignment w:val="bottom"/>
              <w:rPr>
                <w:rFonts w:ascii="Times New Roman Regular" w:hAnsi="Times New Roman Regular" w:eastAsia="宋体" w:cs="Times New Roman Regular"/>
                <w:sz w:val="24"/>
              </w:rPr>
            </w:pPr>
            <w:r>
              <w:rPr>
                <w:rFonts w:ascii="Times New Roman Regular" w:hAnsi="Times New Roman Regular" w:eastAsia="宋体" w:cs="Times New Roman Regular"/>
                <w:kern w:val="0"/>
                <w:sz w:val="24"/>
                <w:lang w:bidi="ar"/>
              </w:rPr>
              <w:t>-0.09</w:t>
            </w:r>
          </w:p>
        </w:tc>
      </w:tr>
    </w:tbl>
    <w:p w14:paraId="4CC03191">
      <w:pPr>
        <w:widowControl/>
        <w:spacing w:beforeAutospacing="1" w:line="360" w:lineRule="auto"/>
        <w:rPr>
          <w:rFonts w:ascii="Times New Roman" w:hAnsi="Times New Roman" w:eastAsia="等线" w:cs="Times New Roman"/>
          <w:sz w:val="24"/>
          <w:shd w:val="clear" w:color="auto" w:fill="FFFFFF"/>
        </w:rPr>
      </w:pPr>
      <w:bookmarkStart w:id="1" w:name="OLE_LINK75"/>
      <w:bookmarkStart w:id="2" w:name="OLE_LINK76"/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Abbreviations: MI, patients with comorbid migraine and insomnia; MnI, patients with migraine with no insomnia; </w:t>
      </w:r>
      <w:bookmarkEnd w:id="1"/>
      <w:bookmarkEnd w:id="2"/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VAS, Visual Analogue Scale; HIT-6, Headache Impact Test six; PSQI, Pittsburgh Sleep Quality Index; SDS, Zung self-depression scale; SAS, Zung self-anxiety scale; </w:t>
      </w:r>
      <w:r>
        <w:rPr>
          <w:rFonts w:ascii="Times New Roman" w:hAnsi="Times New Roman" w:eastAsia="等线" w:cs="Times New Roman"/>
          <w:kern w:val="0"/>
          <w:sz w:val="24"/>
          <w:shd w:val="clear" w:color="auto" w:fill="FFFFFF"/>
          <w:lang w:bidi="ar"/>
        </w:rPr>
        <w:t>PHG, parahippocampal gyrus; STG, superior temporal gyrus; MTG, middle temporal gyrus; DLPFC, dorsolateral prefrontal cortex; DMPFC, dorsomedial prefrontal cortex.</w:t>
      </w:r>
    </w:p>
    <w:p w14:paraId="4FD70D3F">
      <w:pPr>
        <w:widowControl/>
        <w:jc w:val="left"/>
        <w:rPr>
          <w:rFonts w:ascii="Times New Roman Regular" w:hAnsi="Times New Roman Regular" w:cs="Times New Roman Regular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377110">
      <w:pPr>
        <w:pStyle w:val="3"/>
        <w:widowControl/>
        <w:spacing w:line="360" w:lineRule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drawing>
          <wp:inline distT="0" distB="0" distL="114300" distR="114300">
            <wp:extent cx="4572000" cy="5144770"/>
            <wp:effectExtent l="0" t="0" r="0" b="1143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4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5AD1">
      <w:pPr>
        <w:pStyle w:val="3"/>
        <w:widowControl/>
        <w:spacing w:line="360" w:lineRule="auto"/>
        <w:rPr>
          <w:rFonts w:hint="default" w:ascii="Times New Roman Regular" w:hAnsi="Times New Roman Regular" w:cs="Times New Roman Regular"/>
        </w:rPr>
      </w:pPr>
    </w:p>
    <w:p w14:paraId="5F619469">
      <w:pPr>
        <w:widowControl/>
        <w:jc w:val="left"/>
        <w:rPr>
          <w:rFonts w:ascii="Times New Roman Regular" w:hAnsi="Times New Roman Regular" w:cs="Times New Roman Regular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 Bold" w:hAnsi="Times New Roman Bold" w:cs="Times New Roman Bold"/>
          <w:b/>
          <w:bCs/>
          <w:sz w:val="24"/>
          <w:lang w:eastAsia="zh-Hans"/>
        </w:rPr>
        <w:t xml:space="preserve">Figure S1. The bilateral LC-FC network patterns for the three groups. </w:t>
      </w:r>
      <w:r>
        <w:rPr>
          <w:rFonts w:ascii="Times New Roman Regular" w:hAnsi="Times New Roman Regular" w:cs="Times New Roman Regular"/>
          <w:sz w:val="24"/>
        </w:rPr>
        <w:t>Abbreviations: LC-FC, locus coeruleus functional connectivity; MI, patients with comorbid migraine and insomnia; MnI, patients with migraine with no insomnia; HC, healthy control.</w:t>
      </w:r>
    </w:p>
    <w:p w14:paraId="00BE3456">
      <w:pPr>
        <w:widowControl/>
        <w:jc w:val="left"/>
        <w:rPr>
          <w:rFonts w:ascii="Times New Roman Regular" w:hAnsi="Times New Roman Regular" w:cs="Times New Roman Regular"/>
          <w:sz w:val="24"/>
        </w:rPr>
      </w:pPr>
    </w:p>
    <w:p w14:paraId="1BEA6930"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drawing>
          <wp:inline distT="0" distB="0" distL="114300" distR="114300">
            <wp:extent cx="5272405" cy="2024380"/>
            <wp:effectExtent l="0" t="0" r="10795" b="7620"/>
            <wp:docPr id="2" name="图片 2" descr="Supplem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ary Fig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214C8">
      <w:pPr>
        <w:widowControl/>
        <w:jc w:val="left"/>
        <w:rPr>
          <w:rFonts w:ascii="Times New Roman Bold" w:hAnsi="Times New Roman Bold" w:cs="Times New Roman Bold"/>
          <w:sz w:val="24"/>
        </w:rPr>
      </w:pPr>
      <w:r>
        <w:rPr>
          <w:rFonts w:ascii="Times New Roman Bold" w:hAnsi="Times New Roman Bold" w:cs="Times New Roman Bold"/>
          <w:b/>
          <w:bCs/>
          <w:sz w:val="24"/>
          <w:lang w:eastAsia="zh-Hans"/>
        </w:rPr>
        <w:t>Figure S2. The LC-FC results overlapped with the Yeo 7 functional network</w:t>
      </w:r>
      <w:r>
        <w:rPr>
          <w:rFonts w:ascii="Times New Roman Bold" w:hAnsi="Times New Roman Bold" w:cs="Times New Roman Bold"/>
          <w:b/>
          <w:bCs/>
          <w:sz w:val="24"/>
        </w:rPr>
        <w:t xml:space="preserve"> atlas. </w:t>
      </w:r>
      <w:r>
        <w:rPr>
          <w:rFonts w:ascii="Times New Roman Bold" w:hAnsi="Times New Roman Bold" w:cs="Times New Roman Bold"/>
          <w:sz w:val="24"/>
        </w:rPr>
        <w:t>Abbreviations: LC, locus coeruleus; FC, functional connectivity.</w:t>
      </w:r>
    </w:p>
    <w:p w14:paraId="3874006E">
      <w:pPr>
        <w:pStyle w:val="3"/>
        <w:widowControl/>
        <w:spacing w:line="360" w:lineRule="auto"/>
        <w:rPr>
          <w:rFonts w:hint="default" w:ascii="Times New Roman Regular" w:hAnsi="Times New Roman Regular" w:cs="Times New Roman Regular"/>
        </w:rPr>
      </w:pPr>
      <w:r>
        <w:rPr>
          <w:rFonts w:ascii="Arial Regular" w:hAnsi="Arial Regular" w:cs="Arial Regular"/>
          <w:color w:val="0000FF"/>
          <w:sz w:val="21"/>
          <w:szCs w:val="21"/>
          <w:lang w:eastAsia="zh-Hans"/>
        </w:rPr>
        <w:t>.</w:t>
      </w:r>
    </w:p>
    <w:p w14:paraId="55414DE5">
      <w:pPr>
        <w:rPr>
          <w:rFonts w:ascii="Times New Roman Regular" w:hAnsi="Times New Roman Regular" w:cs="Times New Roman Regular"/>
          <w:sz w:val="24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wMDUzZTE4NTY0ZWRkZTdhMTc5NDViNzQwNzAxYWQifQ=="/>
  </w:docVars>
  <w:rsids>
    <w:rsidRoot w:val="7FC7BC63"/>
    <w:rsid w:val="0035789C"/>
    <w:rsid w:val="004359D5"/>
    <w:rsid w:val="004579DA"/>
    <w:rsid w:val="0047407B"/>
    <w:rsid w:val="00662183"/>
    <w:rsid w:val="00975184"/>
    <w:rsid w:val="009F5624"/>
    <w:rsid w:val="00AB7A5C"/>
    <w:rsid w:val="00BC44BE"/>
    <w:rsid w:val="00CC58AF"/>
    <w:rsid w:val="00EA49E2"/>
    <w:rsid w:val="3CFFA857"/>
    <w:rsid w:val="56187F61"/>
    <w:rsid w:val="74FC37A1"/>
    <w:rsid w:val="7DE269A3"/>
    <w:rsid w:val="7F3816B6"/>
    <w:rsid w:val="7FC7BC63"/>
    <w:rsid w:val="7FFDFD37"/>
    <w:rsid w:val="ACCB8F6A"/>
    <w:rsid w:val="EEF77ED4"/>
    <w:rsid w:val="EF39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spacing w:line="240" w:lineRule="auto"/>
    </w:pPr>
    <w:rPr>
      <w:sz w:val="20"/>
      <w:szCs w:val="20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annotation subject"/>
    <w:basedOn w:val="2"/>
    <w:next w:val="2"/>
    <w:link w:val="12"/>
    <w:uiPriority w:val="0"/>
    <w:rPr>
      <w:b/>
      <w:bCs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iPriority w:val="0"/>
    <w:rPr>
      <w:sz w:val="16"/>
      <w:szCs w:val="16"/>
    </w:rPr>
  </w:style>
  <w:style w:type="paragraph" w:customStyle="1" w:styleId="10">
    <w:name w:val="Revision"/>
    <w: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文字 字符"/>
    <w:basedOn w:val="8"/>
    <w:link w:val="2"/>
    <w:uiPriority w:val="0"/>
    <w:rPr>
      <w:rFonts w:asciiTheme="minorHAnsi" w:hAnsiTheme="minorHAnsi" w:eastAsiaTheme="minorEastAsia" w:cstheme="minorBidi"/>
      <w:kern w:val="2"/>
      <w:lang w:eastAsia="zh-CN"/>
    </w:rPr>
  </w:style>
  <w:style w:type="character" w:customStyle="1" w:styleId="12">
    <w:name w:val="批注主题 字符"/>
    <w:basedOn w:val="11"/>
    <w:link w:val="5"/>
    <w:uiPriority w:val="0"/>
    <w:rPr>
      <w:rFonts w:asciiTheme="minorHAnsi" w:hAnsiTheme="minorHAnsi" w:eastAsiaTheme="minorEastAsia" w:cstheme="minorBidi"/>
      <w:b/>
      <w:bCs/>
      <w:kern w:val="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509</Words>
  <Characters>2661</Characters>
  <Lines>22</Lines>
  <Paragraphs>6</Paragraphs>
  <TotalTime>1</TotalTime>
  <ScaleCrop>false</ScaleCrop>
  <LinksUpToDate>false</LinksUpToDate>
  <CharactersWithSpaces>2891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2024-09-23T09:27:00Z</dcterms:created>
  <dc:creator>Gallen</dc:creator>
  <cp:lastModifiedBy>席春华</cp:lastModifiedBy>
  <dcterms:modified xsi:type="dcterms:W3CDTF">2024-09-23T17:45:45Z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188b768d65e6fad80a3c52ad15ab3bbfe9f131a876a2ff12fc5bdbb0c7f5a2ec</vt:lpwstr>
  </property>
  <property fmtid="{D5CDD505-2E9C-101B-9397-08002B2CF9AE}" pid="3" name="KSOProductBuildVer">
    <vt:lpwstr>2052-12.1.0.18276</vt:lpwstr>
  </property>
  <property fmtid="{D5CDD505-2E9C-101B-9397-08002B2CF9AE}" pid="4" name="ICV">
    <vt:lpwstr>F8D3C3119A1340C69F3D80DB6A23B31A_12</vt:lpwstr>
  </property>
</Properties>
</file>