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134BF" w14:textId="10D2BCF2" w:rsidR="00485C15" w:rsidRDefault="0024211F" w:rsidP="00485C15">
      <w:pPr>
        <w:keepNext/>
        <w:keepLines/>
        <w:spacing w:before="240" w:after="0" w:line="480" w:lineRule="auto"/>
        <w:outlineLvl w:val="0"/>
        <w:rPr>
          <w:rFonts w:ascii="Calibri" w:eastAsia="Yu Gothic Light" w:hAnsi="Calibri" w:cs="Times New Roman"/>
          <w:b/>
          <w:color w:val="0070C0"/>
          <w:kern w:val="0"/>
          <w:sz w:val="28"/>
          <w:szCs w:val="32"/>
          <w:lang w:eastAsia="en-US"/>
          <w14:ligatures w14:val="none"/>
        </w:rPr>
      </w:pPr>
      <w:r>
        <w:rPr>
          <w:rFonts w:ascii="Calibri" w:eastAsia="Yu Gothic Light" w:hAnsi="Calibri" w:cs="Times New Roman"/>
          <w:b/>
          <w:color w:val="0070C0"/>
          <w:kern w:val="0"/>
          <w:sz w:val="28"/>
          <w:szCs w:val="32"/>
          <w:lang w:eastAsia="en-US"/>
          <w14:ligatures w14:val="none"/>
        </w:rPr>
        <w:t>1. STUDY PROTOCOL</w:t>
      </w:r>
    </w:p>
    <w:p w14:paraId="16D6FDCC" w14:textId="139A6FD7" w:rsidR="00485C15" w:rsidRDefault="003E59F7" w:rsidP="00486397">
      <w:pPr>
        <w:spacing w:line="360" w:lineRule="auto"/>
        <w:ind w:firstLine="720"/>
        <w:jc w:val="both"/>
        <w:rPr>
          <w:rFonts w:ascii="Times New Roman" w:hAnsi="Times New Roman" w:cs="Times New Roman"/>
          <w:lang w:eastAsia="en-US"/>
        </w:rPr>
      </w:pPr>
      <w:r w:rsidRPr="003E59F7">
        <w:rPr>
          <w:rFonts w:ascii="Times New Roman" w:hAnsi="Times New Roman" w:cs="Times New Roman"/>
          <w:lang w:eastAsia="en-US"/>
        </w:rPr>
        <w:t xml:space="preserve">The following provides a detailed description of the study setting, design, as well as the explanations and definitions used in our </w:t>
      </w:r>
      <w:r w:rsidR="0062118F">
        <w:rPr>
          <w:rFonts w:ascii="Times New Roman" w:hAnsi="Times New Roman" w:cs="Times New Roman"/>
          <w:lang w:eastAsia="en-US"/>
        </w:rPr>
        <w:t xml:space="preserve">original </w:t>
      </w:r>
      <w:r w:rsidRPr="003E59F7">
        <w:rPr>
          <w:rFonts w:ascii="Times New Roman" w:hAnsi="Times New Roman" w:cs="Times New Roman"/>
          <w:lang w:eastAsia="en-US"/>
        </w:rPr>
        <w:t>study. Part of the results from this study has been previously published</w:t>
      </w:r>
      <w:r>
        <w:rPr>
          <w:rFonts w:ascii="Times New Roman" w:hAnsi="Times New Roman" w:cs="Times New Roman"/>
          <w:lang w:eastAsia="en-US"/>
        </w:rPr>
        <w:t xml:space="preserve"> (</w:t>
      </w:r>
      <w:r w:rsidRPr="003E59F7">
        <w:rPr>
          <w:rFonts w:ascii="Times New Roman" w:hAnsi="Times New Roman" w:cs="Times New Roman"/>
          <w:color w:val="212121"/>
          <w:shd w:val="clear" w:color="auto" w:fill="FFFFFF"/>
        </w:rPr>
        <w:t>Vo HT, Vo KH, Duong LT, et al. The prevalence of headache disorders among medical students in Vietnam: a cross-sectional study. </w:t>
      </w:r>
      <w:r w:rsidRPr="003E59F7">
        <w:rPr>
          <w:rFonts w:ascii="Times New Roman" w:hAnsi="Times New Roman" w:cs="Times New Roman"/>
          <w:i/>
          <w:iCs/>
          <w:color w:val="212121"/>
          <w:shd w:val="clear" w:color="auto" w:fill="FFFFFF"/>
        </w:rPr>
        <w:t>J Headache Pain</w:t>
      </w:r>
      <w:r w:rsidRPr="003E59F7">
        <w:rPr>
          <w:rFonts w:ascii="Times New Roman" w:hAnsi="Times New Roman" w:cs="Times New Roman"/>
          <w:color w:val="212121"/>
          <w:shd w:val="clear" w:color="auto" w:fill="FFFFFF"/>
        </w:rPr>
        <w:t>. 2024;25(1):199. doi:10.1186/s10194-024-01912-1</w:t>
      </w:r>
      <w:r>
        <w:rPr>
          <w:rFonts w:ascii="Times New Roman" w:hAnsi="Times New Roman" w:cs="Times New Roman"/>
          <w:lang w:eastAsia="en-US"/>
        </w:rPr>
        <w:t>).</w:t>
      </w:r>
    </w:p>
    <w:p w14:paraId="31C95380" w14:textId="3A63C352" w:rsidR="00865882" w:rsidRDefault="00865882" w:rsidP="00486397">
      <w:pPr>
        <w:spacing w:line="360" w:lineRule="auto"/>
        <w:ind w:firstLine="720"/>
        <w:jc w:val="both"/>
        <w:rPr>
          <w:rFonts w:ascii="Times New Roman" w:hAnsi="Times New Roman" w:cs="Times New Roman"/>
          <w:lang w:eastAsia="en-US"/>
        </w:rPr>
      </w:pPr>
      <w:r w:rsidRPr="00865882">
        <w:rPr>
          <w:rFonts w:ascii="Times New Roman" w:hAnsi="Times New Roman" w:cs="Times New Roman"/>
          <w:lang w:eastAsia="en-US"/>
        </w:rPr>
        <w:t>The link to access the HARDSHIP questionnaire file is provided</w:t>
      </w:r>
      <w:r>
        <w:rPr>
          <w:rFonts w:ascii="Times New Roman" w:hAnsi="Times New Roman" w:cs="Times New Roman"/>
          <w:lang w:eastAsia="en-US"/>
        </w:rPr>
        <w:t xml:space="preserve"> here: </w:t>
      </w:r>
      <w:hyperlink r:id="rId6" w:history="1">
        <w:r w:rsidRPr="00865882">
          <w:rPr>
            <w:rStyle w:val="Hyperlink"/>
            <w:rFonts w:ascii="Times New Roman" w:hAnsi="Times New Roman" w:cs="Times New Roman"/>
            <w:lang w:eastAsia="en-US"/>
          </w:rPr>
          <w:t>https://static-content.springer.com/esm/art%3A10.1186%2F1129-2377-15-3/MediaObjects/10194_2013</w:t>
        </w:r>
        <w:r w:rsidRPr="00865882">
          <w:rPr>
            <w:rStyle w:val="Hyperlink"/>
            <w:rFonts w:ascii="Times New Roman" w:hAnsi="Times New Roman" w:cs="Times New Roman"/>
            <w:lang w:eastAsia="en-US"/>
          </w:rPr>
          <w:t>_</w:t>
        </w:r>
        <w:r w:rsidRPr="00865882">
          <w:rPr>
            <w:rStyle w:val="Hyperlink"/>
            <w:rFonts w:ascii="Times New Roman" w:hAnsi="Times New Roman" w:cs="Times New Roman"/>
            <w:lang w:eastAsia="en-US"/>
          </w:rPr>
          <w:t>1038_MOESM1_ESM.pdf</w:t>
        </w:r>
      </w:hyperlink>
    </w:p>
    <w:p w14:paraId="593208B0" w14:textId="77777777" w:rsidR="00485C15" w:rsidRPr="00485C15" w:rsidRDefault="00485C15" w:rsidP="00485C15">
      <w:pPr>
        <w:keepNext/>
        <w:keepLines/>
        <w:spacing w:before="40" w:after="0" w:line="480" w:lineRule="auto"/>
        <w:outlineLvl w:val="1"/>
        <w:rPr>
          <w:rFonts w:ascii="Calibri" w:eastAsia="Yu Gothic Light" w:hAnsi="Calibri" w:cs="Times New Roman"/>
          <w:b/>
          <w:color w:val="002060"/>
          <w:kern w:val="0"/>
          <w:sz w:val="26"/>
          <w:szCs w:val="26"/>
          <w:lang w:eastAsia="en-US"/>
          <w14:ligatures w14:val="none"/>
        </w:rPr>
      </w:pPr>
      <w:bookmarkStart w:id="0" w:name="OLE_LINK2"/>
      <w:r w:rsidRPr="00485C15">
        <w:rPr>
          <w:rFonts w:ascii="Calibri" w:eastAsia="Yu Gothic Light" w:hAnsi="Calibri" w:cs="Times New Roman"/>
          <w:b/>
          <w:color w:val="002060"/>
          <w:kern w:val="0"/>
          <w:sz w:val="26"/>
          <w:szCs w:val="26"/>
          <w:lang w:eastAsia="en-US"/>
          <w14:ligatures w14:val="none"/>
        </w:rPr>
        <w:t>STUDY DESIGN AND SETTING</w:t>
      </w:r>
    </w:p>
    <w:p w14:paraId="6F8437BA" w14:textId="15201FDA" w:rsidR="00485C15" w:rsidRPr="00485C15" w:rsidRDefault="00485C15" w:rsidP="00485C15">
      <w:pPr>
        <w:spacing w:line="480" w:lineRule="auto"/>
        <w:ind w:firstLine="720"/>
        <w:jc w:val="both"/>
        <w:rPr>
          <w:rFonts w:ascii="Times New Roman" w:eastAsia="Calibri" w:hAnsi="Times New Roman" w:cs="Times New Roman"/>
          <w:kern w:val="0"/>
          <w:lang w:eastAsia="en-US"/>
          <w14:ligatures w14:val="none"/>
        </w:rPr>
      </w:pPr>
      <w:r w:rsidRPr="00485C15">
        <w:rPr>
          <w:rFonts w:ascii="Times New Roman" w:eastAsia="Calibri" w:hAnsi="Times New Roman" w:cs="Times New Roman"/>
          <w:kern w:val="0"/>
          <w:lang w:eastAsia="en-US"/>
          <w14:ligatures w14:val="none"/>
        </w:rPr>
        <w:t xml:space="preserve">This study was a cross-sectional investigation of headache </w:t>
      </w:r>
      <w:r w:rsidRPr="00485C15">
        <w:rPr>
          <w:rFonts w:ascii="Times New Roman" w:eastAsia="Calibri" w:hAnsi="Times New Roman" w:cs="Times New Roman"/>
          <w:kern w:val="0"/>
          <w:lang w:val="vi-VN" w:eastAsia="en-US"/>
          <w14:ligatures w14:val="none"/>
        </w:rPr>
        <w:t xml:space="preserve">disorders </w:t>
      </w:r>
      <w:r w:rsidRPr="00485C15">
        <w:rPr>
          <w:rFonts w:ascii="Times New Roman" w:eastAsia="Calibri" w:hAnsi="Times New Roman" w:cs="Times New Roman"/>
          <w:kern w:val="0"/>
          <w:lang w:eastAsia="en-US"/>
          <w14:ligatures w14:val="none"/>
        </w:rPr>
        <w:t xml:space="preserve">conducted at Hanoi Medical University (HMU) and the </w:t>
      </w:r>
      <w:bookmarkStart w:id="1" w:name="_Hlk178004093"/>
      <w:r w:rsidRPr="00485C15">
        <w:rPr>
          <w:rFonts w:ascii="Times New Roman" w:eastAsia="Calibri" w:hAnsi="Times New Roman" w:cs="Times New Roman"/>
          <w:kern w:val="0"/>
          <w:lang w:eastAsia="en-US"/>
          <w14:ligatures w14:val="none"/>
        </w:rPr>
        <w:t>University of Medicine and Pharmacy, Vietnam National University, Hanoi</w:t>
      </w:r>
      <w:bookmarkEnd w:id="1"/>
      <w:r w:rsidRPr="00485C15">
        <w:rPr>
          <w:rFonts w:ascii="Times New Roman" w:eastAsia="Calibri" w:hAnsi="Times New Roman" w:cs="Times New Roman"/>
          <w:kern w:val="0"/>
          <w:lang w:eastAsia="en-US"/>
          <w14:ligatures w14:val="none"/>
        </w:rPr>
        <w:t xml:space="preserve"> (VNU–UMP), from March 2024 to August 2024. Both institutions are leaders in medical education and research in Vietnam. </w:t>
      </w:r>
    </w:p>
    <w:bookmarkEnd w:id="0"/>
    <w:p w14:paraId="3E5ADB13" w14:textId="77777777" w:rsidR="00485C15" w:rsidRPr="00485C15" w:rsidRDefault="00485C15" w:rsidP="00485C15">
      <w:pPr>
        <w:keepNext/>
        <w:keepLines/>
        <w:spacing w:before="40" w:after="0" w:line="480" w:lineRule="auto"/>
        <w:outlineLvl w:val="1"/>
        <w:rPr>
          <w:rFonts w:ascii="Calibri" w:eastAsia="Calibri" w:hAnsi="Calibri" w:cs="Times New Roman"/>
          <w:b/>
          <w:color w:val="002060"/>
          <w:kern w:val="0"/>
          <w:sz w:val="26"/>
          <w:szCs w:val="26"/>
          <w:lang w:eastAsia="en-US"/>
          <w14:ligatures w14:val="none"/>
        </w:rPr>
      </w:pPr>
      <w:r w:rsidRPr="00485C15">
        <w:rPr>
          <w:rFonts w:ascii="Calibri" w:eastAsia="Calibri" w:hAnsi="Calibri" w:cs="Times New Roman"/>
          <w:b/>
          <w:color w:val="002060"/>
          <w:kern w:val="0"/>
          <w:sz w:val="26"/>
          <w:szCs w:val="26"/>
          <w:lang w:eastAsia="en-US"/>
          <w14:ligatures w14:val="none"/>
        </w:rPr>
        <w:t>STUDY PARTICIPANTS AND SAMPLING</w:t>
      </w:r>
    </w:p>
    <w:p w14:paraId="3E932F29" w14:textId="77777777" w:rsidR="00485C15" w:rsidRPr="00485C15" w:rsidRDefault="00485C15" w:rsidP="00485C15">
      <w:pPr>
        <w:spacing w:line="480" w:lineRule="auto"/>
        <w:ind w:firstLine="720"/>
        <w:jc w:val="both"/>
        <w:rPr>
          <w:rFonts w:ascii="Times New Roman" w:eastAsia="Calibri" w:hAnsi="Times New Roman" w:cs="Times New Roman"/>
          <w:kern w:val="0"/>
          <w:lang w:eastAsia="en-US"/>
          <w14:ligatures w14:val="none"/>
        </w:rPr>
      </w:pPr>
      <w:bookmarkStart w:id="2" w:name="_Hlk182116411"/>
      <w:bookmarkStart w:id="3" w:name="OLE_LINK86"/>
      <w:r w:rsidRPr="00485C15">
        <w:rPr>
          <w:rFonts w:ascii="Times New Roman" w:eastAsia="Calibri" w:hAnsi="Times New Roman" w:cs="Times New Roman"/>
          <w:kern w:val="0"/>
          <w:lang w:eastAsia="en-US"/>
          <w14:ligatures w14:val="none"/>
        </w:rPr>
        <w:t xml:space="preserve">The research subjects were medical students from HMU and VNU–UMP. </w:t>
      </w:r>
      <w:bookmarkStart w:id="4" w:name="_Hlk182116495"/>
      <w:bookmarkEnd w:id="2"/>
      <w:r w:rsidRPr="00485C15">
        <w:rPr>
          <w:rFonts w:ascii="Times New Roman" w:eastAsia="Calibri" w:hAnsi="Times New Roman" w:cs="Times New Roman"/>
          <w:kern w:val="0"/>
          <w:lang w:eastAsia="en-US"/>
          <w14:ligatures w14:val="none"/>
        </w:rPr>
        <w:t>Eligible participants were Vietnamese medical students aged 18 years or older.</w:t>
      </w:r>
      <w:bookmarkEnd w:id="4"/>
      <w:r w:rsidRPr="00485C15">
        <w:rPr>
          <w:rFonts w:ascii="Times New Roman" w:eastAsia="Calibri" w:hAnsi="Times New Roman" w:cs="Times New Roman"/>
          <w:kern w:val="0"/>
          <w:lang w:eastAsia="en-US"/>
          <w14:ligatures w14:val="none"/>
        </w:rPr>
        <w:t xml:space="preserve"> We excluded </w:t>
      </w:r>
      <w:bookmarkStart w:id="5" w:name="OLE_LINK139"/>
      <w:r w:rsidRPr="00485C15">
        <w:rPr>
          <w:rFonts w:ascii="Times New Roman" w:eastAsia="Calibri" w:hAnsi="Times New Roman" w:cs="Times New Roman"/>
          <w:kern w:val="0"/>
          <w:lang w:eastAsia="en-US"/>
          <w14:ligatures w14:val="none"/>
        </w:rPr>
        <w:t>student</w:t>
      </w:r>
      <w:bookmarkEnd w:id="5"/>
      <w:r w:rsidRPr="00485C15">
        <w:rPr>
          <w:rFonts w:ascii="Times New Roman" w:eastAsia="Calibri" w:hAnsi="Times New Roman" w:cs="Times New Roman"/>
          <w:kern w:val="0"/>
          <w:lang w:eastAsia="en-US"/>
          <w14:ligatures w14:val="none"/>
        </w:rPr>
        <w:t xml:space="preserve">s who withdrew from the study midway or those who were unable to complete the data collection process within one week of commencing participation. All students who met the criteria for eligibility and consented to the study were included in </w:t>
      </w:r>
      <w:bookmarkStart w:id="6" w:name="OLE_LINK140"/>
      <w:r w:rsidRPr="00485C15">
        <w:rPr>
          <w:rFonts w:ascii="Times New Roman" w:eastAsia="Calibri" w:hAnsi="Times New Roman" w:cs="Times New Roman"/>
          <w:kern w:val="0"/>
          <w:lang w:eastAsia="en-US"/>
          <w14:ligatures w14:val="none"/>
        </w:rPr>
        <w:t>our study</w:t>
      </w:r>
      <w:bookmarkEnd w:id="6"/>
      <w:r w:rsidRPr="00485C15">
        <w:rPr>
          <w:rFonts w:ascii="Times New Roman" w:eastAsia="Calibri" w:hAnsi="Times New Roman" w:cs="Times New Roman"/>
          <w:kern w:val="0"/>
          <w:lang w:eastAsia="en-US"/>
          <w14:ligatures w14:val="none"/>
        </w:rPr>
        <w:t>.</w:t>
      </w:r>
    </w:p>
    <w:bookmarkEnd w:id="3"/>
    <w:p w14:paraId="2F8507C5" w14:textId="52CE81DF" w:rsidR="00485C15" w:rsidRPr="00485C15" w:rsidRDefault="00485C15" w:rsidP="00485C15">
      <w:pPr>
        <w:spacing w:line="480" w:lineRule="auto"/>
        <w:ind w:firstLine="720"/>
        <w:jc w:val="both"/>
        <w:rPr>
          <w:rFonts w:ascii="Times New Roman" w:eastAsia="Calibri" w:hAnsi="Times New Roman" w:cs="Times New Roman"/>
          <w:kern w:val="0"/>
          <w:lang w:val="vi-VN" w:eastAsia="en-US"/>
          <w14:ligatures w14:val="none"/>
        </w:rPr>
      </w:pPr>
      <w:r w:rsidRPr="00485C15">
        <w:rPr>
          <w:rFonts w:ascii="Times New Roman" w:eastAsia="Calibri" w:hAnsi="Times New Roman" w:cs="Times New Roman"/>
          <w:kern w:val="0"/>
          <w:lang w:eastAsia="en-US"/>
          <w14:ligatures w14:val="none"/>
        </w:rPr>
        <w:t>The required sample size n was calculated using the formula estimating a prevalence: n = n</w:t>
      </w:r>
      <w:r w:rsidRPr="00485C15">
        <w:rPr>
          <w:rFonts w:ascii="Times New Roman" w:eastAsia="Calibri" w:hAnsi="Times New Roman" w:cs="Times New Roman"/>
          <w:kern w:val="0"/>
          <w:vertAlign w:val="subscript"/>
          <w:lang w:eastAsia="en-US"/>
          <w14:ligatures w14:val="none"/>
        </w:rPr>
        <w:t>1</w:t>
      </w:r>
      <w:r w:rsidRPr="00485C15">
        <w:rPr>
          <w:rFonts w:ascii="Times New Roman" w:eastAsia="Calibri" w:hAnsi="Times New Roman" w:cs="Times New Roman"/>
          <w:kern w:val="0"/>
          <w:lang w:eastAsia="en-US"/>
          <w14:ligatures w14:val="none"/>
        </w:rPr>
        <w:t>/ (1 + (n</w:t>
      </w:r>
      <w:r w:rsidRPr="00485C15">
        <w:rPr>
          <w:rFonts w:ascii="Times New Roman" w:eastAsia="Calibri" w:hAnsi="Times New Roman" w:cs="Times New Roman"/>
          <w:kern w:val="0"/>
          <w:vertAlign w:val="subscript"/>
          <w:lang w:eastAsia="en-US"/>
          <w14:ligatures w14:val="none"/>
        </w:rPr>
        <w:t>1</w:t>
      </w:r>
      <w:r w:rsidRPr="00485C15">
        <w:rPr>
          <w:rFonts w:ascii="Times New Roman" w:eastAsia="Calibri" w:hAnsi="Times New Roman" w:cs="Times New Roman"/>
          <w:kern w:val="0"/>
          <w:lang w:eastAsia="en-US"/>
          <w14:ligatures w14:val="none"/>
        </w:rPr>
        <w:t xml:space="preserve"> – 1)/N), where n</w:t>
      </w:r>
      <w:r w:rsidRPr="00485C15">
        <w:rPr>
          <w:rFonts w:ascii="Times New Roman" w:eastAsia="Calibri" w:hAnsi="Times New Roman" w:cs="Times New Roman"/>
          <w:kern w:val="0"/>
          <w:vertAlign w:val="subscript"/>
          <w:lang w:eastAsia="en-US"/>
          <w14:ligatures w14:val="none"/>
        </w:rPr>
        <w:t>1</w:t>
      </w:r>
      <w:r w:rsidRPr="00485C15">
        <w:rPr>
          <w:rFonts w:ascii="Times New Roman" w:eastAsia="Calibri" w:hAnsi="Times New Roman" w:cs="Times New Roman"/>
          <w:kern w:val="0"/>
          <w:lang w:eastAsia="en-US"/>
          <w14:ligatures w14:val="none"/>
        </w:rPr>
        <w:t xml:space="preserve"> = Z</w:t>
      </w:r>
      <w:r w:rsidRPr="00485C15">
        <w:rPr>
          <w:rFonts w:ascii="Times New Roman" w:eastAsia="Calibri" w:hAnsi="Times New Roman" w:cs="Times New Roman"/>
          <w:kern w:val="0"/>
          <w:vertAlign w:val="subscript"/>
          <w:lang w:eastAsia="en-US"/>
          <w14:ligatures w14:val="none"/>
        </w:rPr>
        <w:t>α/2</w:t>
      </w:r>
      <w:r w:rsidRPr="00485C15">
        <w:rPr>
          <w:rFonts w:ascii="Times New Roman" w:eastAsia="Calibri" w:hAnsi="Times New Roman" w:cs="Times New Roman"/>
          <w:kern w:val="0"/>
          <w:vertAlign w:val="superscript"/>
          <w:lang w:eastAsia="en-US"/>
          <w14:ligatures w14:val="none"/>
        </w:rPr>
        <w:t>2</w:t>
      </w:r>
      <w:r w:rsidRPr="00485C15">
        <w:rPr>
          <w:rFonts w:ascii="Times New Roman" w:eastAsia="Calibri" w:hAnsi="Times New Roman" w:cs="Times New Roman"/>
          <w:kern w:val="0"/>
          <w:lang w:eastAsia="en-US"/>
          <w14:ligatures w14:val="none"/>
        </w:rPr>
        <w:t xml:space="preserve"> </w:t>
      </w:r>
      <w:r w:rsidRPr="00485C15">
        <w:rPr>
          <w:rFonts w:ascii="Cambria Math" w:eastAsia="Calibri" w:hAnsi="Cambria Math" w:cs="Cambria Math"/>
          <w:kern w:val="0"/>
          <w:lang w:eastAsia="en-US"/>
          <w14:ligatures w14:val="none"/>
        </w:rPr>
        <w:t xml:space="preserve">⋅ </w:t>
      </w:r>
      <w:r w:rsidRPr="00485C15">
        <w:rPr>
          <w:rFonts w:ascii="Times New Roman" w:eastAsia="Calibri" w:hAnsi="Times New Roman" w:cs="Times New Roman"/>
          <w:kern w:val="0"/>
          <w:lang w:eastAsia="en-US"/>
          <w14:ligatures w14:val="none"/>
        </w:rPr>
        <w:t>p</w:t>
      </w:r>
      <w:r w:rsidRPr="00485C15">
        <w:rPr>
          <w:rFonts w:ascii="Cambria Math" w:eastAsia="Calibri" w:hAnsi="Cambria Math" w:cs="Cambria Math"/>
          <w:kern w:val="0"/>
          <w:lang w:eastAsia="en-US"/>
          <w14:ligatures w14:val="none"/>
        </w:rPr>
        <w:t xml:space="preserve"> ⋅</w:t>
      </w:r>
      <w:r w:rsidRPr="00485C15">
        <w:rPr>
          <w:rFonts w:ascii="Times New Roman" w:eastAsia="Calibri" w:hAnsi="Times New Roman" w:cs="Times New Roman"/>
          <w:kern w:val="0"/>
          <w:lang w:eastAsia="en-US"/>
          <w14:ligatures w14:val="none"/>
        </w:rPr>
        <w:t xml:space="preserve"> (1 – p)/E</w:t>
      </w:r>
      <w:r w:rsidRPr="00485C15">
        <w:rPr>
          <w:rFonts w:ascii="Times New Roman" w:eastAsia="Calibri" w:hAnsi="Times New Roman" w:cs="Times New Roman"/>
          <w:kern w:val="0"/>
          <w:vertAlign w:val="superscript"/>
          <w:lang w:eastAsia="en-US"/>
          <w14:ligatures w14:val="none"/>
        </w:rPr>
        <w:t>2</w:t>
      </w:r>
      <w:r w:rsidRPr="00485C15">
        <w:rPr>
          <w:rFonts w:ascii="Times New Roman" w:eastAsia="Calibri" w:hAnsi="Times New Roman" w:cs="Times New Roman"/>
          <w:kern w:val="0"/>
          <w:lang w:eastAsia="en-US"/>
          <w14:ligatures w14:val="none"/>
        </w:rPr>
        <w:t xml:space="preserve"> (with Z</w:t>
      </w:r>
      <w:r w:rsidRPr="00485C15">
        <w:rPr>
          <w:rFonts w:ascii="Times New Roman" w:eastAsia="Calibri" w:hAnsi="Times New Roman" w:cs="Times New Roman"/>
          <w:kern w:val="0"/>
          <w:vertAlign w:val="subscript"/>
          <w:lang w:eastAsia="en-US"/>
          <w14:ligatures w14:val="none"/>
        </w:rPr>
        <w:t>α/2</w:t>
      </w:r>
      <w:r w:rsidRPr="00485C15">
        <w:rPr>
          <w:rFonts w:ascii="Times New Roman" w:eastAsia="Calibri" w:hAnsi="Times New Roman" w:cs="Times New Roman"/>
          <w:kern w:val="0"/>
          <w:lang w:eastAsia="en-US"/>
          <w14:ligatures w14:val="none"/>
        </w:rPr>
        <w:t xml:space="preserve"> is the Z-value corresponds to the confidence level α; p is the estimated prevalence of </w:t>
      </w:r>
      <w:r w:rsidRPr="00485C15">
        <w:rPr>
          <w:rFonts w:ascii="Times New Roman" w:eastAsia="Calibri" w:hAnsi="Times New Roman" w:cs="Times New Roman"/>
          <w:kern w:val="0"/>
          <w:lang w:val="vi-VN" w:eastAsia="en-US"/>
          <w14:ligatures w14:val="none"/>
        </w:rPr>
        <w:t>migraine/TTH</w:t>
      </w:r>
      <w:r w:rsidRPr="00485C15">
        <w:rPr>
          <w:rFonts w:ascii="Times New Roman" w:eastAsia="Calibri" w:hAnsi="Times New Roman" w:cs="Times New Roman"/>
          <w:kern w:val="0"/>
          <w:lang w:eastAsia="en-US"/>
          <w14:ligatures w14:val="none"/>
        </w:rPr>
        <w:t xml:space="preserve"> among HMU</w:t>
      </w:r>
      <w:r w:rsidRPr="00485C15">
        <w:rPr>
          <w:rFonts w:ascii="Times New Roman" w:eastAsia="Calibri" w:hAnsi="Times New Roman" w:cs="Times New Roman"/>
          <w:kern w:val="0"/>
          <w:lang w:val="vi-VN" w:eastAsia="en-US"/>
          <w14:ligatures w14:val="none"/>
        </w:rPr>
        <w:t xml:space="preserve"> and </w:t>
      </w:r>
      <w:r w:rsidRPr="00485C15">
        <w:rPr>
          <w:rFonts w:ascii="Times New Roman" w:eastAsia="Calibri" w:hAnsi="Times New Roman" w:cs="Times New Roman"/>
          <w:kern w:val="0"/>
          <w:lang w:eastAsia="en-US"/>
          <w14:ligatures w14:val="none"/>
        </w:rPr>
        <w:t>VNU-UMP medical students; E is the margin of error; N is the total number of medical students</w:t>
      </w:r>
      <w:bookmarkStart w:id="7" w:name="OLE_LINK142"/>
      <w:r w:rsidRPr="00485C15">
        <w:rPr>
          <w:rFonts w:ascii="Times New Roman" w:eastAsia="Calibri" w:hAnsi="Times New Roman" w:cs="Times New Roman"/>
          <w:kern w:val="0"/>
          <w:lang w:eastAsia="en-US"/>
          <w14:ligatures w14:val="none"/>
        </w:rPr>
        <w:fldChar w:fldCharType="begin"/>
      </w:r>
      <w:r w:rsidRPr="00485C15">
        <w:rPr>
          <w:rFonts w:ascii="Times New Roman" w:eastAsia="Calibri" w:hAnsi="Times New Roman" w:cs="Times New Roman"/>
          <w:kern w:val="0"/>
          <w:lang w:eastAsia="en-US"/>
          <w14:ligatures w14:val="none"/>
        </w:rPr>
        <w:instrText xml:space="preserve"> ADDIN EN.CITE &lt;EndNote&gt;&lt;Cite&gt;&lt;Author&gt;Wayne W.Daniel&lt;/Author&gt;&lt;Year&gt;2013&lt;/Year&gt;&lt;RecNum&gt;8&lt;/RecNum&gt;&lt;DisplayText&gt;[7]&lt;/DisplayText&gt;&lt;record&gt;&lt;rec-number&gt;8&lt;/rec-number&gt;&lt;foreign-keys&gt;&lt;key app="EN" db-id="adv2svpea2ez5setx2i5va9vx5trzstrt0t0" timestamp="1725769725"&gt;8&lt;/key&gt;&lt;/foreign-keys&gt;&lt;ref-type name="Book"&gt;6&lt;/ref-type&gt;&lt;contributors&gt;&lt;authors&gt;&lt;author&gt;Wayne W.Daniel, Chad Lee Cross&lt;/author&gt;&lt;/authors&gt;&lt;/contributors&gt;&lt;titles&gt;&lt;title&gt;Biostatistics:  A  Foundation for   Analysis   in   the   Health   Sciences&lt;/title&gt;&lt;/titles&gt;&lt;edition&gt;10th Edition&lt;/edition&gt;&lt;reprint-edition&gt;7th edition&lt;/reprint-edition&gt;&lt;dates&gt;&lt;year&gt;2013&lt;/year&gt;&lt;/dates&gt;&lt;pub-location&gt;New York&lt;/pub-location&gt;&lt;publisher&gt;John Wiley &amp;amp; Sons&lt;/publisher&gt;&lt;urls&gt;&lt;/urls&gt;&lt;/record&gt;&lt;/Cite&gt;&lt;/EndNote&gt;</w:instrText>
      </w:r>
      <w:r w:rsidRPr="00485C15">
        <w:rPr>
          <w:rFonts w:ascii="Times New Roman" w:eastAsia="Calibri" w:hAnsi="Times New Roman" w:cs="Times New Roman"/>
          <w:kern w:val="0"/>
          <w:lang w:eastAsia="en-US"/>
          <w14:ligatures w14:val="none"/>
        </w:rPr>
        <w:fldChar w:fldCharType="separate"/>
      </w:r>
      <w:r w:rsidRPr="00485C15">
        <w:rPr>
          <w:rFonts w:ascii="Times New Roman" w:eastAsia="Calibri" w:hAnsi="Times New Roman" w:cs="Times New Roman"/>
          <w:kern w:val="0"/>
          <w:lang w:eastAsia="en-US"/>
          <w14:ligatures w14:val="none"/>
        </w:rPr>
        <w:fldChar w:fldCharType="end"/>
      </w:r>
      <w:bookmarkEnd w:id="7"/>
      <w:r w:rsidRPr="00485C15">
        <w:rPr>
          <w:rFonts w:ascii="Times New Roman" w:eastAsia="Calibri" w:hAnsi="Times New Roman" w:cs="Times New Roman"/>
          <w:kern w:val="0"/>
          <w:lang w:eastAsia="en-US"/>
          <w14:ligatures w14:val="none"/>
        </w:rPr>
        <w:t xml:space="preserve">. </w:t>
      </w:r>
      <w:bookmarkStart w:id="8" w:name="OLE_LINK160"/>
      <w:r w:rsidRPr="00485C15">
        <w:rPr>
          <w:rFonts w:ascii="Times New Roman" w:eastAsia="Calibri" w:hAnsi="Times New Roman" w:cs="Times New Roman"/>
          <w:kern w:val="0"/>
          <w:lang w:eastAsia="en-US"/>
          <w14:ligatures w14:val="none"/>
        </w:rPr>
        <w:t xml:space="preserve">Choose a confidence interval (CI) of 95%, an estimated E of </w:t>
      </w:r>
      <w:r w:rsidRPr="00485C15">
        <w:rPr>
          <w:rFonts w:ascii="Times New Roman" w:eastAsia="Calibri" w:hAnsi="Times New Roman" w:cs="Times New Roman"/>
          <w:kern w:val="0"/>
          <w:lang w:val="vi-VN" w:eastAsia="en-US"/>
          <w14:ligatures w14:val="none"/>
        </w:rPr>
        <w:t>2.2</w:t>
      </w:r>
      <w:r w:rsidRPr="00485C15">
        <w:rPr>
          <w:rFonts w:ascii="Times New Roman" w:eastAsia="Calibri" w:hAnsi="Times New Roman" w:cs="Times New Roman"/>
          <w:kern w:val="0"/>
          <w:lang w:eastAsia="en-US"/>
          <w14:ligatures w14:val="none"/>
        </w:rPr>
        <w:t>%, p = 2</w:t>
      </w:r>
      <w:r w:rsidRPr="00485C15">
        <w:rPr>
          <w:rFonts w:ascii="Times New Roman" w:eastAsia="Calibri" w:hAnsi="Times New Roman" w:cs="Times New Roman"/>
          <w:kern w:val="0"/>
          <w:lang w:val="vi-VN" w:eastAsia="en-US"/>
          <w14:ligatures w14:val="none"/>
        </w:rPr>
        <w:t>2</w:t>
      </w:r>
      <w:r w:rsidRPr="00485C15">
        <w:rPr>
          <w:rFonts w:ascii="Times New Roman" w:eastAsia="Calibri" w:hAnsi="Times New Roman" w:cs="Times New Roman"/>
          <w:kern w:val="0"/>
          <w:lang w:eastAsia="en-US"/>
          <w14:ligatures w14:val="none"/>
        </w:rPr>
        <w:t>.</w:t>
      </w:r>
      <w:r w:rsidRPr="00485C15">
        <w:rPr>
          <w:rFonts w:ascii="Times New Roman" w:eastAsia="Calibri" w:hAnsi="Times New Roman" w:cs="Times New Roman"/>
          <w:kern w:val="0"/>
          <w:lang w:val="vi-VN" w:eastAsia="en-US"/>
          <w14:ligatures w14:val="none"/>
        </w:rPr>
        <w:t>4</w:t>
      </w:r>
      <w:r w:rsidRPr="00485C15">
        <w:rPr>
          <w:rFonts w:ascii="Times New Roman" w:eastAsia="Calibri" w:hAnsi="Times New Roman" w:cs="Times New Roman"/>
          <w:kern w:val="0"/>
          <w:lang w:eastAsia="en-US"/>
          <w14:ligatures w14:val="none"/>
        </w:rPr>
        <w:t xml:space="preserve">%, N = </w:t>
      </w:r>
      <w:r w:rsidRPr="00485C15">
        <w:rPr>
          <w:rFonts w:ascii="Times New Roman" w:eastAsia="Calibri" w:hAnsi="Times New Roman" w:cs="Times New Roman"/>
          <w:kern w:val="0"/>
          <w:lang w:val="vi-VN" w:eastAsia="en-US"/>
          <w14:ligatures w14:val="none"/>
        </w:rPr>
        <w:t>9038</w:t>
      </w:r>
      <w:r w:rsidRPr="00485C15">
        <w:rPr>
          <w:rFonts w:ascii="Times New Roman" w:eastAsia="Calibri" w:hAnsi="Times New Roman" w:cs="Times New Roman"/>
          <w:kern w:val="0"/>
          <w:lang w:eastAsia="en-US"/>
          <w14:ligatures w14:val="none"/>
        </w:rPr>
        <w:t xml:space="preserve">; the </w:t>
      </w:r>
      <w:bookmarkStart w:id="9" w:name="OLE_LINK159"/>
      <w:r w:rsidRPr="00485C15">
        <w:rPr>
          <w:rFonts w:ascii="Times New Roman" w:eastAsia="Calibri" w:hAnsi="Times New Roman" w:cs="Times New Roman"/>
          <w:kern w:val="0"/>
          <w:lang w:eastAsia="en-US"/>
          <w14:ligatures w14:val="none"/>
        </w:rPr>
        <w:lastRenderedPageBreak/>
        <w:t xml:space="preserve">required </w:t>
      </w:r>
      <w:bookmarkEnd w:id="9"/>
      <w:r w:rsidRPr="00485C15">
        <w:rPr>
          <w:rFonts w:ascii="Times New Roman" w:eastAsia="Calibri" w:hAnsi="Times New Roman" w:cs="Times New Roman"/>
          <w:kern w:val="0"/>
          <w:lang w:eastAsia="en-US"/>
          <w14:ligatures w14:val="none"/>
        </w:rPr>
        <w:t xml:space="preserve">sample size was </w:t>
      </w:r>
      <w:r w:rsidRPr="00485C15">
        <w:rPr>
          <w:rFonts w:ascii="Times New Roman" w:eastAsia="Calibri" w:hAnsi="Times New Roman" w:cs="Times New Roman"/>
          <w:kern w:val="0"/>
          <w:lang w:val="vi-VN" w:eastAsia="en-US"/>
          <w14:ligatures w14:val="none"/>
        </w:rPr>
        <w:t>1198</w:t>
      </w:r>
      <w:r w:rsidRPr="00485C15">
        <w:rPr>
          <w:rFonts w:ascii="Times New Roman" w:eastAsia="Calibri" w:hAnsi="Times New Roman" w:cs="Times New Roman"/>
          <w:kern w:val="0"/>
          <w:lang w:eastAsia="en-US"/>
          <w14:ligatures w14:val="none"/>
        </w:rPr>
        <w:t xml:space="preserve"> students.</w:t>
      </w:r>
      <w:bookmarkStart w:id="10" w:name="OLE_LINK19"/>
      <w:r w:rsidRPr="00485C15">
        <w:rPr>
          <w:rFonts w:ascii="Times New Roman" w:eastAsia="Calibri" w:hAnsi="Times New Roman" w:cs="Times New Roman"/>
          <w:kern w:val="0"/>
          <w:lang w:eastAsia="en-US"/>
          <w14:ligatures w14:val="none"/>
        </w:rPr>
        <w:t xml:space="preserve"> An additional 20% was added to the required sample size to account for potential non-responses or withdrawals, yielding a final estimated sample size of 1,</w:t>
      </w:r>
      <w:r w:rsidRPr="00485C15">
        <w:rPr>
          <w:rFonts w:ascii="Times New Roman" w:eastAsia="Calibri" w:hAnsi="Times New Roman" w:cs="Times New Roman"/>
          <w:kern w:val="0"/>
          <w:lang w:val="vi-VN" w:eastAsia="en-US"/>
          <w14:ligatures w14:val="none"/>
        </w:rPr>
        <w:t>438.</w:t>
      </w:r>
    </w:p>
    <w:p w14:paraId="1D87DC2C" w14:textId="77777777" w:rsidR="00485C15" w:rsidRPr="00485C15" w:rsidRDefault="00485C15" w:rsidP="00485C15">
      <w:pPr>
        <w:spacing w:line="480" w:lineRule="auto"/>
        <w:ind w:firstLine="720"/>
        <w:jc w:val="both"/>
        <w:rPr>
          <w:rFonts w:ascii="Times New Roman" w:eastAsia="Calibri" w:hAnsi="Times New Roman" w:cs="Times New Roman"/>
          <w:kern w:val="0"/>
          <w:lang w:val="vi-VN" w:eastAsia="en-US"/>
          <w14:ligatures w14:val="none"/>
        </w:rPr>
      </w:pPr>
      <w:bookmarkStart w:id="11" w:name="OLE_LINK132"/>
      <w:r w:rsidRPr="00485C15">
        <w:rPr>
          <w:rFonts w:ascii="Times New Roman" w:eastAsia="Calibri" w:hAnsi="Times New Roman" w:cs="Times New Roman"/>
          <w:kern w:val="0"/>
          <w:lang w:eastAsia="en-US"/>
          <w14:ligatures w14:val="none"/>
        </w:rPr>
        <w:t xml:space="preserve">The </w:t>
      </w:r>
      <w:bookmarkStart w:id="12" w:name="OLE_LINK130"/>
      <w:r w:rsidRPr="00485C15">
        <w:rPr>
          <w:rFonts w:ascii="Times New Roman" w:eastAsia="Calibri" w:hAnsi="Times New Roman" w:cs="Times New Roman"/>
          <w:kern w:val="0"/>
          <w:lang w:eastAsia="en-US"/>
          <w14:ligatures w14:val="none"/>
        </w:rPr>
        <w:t xml:space="preserve">simple random sampling method </w:t>
      </w:r>
      <w:bookmarkEnd w:id="12"/>
      <w:r w:rsidRPr="00485C15">
        <w:rPr>
          <w:rFonts w:ascii="Times New Roman" w:eastAsia="Calibri" w:hAnsi="Times New Roman" w:cs="Times New Roman"/>
          <w:kern w:val="0"/>
          <w:lang w:eastAsia="en-US"/>
          <w14:ligatures w14:val="none"/>
        </w:rPr>
        <w:t>was employed to select the study participants. We utilized random number generation software to select individual students from the complete list of all medical students currently enrolled at both universities until a total of 1,</w:t>
      </w:r>
      <w:r w:rsidRPr="00485C15">
        <w:rPr>
          <w:rFonts w:ascii="Times New Roman" w:eastAsia="Calibri" w:hAnsi="Times New Roman" w:cs="Times New Roman"/>
          <w:kern w:val="0"/>
          <w:lang w:val="vi-VN" w:eastAsia="en-US"/>
          <w14:ligatures w14:val="none"/>
        </w:rPr>
        <w:t>438</w:t>
      </w:r>
      <w:r w:rsidRPr="00485C15">
        <w:rPr>
          <w:rFonts w:ascii="Times New Roman" w:eastAsia="Calibri" w:hAnsi="Times New Roman" w:cs="Times New Roman"/>
          <w:kern w:val="0"/>
          <w:lang w:eastAsia="en-US"/>
          <w14:ligatures w14:val="none"/>
        </w:rPr>
        <w:t xml:space="preserve"> students was reached. </w:t>
      </w:r>
      <w:bookmarkStart w:id="13" w:name="OLE_LINK59"/>
      <w:r w:rsidRPr="00485C15">
        <w:rPr>
          <w:rFonts w:ascii="Times New Roman" w:eastAsia="Calibri" w:hAnsi="Times New Roman" w:cs="Times New Roman"/>
          <w:kern w:val="0"/>
          <w:lang w:eastAsia="en-US"/>
          <w14:ligatures w14:val="none"/>
        </w:rPr>
        <w:t xml:space="preserve">Based on the contact information provided by class instructors, we invited selected medical students to participate in the study via phone calls and emails. </w:t>
      </w:r>
      <w:bookmarkEnd w:id="13"/>
      <w:r w:rsidRPr="00485C15">
        <w:rPr>
          <w:rFonts w:ascii="Times New Roman" w:eastAsia="Calibri" w:hAnsi="Times New Roman" w:cs="Times New Roman"/>
          <w:kern w:val="0"/>
          <w:lang w:eastAsia="en-US"/>
          <w14:ligatures w14:val="none"/>
        </w:rPr>
        <w:t>Those who agreed were subsequently scheduled for an in-person meeting to conduct interviews and sign a consent form.</w:t>
      </w:r>
    </w:p>
    <w:bookmarkEnd w:id="8"/>
    <w:bookmarkEnd w:id="10"/>
    <w:bookmarkEnd w:id="11"/>
    <w:p w14:paraId="00164207" w14:textId="77777777" w:rsidR="00485C15" w:rsidRPr="00485C15" w:rsidRDefault="00485C15" w:rsidP="00485C15">
      <w:pPr>
        <w:keepNext/>
        <w:keepLines/>
        <w:spacing w:before="40" w:after="0" w:line="480" w:lineRule="auto"/>
        <w:outlineLvl w:val="1"/>
        <w:rPr>
          <w:rFonts w:ascii="Calibri" w:eastAsia="Yu Gothic Light" w:hAnsi="Calibri" w:cs="Times New Roman"/>
          <w:b/>
          <w:color w:val="002060"/>
          <w:kern w:val="0"/>
          <w:sz w:val="26"/>
          <w:szCs w:val="26"/>
          <w:lang w:eastAsia="en-US"/>
          <w14:ligatures w14:val="none"/>
        </w:rPr>
      </w:pPr>
      <w:r w:rsidRPr="00485C15">
        <w:rPr>
          <w:rFonts w:ascii="Calibri" w:eastAsia="Yu Gothic Light" w:hAnsi="Calibri" w:cs="Times New Roman"/>
          <w:b/>
          <w:color w:val="002060"/>
          <w:kern w:val="0"/>
          <w:sz w:val="26"/>
          <w:szCs w:val="26"/>
          <w:lang w:eastAsia="en-US"/>
          <w14:ligatures w14:val="none"/>
        </w:rPr>
        <w:t>DATA COLLECTION</w:t>
      </w:r>
    </w:p>
    <w:p w14:paraId="70EFC94D" w14:textId="162AF07E" w:rsidR="00485C15" w:rsidRPr="00485C15" w:rsidRDefault="00485C15" w:rsidP="00485C15">
      <w:pPr>
        <w:spacing w:line="480" w:lineRule="auto"/>
        <w:ind w:firstLine="720"/>
        <w:jc w:val="both"/>
        <w:rPr>
          <w:rFonts w:ascii="Times New Roman" w:eastAsia="Calibri" w:hAnsi="Times New Roman" w:cs="Times New Roman"/>
          <w:kern w:val="0"/>
          <w:lang w:eastAsia="en-US"/>
          <w14:ligatures w14:val="none"/>
        </w:rPr>
      </w:pPr>
      <w:bookmarkStart w:id="14" w:name="OLE_LINK141"/>
      <w:bookmarkStart w:id="15" w:name="OLE_LINK39"/>
      <w:r w:rsidRPr="00485C15">
        <w:rPr>
          <w:rFonts w:ascii="Times New Roman" w:eastAsia="Calibri" w:hAnsi="Times New Roman" w:cs="Times New Roman"/>
          <w:kern w:val="0"/>
          <w:lang w:eastAsia="en-US"/>
          <w14:ligatures w14:val="none"/>
        </w:rPr>
        <w:t xml:space="preserve">All study participants were required to take part in an in-person interview </w:t>
      </w:r>
      <w:r w:rsidRPr="00485C15">
        <w:rPr>
          <w:rFonts w:ascii="Times New Roman" w:eastAsia="Calibri" w:hAnsi="Times New Roman" w:cs="Times New Roman"/>
          <w:kern w:val="0"/>
          <w:lang w:val="vi-VN" w:eastAsia="en-US"/>
          <w14:ligatures w14:val="none"/>
        </w:rPr>
        <w:t>based on</w:t>
      </w:r>
      <w:r w:rsidRPr="00485C15">
        <w:rPr>
          <w:rFonts w:ascii="Times New Roman" w:eastAsia="Calibri" w:hAnsi="Times New Roman" w:cs="Times New Roman"/>
          <w:kern w:val="0"/>
          <w:lang w:eastAsia="en-US"/>
          <w14:ligatures w14:val="none"/>
        </w:rPr>
        <w:t xml:space="preserve"> the Headache-Attributed Restriction, Disability, Social Handicap and Impaired Participation (HARDSHIP) </w:t>
      </w:r>
      <w:bookmarkStart w:id="16" w:name="OLE_LINK33"/>
      <w:r w:rsidRPr="00485C15">
        <w:rPr>
          <w:rFonts w:ascii="Times New Roman" w:eastAsia="Calibri" w:hAnsi="Times New Roman" w:cs="Times New Roman"/>
          <w:kern w:val="0"/>
          <w:lang w:eastAsia="en-US"/>
          <w14:ligatures w14:val="none"/>
        </w:rPr>
        <w:t>questionnaire</w:t>
      </w:r>
      <w:bookmarkEnd w:id="14"/>
      <w:bookmarkEnd w:id="16"/>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w:t>
      </w:r>
      <w:bookmarkStart w:id="17" w:name="OLE_LINK11"/>
      <w:r w:rsidRPr="00485C15">
        <w:rPr>
          <w:rFonts w:ascii="Times New Roman" w:eastAsia="Calibri" w:hAnsi="Times New Roman" w:cs="Times New Roman"/>
          <w:kern w:val="0"/>
          <w:lang w:eastAsia="en-US"/>
          <w14:ligatures w14:val="none"/>
        </w:rPr>
        <w:t xml:space="preserve">The questionnaire </w:t>
      </w:r>
      <w:bookmarkEnd w:id="17"/>
      <w:r w:rsidRPr="00485C15">
        <w:rPr>
          <w:rFonts w:ascii="Times New Roman" w:eastAsia="Calibri" w:hAnsi="Times New Roman" w:cs="Times New Roman"/>
          <w:kern w:val="0"/>
          <w:lang w:eastAsia="en-US"/>
          <w14:ligatures w14:val="none"/>
        </w:rPr>
        <w:t>was culturally adapted and translated into Vietnamese by two Vietnamese neurology experts following a recommended protocol</w:t>
      </w:r>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w:t>
      </w:r>
      <w:bookmarkStart w:id="18" w:name="_Hlk182044053"/>
      <w:r w:rsidRPr="00485C15">
        <w:rPr>
          <w:rFonts w:ascii="Times New Roman" w:eastAsia="Calibri" w:hAnsi="Times New Roman" w:cs="Times New Roman"/>
          <w:kern w:val="0"/>
          <w:lang w:eastAsia="en-US"/>
          <w14:ligatures w14:val="none"/>
        </w:rPr>
        <w:t>Additionally, it was validated in a pilot survey before being used in this study</w:t>
      </w:r>
      <w:bookmarkEnd w:id="15"/>
      <w:r w:rsidRPr="00485C15">
        <w:rPr>
          <w:rFonts w:ascii="Times New Roman" w:eastAsia="Calibri" w:hAnsi="Times New Roman" w:cs="Times New Roman"/>
          <w:kern w:val="0"/>
          <w:lang w:eastAsia="en-US"/>
          <w14:ligatures w14:val="none"/>
        </w:rPr>
        <w:t xml:space="preserve">. </w:t>
      </w:r>
      <w:bookmarkEnd w:id="18"/>
      <w:r w:rsidRPr="00485C15">
        <w:rPr>
          <w:rFonts w:ascii="Times New Roman" w:eastAsia="Calibri" w:hAnsi="Times New Roman" w:cs="Times New Roman"/>
          <w:kern w:val="0"/>
          <w:lang w:eastAsia="en-US"/>
          <w14:ligatures w14:val="none"/>
        </w:rPr>
        <w:t xml:space="preserve">In the pilot study, we randomly selected 33 medical students from two universities (HMU and VNU–UMP), of whom 30 agreed to participate and successfully completed the study. The study protocol required the students to be randomly assigned to one of two groups. In Group 1, students underwent face-to-face interviews, while in Group 2, students participated in online interviews, with both groups using the Vietnamese version of the HARDSHIP questionnaire. Subsequently, within one week of the initial interview, all participants in both groups were asked to undergo a second face-to-face interview with Vietnamese headache experts from the research team, who had clinical experience in diagnosing headaches according to the ICHD criteria and were unaware of the students' diagnoses following the first interview. The results </w:t>
      </w:r>
      <w:r w:rsidRPr="00485C15">
        <w:rPr>
          <w:rFonts w:ascii="Times New Roman" w:eastAsia="Calibri" w:hAnsi="Times New Roman" w:cs="Times New Roman"/>
          <w:kern w:val="0"/>
          <w:lang w:eastAsia="en-US"/>
          <w14:ligatures w14:val="none"/>
        </w:rPr>
        <w:lastRenderedPageBreak/>
        <w:t>revealed that in both groups, the diagnoses from the initial interview were 100% consistent with those made by the headache experts during the second interview. Based on these findings, we decided to retain the current version of the HARDSHIP questionnaire for the main study without further modifications.</w:t>
      </w:r>
      <w:bookmarkStart w:id="19" w:name="_Hlk182085197"/>
    </w:p>
    <w:p w14:paraId="3A0A891C" w14:textId="52460665" w:rsidR="00485C15" w:rsidRPr="00485C15" w:rsidRDefault="00485C15" w:rsidP="00485C15">
      <w:pPr>
        <w:spacing w:line="480" w:lineRule="auto"/>
        <w:ind w:firstLine="720"/>
        <w:jc w:val="both"/>
        <w:rPr>
          <w:rFonts w:ascii="Times New Roman" w:eastAsia="Calibri" w:hAnsi="Times New Roman" w:cs="Times New Roman"/>
          <w:kern w:val="0"/>
          <w:lang w:eastAsia="en-US"/>
          <w14:ligatures w14:val="none"/>
        </w:rPr>
      </w:pPr>
      <w:r w:rsidRPr="00485C15">
        <w:rPr>
          <w:rFonts w:ascii="Times New Roman" w:eastAsia="Calibri" w:hAnsi="Times New Roman" w:cs="Times New Roman"/>
          <w:kern w:val="0"/>
          <w:lang w:eastAsia="en-US"/>
          <w14:ligatures w14:val="none"/>
        </w:rPr>
        <w:t xml:space="preserve">In cases where participants were unable to schedule an in-person interview, they were given the option to complete the online survey through the web-based platform. </w:t>
      </w:r>
      <w:bookmarkStart w:id="20" w:name="OLE_LINK29"/>
      <w:bookmarkEnd w:id="19"/>
      <w:r w:rsidRPr="00485C15">
        <w:rPr>
          <w:rFonts w:ascii="Times New Roman" w:eastAsia="Calibri" w:hAnsi="Times New Roman" w:cs="Times New Roman"/>
          <w:kern w:val="0"/>
          <w:lang w:eastAsia="en-US"/>
          <w14:ligatures w14:val="none"/>
        </w:rPr>
        <w:t>The online survey was developed and managed using the REDCap application, based on our validated questionnaire. Participants who chose this interview method were provided the flexibility to schedule their interviews based on the availability of the interviewers. At the beginning of the online interview, participants received a link directing them to the online interview platform, where they subsequently read and responded to the interview questions displayed sequentially. Throughout the online survey process, participants were monitored and supported by interviewers via phone or video call</w:t>
      </w:r>
      <w:bookmarkEnd w:id="20"/>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The data collection process involved </w:t>
      </w:r>
      <w:r w:rsidRPr="00485C15">
        <w:rPr>
          <w:rFonts w:ascii="Times New Roman" w:eastAsia="Calibri" w:hAnsi="Times New Roman" w:cs="Times New Roman"/>
          <w:kern w:val="0"/>
          <w:lang w:val="vi-VN" w:eastAsia="en-US"/>
          <w14:ligatures w14:val="none"/>
        </w:rPr>
        <w:t>eight</w:t>
      </w:r>
      <w:r w:rsidRPr="00485C15">
        <w:rPr>
          <w:rFonts w:ascii="Times New Roman" w:eastAsia="Calibri" w:hAnsi="Times New Roman" w:cs="Times New Roman"/>
          <w:kern w:val="0"/>
          <w:lang w:eastAsia="en-US"/>
          <w14:ligatures w14:val="none"/>
        </w:rPr>
        <w:t xml:space="preserve"> interviewers, including </w:t>
      </w:r>
      <w:r w:rsidRPr="00485C15">
        <w:rPr>
          <w:rFonts w:ascii="Times New Roman" w:eastAsia="Calibri" w:hAnsi="Times New Roman" w:cs="Times New Roman"/>
          <w:kern w:val="0"/>
          <w:lang w:val="vi-VN" w:eastAsia="en-US"/>
          <w14:ligatures w14:val="none"/>
        </w:rPr>
        <w:t>four</w:t>
      </w:r>
      <w:r w:rsidRPr="00485C15">
        <w:rPr>
          <w:rFonts w:ascii="Times New Roman" w:eastAsia="Calibri" w:hAnsi="Times New Roman" w:cs="Times New Roman"/>
          <w:kern w:val="0"/>
          <w:lang w:eastAsia="en-US"/>
          <w14:ligatures w14:val="none"/>
        </w:rPr>
        <w:t xml:space="preserve"> physicians and four final-year medical students. </w:t>
      </w:r>
      <w:bookmarkStart w:id="21" w:name="OLE_LINK47"/>
      <w:bookmarkStart w:id="22" w:name="_Hlk182115129"/>
      <w:r w:rsidRPr="00485C15">
        <w:rPr>
          <w:rFonts w:ascii="Times New Roman" w:eastAsia="Calibri" w:hAnsi="Times New Roman" w:cs="Times New Roman"/>
          <w:kern w:val="0"/>
          <w:lang w:eastAsia="en-US"/>
          <w14:ligatures w14:val="none"/>
        </w:rPr>
        <w:t>All interviewers were required to undergo training to ensure they met the necessary standards of skill before being allowed to participate in the official study</w:t>
      </w:r>
      <w:bookmarkEnd w:id="21"/>
      <w:r w:rsidRPr="00485C15">
        <w:rPr>
          <w:rFonts w:ascii="Times New Roman" w:eastAsia="Calibri" w:hAnsi="Times New Roman" w:cs="Times New Roman"/>
          <w:kern w:val="0"/>
          <w:lang w:eastAsia="en-US"/>
          <w14:ligatures w14:val="none"/>
        </w:rPr>
        <w:t xml:space="preserve">. The training process was conducted over three days, with two neurology specialists highly skilled in headache diagnosis serving as instructors to meet the objectives outlined by the Global Campaign. On the first day, interviewers were trained on the nature and objectives of the survey, methods for interpreting and accurately recording participant responses, ensuring familiarity with the cultural and contextual background of the study population, and identifying questions of particular importance or those requiring further clarification. On the second day, the interviewers engaged in supervised practice interviews under the guidance of the instructors, using volunteers (medical students from VNU–UMP and HMU undergoing clinical practice at Bach Mai Hospital) to ensure uniformity in data collection across all interviewers. On the third day, interviewers were evaluated by conducting </w:t>
      </w:r>
      <w:r w:rsidRPr="00485C15">
        <w:rPr>
          <w:rFonts w:ascii="Times New Roman" w:eastAsia="Calibri" w:hAnsi="Times New Roman" w:cs="Times New Roman"/>
          <w:kern w:val="0"/>
          <w:lang w:eastAsia="en-US"/>
          <w14:ligatures w14:val="none"/>
        </w:rPr>
        <w:lastRenderedPageBreak/>
        <w:t xml:space="preserve">independent interviews with volunteers, followed by a secondary interview conducted by the instructors. The responses recorded by the interviewers were then compared to those recorded by the instructors. Interviewers were deemed to have completed the training if their interview results were 100% consistent with those of the instructors. For those who did not achieve this benchmark, retraining was provided on the questions with discrepancies, and the assessment process was repeated. </w:t>
      </w:r>
      <w:bookmarkEnd w:id="22"/>
      <w:r w:rsidRPr="00485C15">
        <w:rPr>
          <w:rFonts w:ascii="Times New Roman" w:eastAsia="Calibri" w:hAnsi="Times New Roman" w:cs="Times New Roman"/>
          <w:kern w:val="0"/>
          <w:lang w:eastAsia="en-US"/>
          <w14:ligatures w14:val="none"/>
        </w:rPr>
        <w:t>In addition, study participants were required to undergo weight and height measurements using calibrated equipment, following a standardized procedure conducted by pre-trained medical students.</w:t>
      </w:r>
    </w:p>
    <w:p w14:paraId="413ABB48" w14:textId="77777777" w:rsidR="00485C15" w:rsidRPr="00485C15" w:rsidRDefault="00485C15" w:rsidP="00485C15">
      <w:pPr>
        <w:keepNext/>
        <w:keepLines/>
        <w:spacing w:before="40" w:after="0" w:line="480" w:lineRule="auto"/>
        <w:outlineLvl w:val="1"/>
        <w:rPr>
          <w:rFonts w:ascii="Calibri" w:eastAsia="Yu Gothic Light" w:hAnsi="Calibri" w:cs="Times New Roman"/>
          <w:b/>
          <w:color w:val="002060"/>
          <w:kern w:val="0"/>
          <w:sz w:val="26"/>
          <w:szCs w:val="26"/>
          <w:lang w:eastAsia="en-US"/>
          <w14:ligatures w14:val="none"/>
        </w:rPr>
      </w:pPr>
      <w:r w:rsidRPr="00485C15">
        <w:rPr>
          <w:rFonts w:ascii="Calibri" w:eastAsia="Yu Gothic Light" w:hAnsi="Calibri" w:cs="Times New Roman"/>
          <w:b/>
          <w:color w:val="002060"/>
          <w:kern w:val="0"/>
          <w:sz w:val="26"/>
          <w:szCs w:val="26"/>
          <w:lang w:eastAsia="en-US"/>
          <w14:ligatures w14:val="none"/>
        </w:rPr>
        <w:t>DIAGNOSIS AND DEFINITIONS</w:t>
      </w:r>
    </w:p>
    <w:p w14:paraId="052F9745" w14:textId="01B7C2FD" w:rsidR="00485C15" w:rsidRDefault="00485C15" w:rsidP="00485C15">
      <w:pPr>
        <w:spacing w:line="480" w:lineRule="auto"/>
        <w:ind w:firstLine="720"/>
        <w:jc w:val="both"/>
        <w:rPr>
          <w:rFonts w:ascii="Times New Roman" w:eastAsia="Calibri" w:hAnsi="Times New Roman" w:cs="Times New Roman"/>
          <w:kern w:val="0"/>
          <w:lang w:eastAsia="en-US"/>
          <w14:ligatures w14:val="none"/>
        </w:rPr>
      </w:pPr>
      <w:bookmarkStart w:id="23" w:name="_Hlk185698019"/>
      <w:r w:rsidRPr="00485C15">
        <w:rPr>
          <w:rFonts w:ascii="Times New Roman" w:eastAsia="Calibri" w:hAnsi="Times New Roman" w:cs="Times New Roman"/>
          <w:kern w:val="0"/>
          <w:lang w:eastAsia="en-US"/>
          <w14:ligatures w14:val="none"/>
        </w:rPr>
        <w:t xml:space="preserve">Participants who reported no headaches in the past year were classified as headache-free. Those who experienced headaches within the past year were further assessed based on the number of headache days in the </w:t>
      </w:r>
      <w:r w:rsidRPr="00485C15">
        <w:rPr>
          <w:rFonts w:ascii="Times New Roman" w:eastAsia="Calibri" w:hAnsi="Times New Roman" w:cs="Times New Roman"/>
          <w:kern w:val="0"/>
          <w:lang w:val="vi-VN" w:eastAsia="en-US"/>
          <w14:ligatures w14:val="none"/>
        </w:rPr>
        <w:t>preceding</w:t>
      </w:r>
      <w:r w:rsidRPr="00485C15">
        <w:rPr>
          <w:rFonts w:ascii="Times New Roman" w:eastAsia="Calibri" w:hAnsi="Times New Roman" w:cs="Times New Roman"/>
          <w:kern w:val="0"/>
          <w:lang w:eastAsia="en-US"/>
          <w14:ligatures w14:val="none"/>
        </w:rPr>
        <w:t xml:space="preserve"> month. Participants with a headache frequency of fewer than 15 days per month were diagnosed using the diagnostic algorithm for migraine, tension-type headache (TTH), probable migraine, and probable TTH, which primarily depends on the characteristics of the headache type that bothers them the most</w:t>
      </w:r>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In contrast, individuals with headaches occurring on 15 or more days per month (H15+), who also used headache-relief medication on 10 or more days per month, were classified as having </w:t>
      </w:r>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p</w:t>
      </w:r>
      <w:r w:rsidRPr="00485C15">
        <w:rPr>
          <w:rFonts w:ascii="Times New Roman" w:eastAsia="Calibri" w:hAnsi="Times New Roman" w:cs="Times New Roman"/>
          <w:kern w:val="0"/>
          <w:lang w:val="vi-VN" w:eastAsia="en-US"/>
          <w14:ligatures w14:val="none"/>
        </w:rPr>
        <w:t>robable</w:t>
      </w:r>
      <w:r w:rsidRPr="00485C15">
        <w:rPr>
          <w:rFonts w:ascii="Times New Roman" w:eastAsia="Calibri" w:hAnsi="Times New Roman" w:cs="Times New Roman"/>
          <w:kern w:val="0"/>
          <w:lang w:eastAsia="en-US"/>
          <w14:ligatures w14:val="none"/>
        </w:rPr>
        <w:t xml:space="preserve"> medication overuse headache</w:t>
      </w:r>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w:t>
      </w:r>
      <w:r w:rsidRPr="00485C15">
        <w:rPr>
          <w:rFonts w:ascii="Times New Roman" w:eastAsia="Calibri" w:hAnsi="Times New Roman" w:cs="Times New Roman"/>
          <w:kern w:val="0"/>
          <w:lang w:val="vi-VN" w:eastAsia="en-US"/>
          <w14:ligatures w14:val="none"/>
        </w:rPr>
        <w:t>p</w:t>
      </w:r>
      <w:r w:rsidRPr="00485C15">
        <w:rPr>
          <w:rFonts w:ascii="Times New Roman" w:eastAsia="Calibri" w:hAnsi="Times New Roman" w:cs="Times New Roman"/>
          <w:kern w:val="0"/>
          <w:lang w:eastAsia="en-US"/>
          <w14:ligatures w14:val="none"/>
        </w:rPr>
        <w:t>MOH)</w:t>
      </w:r>
      <w:r w:rsidRPr="00485C15">
        <w:rPr>
          <w:rFonts w:ascii="Times New Roman" w:eastAsia="Calibri" w:hAnsi="Times New Roman" w:cs="Times New Roman"/>
          <w:kern w:val="0"/>
          <w:lang w:val="vi-VN" w:eastAsia="en-US"/>
          <w14:ligatures w14:val="none"/>
        </w:rPr>
        <w:t xml:space="preserve"> according to the International Classification of Headache Disorders 3rd edition (IHCD-3).</w:t>
      </w:r>
      <w:r w:rsidRPr="00485C15">
        <w:rPr>
          <w:rFonts w:ascii="Times New Roman" w:eastAsia="Calibri" w:hAnsi="Times New Roman" w:cs="Times New Roman"/>
          <w:kern w:val="0"/>
          <w:lang w:eastAsia="en-US"/>
          <w14:ligatures w14:val="none"/>
        </w:rPr>
        <w:t xml:space="preserve"> If their headache-relief medication use was less than 10 days per month, they were categorized as having "other headaches with ≥15 days/month" (other H15+). All remaining cases were categorized as unclassified. Migraine and probable migraine cases, along with TTH and probable TTH, were combined for the purposes of prevalence estimation and subsequent analysis, following the recommendations from the Global Campaign against Headache</w:t>
      </w:r>
      <w:r w:rsidRPr="00485C15">
        <w:rPr>
          <w:rFonts w:ascii="Times New Roman" w:eastAsia="Calibri" w:hAnsi="Times New Roman" w:cs="Times New Roman"/>
          <w:kern w:val="0"/>
          <w:lang w:val="vi-VN" w:eastAsia="en-US"/>
          <w14:ligatures w14:val="none"/>
        </w:rPr>
        <w:t>.</w:t>
      </w:r>
      <w:r w:rsidRPr="00485C15">
        <w:rPr>
          <w:rFonts w:ascii="Times New Roman" w:eastAsia="Calibri" w:hAnsi="Times New Roman" w:cs="Times New Roman"/>
          <w:kern w:val="0"/>
          <w:lang w:eastAsia="en-US"/>
          <w14:ligatures w14:val="none"/>
        </w:rPr>
        <w:t xml:space="preserve"> </w:t>
      </w:r>
      <w:bookmarkEnd w:id="23"/>
      <w:r w:rsidRPr="00485C15">
        <w:rPr>
          <w:rFonts w:ascii="Times New Roman" w:eastAsia="Calibri" w:hAnsi="Times New Roman" w:cs="Times New Roman"/>
          <w:kern w:val="0"/>
          <w:lang w:eastAsia="en-US"/>
          <w14:ligatures w14:val="none"/>
        </w:rPr>
        <w:t>Body mass index (BMI) was calculated by dividing weight (kg) by height squared (m²). Using the WHO diagnostic criteria for Asian adults, a BMI of 18.5–</w:t>
      </w:r>
      <w:r w:rsidRPr="00485C15">
        <w:rPr>
          <w:rFonts w:ascii="Times New Roman" w:eastAsia="Calibri" w:hAnsi="Times New Roman" w:cs="Times New Roman"/>
          <w:kern w:val="0"/>
          <w:lang w:eastAsia="en-US"/>
          <w14:ligatures w14:val="none"/>
        </w:rPr>
        <w:lastRenderedPageBreak/>
        <w:t>22.9 kg/m² was classified as normal weight, &lt;18.5 kg/m² as underweight, 23–24.9 kg/m² as overweight, and ≥25 kg/m² as obese</w:t>
      </w:r>
      <w:r w:rsidRPr="00485C15">
        <w:rPr>
          <w:rFonts w:ascii="Times New Roman" w:eastAsia="Calibri" w:hAnsi="Times New Roman" w:cs="Times New Roman"/>
          <w:kern w:val="0"/>
          <w:lang w:val="vi-VN" w:eastAsia="en-US"/>
          <w14:ligatures w14:val="none"/>
        </w:rPr>
        <w:t>.</w:t>
      </w:r>
    </w:p>
    <w:p w14:paraId="2857BBEA" w14:textId="4BEFAD7F" w:rsidR="0024211F" w:rsidRDefault="0024211F" w:rsidP="0024211F">
      <w:pPr>
        <w:keepNext/>
        <w:keepLines/>
        <w:spacing w:before="240" w:after="0" w:line="480" w:lineRule="auto"/>
        <w:outlineLvl w:val="0"/>
        <w:rPr>
          <w:rFonts w:ascii="Calibri" w:eastAsia="Yu Gothic Light" w:hAnsi="Calibri" w:cs="Times New Roman"/>
          <w:b/>
          <w:color w:val="0070C0"/>
          <w:kern w:val="0"/>
          <w:sz w:val="28"/>
          <w:szCs w:val="32"/>
          <w:lang w:eastAsia="en-US"/>
          <w14:ligatures w14:val="none"/>
        </w:rPr>
      </w:pPr>
      <w:r>
        <w:rPr>
          <w:rFonts w:ascii="Calibri" w:eastAsia="Yu Gothic Light" w:hAnsi="Calibri" w:cs="Times New Roman"/>
          <w:b/>
          <w:color w:val="0070C0"/>
          <w:kern w:val="0"/>
          <w:sz w:val="28"/>
          <w:szCs w:val="32"/>
          <w:lang w:eastAsia="en-US"/>
          <w14:ligatures w14:val="none"/>
        </w:rPr>
        <w:t>2</w:t>
      </w:r>
      <w:r>
        <w:rPr>
          <w:rFonts w:ascii="Calibri" w:eastAsia="Yu Gothic Light" w:hAnsi="Calibri" w:cs="Times New Roman"/>
          <w:b/>
          <w:color w:val="0070C0"/>
          <w:kern w:val="0"/>
          <w:sz w:val="28"/>
          <w:szCs w:val="32"/>
          <w:lang w:eastAsia="en-US"/>
          <w14:ligatures w14:val="none"/>
        </w:rPr>
        <w:t xml:space="preserve">. </w:t>
      </w:r>
      <w:r w:rsidRPr="0024211F">
        <w:rPr>
          <w:rFonts w:ascii="Calibri" w:eastAsia="Yu Gothic Light" w:hAnsi="Calibri" w:cs="Times New Roman"/>
          <w:b/>
          <w:color w:val="0070C0"/>
          <w:kern w:val="0"/>
          <w:sz w:val="28"/>
          <w:szCs w:val="32"/>
          <w:lang w:eastAsia="en-US"/>
          <w14:ligatures w14:val="none"/>
        </w:rPr>
        <w:t>USUAL INTENSITY OF HEADACHE DISORDERS</w:t>
      </w:r>
    </w:p>
    <w:p w14:paraId="2A0A626D" w14:textId="77777777" w:rsidR="0024211F" w:rsidRPr="0024211F" w:rsidRDefault="0024211F" w:rsidP="0024211F">
      <w:pPr>
        <w:spacing w:line="480" w:lineRule="auto"/>
        <w:ind w:firstLine="720"/>
        <w:jc w:val="both"/>
        <w:rPr>
          <w:rFonts w:ascii="Times New Roman" w:hAnsi="Times New Roman" w:cs="Times New Roman"/>
          <w:lang w:eastAsia="en-US"/>
        </w:rPr>
      </w:pPr>
      <w:r w:rsidRPr="0024211F">
        <w:rPr>
          <w:rFonts w:ascii="Times New Roman" w:hAnsi="Times New Roman" w:cs="Times New Roman"/>
          <w:lang w:eastAsia="en-US"/>
        </w:rPr>
        <w:t>We assessed the usual intensity (severity) of headache disorders using Question 25 of the HARDSHIP questionnaire: "How bad is this type of headache usually?" Participants were required to select one of the three available responses: 1) not bad; 2) quite bad; and 3) very bad.</w:t>
      </w:r>
    </w:p>
    <w:p w14:paraId="6B6EAA30" w14:textId="7043626B" w:rsidR="0024211F" w:rsidRPr="0024211F" w:rsidRDefault="0024211F" w:rsidP="0024211F">
      <w:pPr>
        <w:spacing w:line="480" w:lineRule="auto"/>
        <w:ind w:firstLine="720"/>
        <w:jc w:val="both"/>
        <w:rPr>
          <w:rFonts w:ascii="Times New Roman" w:hAnsi="Times New Roman" w:cs="Times New Roman"/>
          <w:lang w:eastAsia="en-US"/>
        </w:rPr>
      </w:pPr>
      <w:r w:rsidRPr="0024211F">
        <w:rPr>
          <w:rFonts w:ascii="Times New Roman" w:hAnsi="Times New Roman" w:cs="Times New Roman"/>
          <w:lang w:eastAsia="en-US"/>
        </w:rPr>
        <w:t xml:space="preserve">To describe the intensity of headache types, we presented the number of participants in each group who reported the usual intensity in the order of: not bad - quite bad - very bad. We have also added the proportions (%) of each intensity level to Table 1 in the revised manuscript to present the results more clearly. </w:t>
      </w:r>
      <w:r w:rsidR="00C41619" w:rsidRPr="00C41619">
        <w:rPr>
          <w:rFonts w:ascii="Times New Roman" w:hAnsi="Times New Roman" w:cs="Times New Roman"/>
          <w:lang w:eastAsia="en-US"/>
        </w:rPr>
        <w:t>Usual intensity was recorded as a categorical variable with three levels: "not bad" (mild intensity), "quite bad" (moderate intensity), and "very bad" (severe intensity). These intensity levels were further converted into a numerical scale (1 for mild, 2 for moderate, and 3 for severe) to calculate the mean intensity level for each group</w:t>
      </w:r>
      <w:r w:rsidRPr="0024211F">
        <w:rPr>
          <w:rFonts w:ascii="Times New Roman" w:hAnsi="Times New Roman" w:cs="Times New Roman"/>
          <w:lang w:eastAsia="en-US"/>
        </w:rPr>
        <w:t>. Although this method is not entirely precise and involves subjective interpretation, it is acceptable as a supplementary approach to the primary presentation (reporting the specific numbers and percentages for each intensity level).</w:t>
      </w:r>
    </w:p>
    <w:p w14:paraId="4E4CAE71" w14:textId="0F83F54B" w:rsidR="0024211F" w:rsidRDefault="0024211F" w:rsidP="0024211F">
      <w:pPr>
        <w:spacing w:line="480" w:lineRule="auto"/>
        <w:ind w:firstLine="720"/>
        <w:jc w:val="both"/>
        <w:rPr>
          <w:rFonts w:ascii="Times New Roman" w:hAnsi="Times New Roman" w:cs="Times New Roman"/>
          <w:lang w:eastAsia="en-US"/>
        </w:rPr>
      </w:pPr>
      <w:r w:rsidRPr="0024211F">
        <w:rPr>
          <w:rFonts w:ascii="Times New Roman" w:hAnsi="Times New Roman" w:cs="Times New Roman"/>
          <w:lang w:eastAsia="en-US"/>
        </w:rPr>
        <w:t>For illustration, in the case of "Any headache (Overall): 472-627-26 (42.0%-55.7%-2.3%), mean = 1.60," this result indicates that among students diagnosed with any headache (including both male and female), 472 students reported their headache as "not bad," 627 students reported it as "quite bad," and 26 students reported it as "very bad." Furthermore, using the aforementioned conversion scale, their mean intensity score was calculated as 1.60.</w:t>
      </w:r>
    </w:p>
    <w:p w14:paraId="574B6B14" w14:textId="5AF27304" w:rsidR="0024211F" w:rsidRDefault="00865882" w:rsidP="0024211F">
      <w:pPr>
        <w:keepNext/>
        <w:keepLines/>
        <w:spacing w:before="240" w:after="0" w:line="480" w:lineRule="auto"/>
        <w:outlineLvl w:val="0"/>
        <w:rPr>
          <w:rFonts w:ascii="Calibri" w:eastAsia="Yu Gothic Light" w:hAnsi="Calibri" w:cs="Times New Roman"/>
          <w:b/>
          <w:color w:val="0070C0"/>
          <w:kern w:val="0"/>
          <w:sz w:val="28"/>
          <w:szCs w:val="32"/>
          <w:lang w:eastAsia="en-US"/>
          <w14:ligatures w14:val="none"/>
        </w:rPr>
      </w:pPr>
      <w:r>
        <w:rPr>
          <w:rFonts w:ascii="Calibri" w:eastAsia="Yu Gothic Light" w:hAnsi="Calibri" w:cs="Times New Roman"/>
          <w:b/>
          <w:color w:val="0070C0"/>
          <w:kern w:val="0"/>
          <w:sz w:val="28"/>
          <w:szCs w:val="32"/>
          <w:lang w:eastAsia="en-US"/>
          <w14:ligatures w14:val="none"/>
        </w:rPr>
        <w:lastRenderedPageBreak/>
        <w:t>3</w:t>
      </w:r>
      <w:r w:rsidR="0024211F">
        <w:rPr>
          <w:rFonts w:ascii="Calibri" w:eastAsia="Yu Gothic Light" w:hAnsi="Calibri" w:cs="Times New Roman"/>
          <w:b/>
          <w:color w:val="0070C0"/>
          <w:kern w:val="0"/>
          <w:sz w:val="28"/>
          <w:szCs w:val="32"/>
          <w:lang w:eastAsia="en-US"/>
          <w14:ligatures w14:val="none"/>
        </w:rPr>
        <w:t xml:space="preserve">. </w:t>
      </w:r>
      <w:r w:rsidR="00764EB8" w:rsidRPr="00764EB8">
        <w:rPr>
          <w:rFonts w:ascii="Calibri" w:eastAsia="Yu Gothic Light" w:hAnsi="Calibri" w:cs="Times New Roman"/>
          <w:b/>
          <w:color w:val="0070C0"/>
          <w:kern w:val="0"/>
          <w:sz w:val="28"/>
          <w:szCs w:val="32"/>
          <w:lang w:eastAsia="en-US"/>
          <w14:ligatures w14:val="none"/>
        </w:rPr>
        <w:t>HEADACHE-ATTRIBUTED LOST HEALTH</w:t>
      </w:r>
    </w:p>
    <w:p w14:paraId="753FA88A" w14:textId="656E8EFA" w:rsidR="00764EB8" w:rsidRPr="00764EB8" w:rsidRDefault="00764EB8" w:rsidP="00764EB8">
      <w:pPr>
        <w:spacing w:line="480" w:lineRule="auto"/>
        <w:ind w:firstLine="720"/>
        <w:jc w:val="both"/>
        <w:rPr>
          <w:rFonts w:ascii="Times New Roman" w:hAnsi="Times New Roman" w:cs="Times New Roman"/>
          <w:lang w:eastAsia="en-US"/>
        </w:rPr>
      </w:pPr>
      <w:r w:rsidRPr="00764EB8">
        <w:rPr>
          <w:rFonts w:ascii="Times New Roman" w:hAnsi="Times New Roman" w:cs="Times New Roman"/>
          <w:lang w:eastAsia="en-US"/>
        </w:rPr>
        <w:t>The concept of “headache-attributed lost health” was proposed and applied in several prior studies under the Global Campaign against Headache. This metric was estimated for migraine and tension-type headache (TTH) by multiplying the proportion of time spent in an ictal state (pTIS) by the corresponding disability weight (DW)</w:t>
      </w:r>
      <w:r w:rsidR="00EF47E3">
        <w:rPr>
          <w:rFonts w:ascii="Times New Roman" w:hAnsi="Times New Roman" w:cs="Times New Roman"/>
          <w:lang w:eastAsia="en-US"/>
        </w:rPr>
        <w:t xml:space="preserve"> </w:t>
      </w:r>
      <w:r w:rsidR="00EF47E3" w:rsidRPr="00EF47E3">
        <w:rPr>
          <w:rFonts w:ascii="Times New Roman" w:hAnsi="Times New Roman" w:cs="Times New Roman"/>
          <w:lang w:eastAsia="en-US"/>
        </w:rPr>
        <w:t>from the Global Burden of Disease study</w:t>
      </w:r>
      <w:r w:rsidRPr="00764EB8">
        <w:rPr>
          <w:rFonts w:ascii="Times New Roman" w:hAnsi="Times New Roman" w:cs="Times New Roman"/>
          <w:lang w:eastAsia="en-US"/>
        </w:rPr>
        <w:t>.</w:t>
      </w:r>
      <w:r>
        <w:rPr>
          <w:rFonts w:ascii="Times New Roman" w:hAnsi="Times New Roman" w:cs="Times New Roman"/>
          <w:lang w:eastAsia="en-US"/>
        </w:rPr>
        <w:t xml:space="preserve"> </w:t>
      </w:r>
      <w:r w:rsidRPr="00764EB8">
        <w:rPr>
          <w:rFonts w:ascii="Times New Roman" w:hAnsi="Times New Roman" w:cs="Times New Roman"/>
          <w:lang w:eastAsia="en-US"/>
        </w:rPr>
        <w:t>Specifically:</w:t>
      </w:r>
    </w:p>
    <w:p w14:paraId="2631B9DC" w14:textId="77777777" w:rsidR="00764EB8" w:rsidRPr="00764EB8" w:rsidRDefault="00764EB8" w:rsidP="00764EB8">
      <w:pPr>
        <w:spacing w:line="480" w:lineRule="auto"/>
        <w:ind w:firstLine="720"/>
        <w:jc w:val="both"/>
        <w:rPr>
          <w:rFonts w:ascii="Times New Roman" w:hAnsi="Times New Roman" w:cs="Times New Roman"/>
          <w:lang w:eastAsia="en-US"/>
        </w:rPr>
      </w:pPr>
      <w:r w:rsidRPr="00764EB8">
        <w:rPr>
          <w:rFonts w:ascii="Times New Roman" w:hAnsi="Times New Roman" w:cs="Times New Roman"/>
          <w:lang w:eastAsia="en-US"/>
        </w:rPr>
        <w:t>- pTIS was calculated by multiplying headache frequency by headache duration (capped at 24 hours, since frequency was recorded in days per month rather than attacks per month) and dividing by the total time in a month (30 days × 24 hours). Thus, pTIS is a measure of how much of a person's time is spent experiencing headache symptoms.</w:t>
      </w:r>
    </w:p>
    <w:p w14:paraId="5CB3ECFC" w14:textId="77777777" w:rsidR="00764EB8" w:rsidRPr="00764EB8" w:rsidRDefault="00764EB8" w:rsidP="00764EB8">
      <w:pPr>
        <w:spacing w:line="480" w:lineRule="auto"/>
        <w:ind w:firstLine="720"/>
        <w:jc w:val="both"/>
        <w:rPr>
          <w:rFonts w:ascii="Times New Roman" w:hAnsi="Times New Roman" w:cs="Times New Roman"/>
          <w:lang w:eastAsia="en-US"/>
        </w:rPr>
      </w:pPr>
      <w:r w:rsidRPr="00764EB8">
        <w:rPr>
          <w:rFonts w:ascii="Times New Roman" w:hAnsi="Times New Roman" w:cs="Times New Roman"/>
          <w:lang w:eastAsia="en-US"/>
        </w:rPr>
        <w:t>- DW represents the severity of health-related conditions and their impact on quality of life. It is measured on a scale from 0 to 1, where 0 represents a state equivalent to full health (no disability) and 1 represents a state equivalent to death.</w:t>
      </w:r>
    </w:p>
    <w:p w14:paraId="30B0D5C7" w14:textId="7D9764FF" w:rsidR="0024211F" w:rsidRDefault="00764EB8" w:rsidP="00764EB8">
      <w:pPr>
        <w:spacing w:line="480" w:lineRule="auto"/>
        <w:ind w:firstLine="720"/>
        <w:jc w:val="both"/>
        <w:rPr>
          <w:rFonts w:ascii="Times New Roman" w:hAnsi="Times New Roman" w:cs="Times New Roman"/>
          <w:lang w:eastAsia="en-US"/>
        </w:rPr>
      </w:pPr>
      <w:r w:rsidRPr="00764EB8">
        <w:rPr>
          <w:rFonts w:ascii="Times New Roman" w:hAnsi="Times New Roman" w:cs="Times New Roman"/>
          <w:lang w:eastAsia="en-US"/>
        </w:rPr>
        <w:t>From this information, it can be inferred that "headache-attributed lost health" serves as a measurement to evaluate the proportion (%) of health lost due to the impact of headache. For instance, a person with a headache-attributed lost health of 10% would have a quality of life approximately 90% of what it would be if were not affected by headache.</w:t>
      </w:r>
    </w:p>
    <w:p w14:paraId="5C4EB8F3" w14:textId="2A339FB2" w:rsidR="0024211F" w:rsidRDefault="002D2236" w:rsidP="00764EB8">
      <w:pPr>
        <w:keepNext/>
        <w:keepLines/>
        <w:tabs>
          <w:tab w:val="left" w:pos="2993"/>
        </w:tabs>
        <w:spacing w:before="240" w:after="0" w:line="480" w:lineRule="auto"/>
        <w:outlineLvl w:val="0"/>
        <w:rPr>
          <w:rFonts w:ascii="Calibri" w:eastAsia="Yu Gothic Light" w:hAnsi="Calibri" w:cs="Times New Roman"/>
          <w:b/>
          <w:color w:val="0070C0"/>
          <w:kern w:val="0"/>
          <w:sz w:val="28"/>
          <w:szCs w:val="32"/>
          <w:lang w:eastAsia="en-US"/>
          <w14:ligatures w14:val="none"/>
        </w:rPr>
      </w:pPr>
      <w:r>
        <w:rPr>
          <w:rFonts w:ascii="Calibri" w:eastAsia="Yu Gothic Light" w:hAnsi="Calibri" w:cs="Times New Roman"/>
          <w:b/>
          <w:color w:val="0070C0"/>
          <w:kern w:val="0"/>
          <w:sz w:val="28"/>
          <w:szCs w:val="32"/>
          <w:lang w:eastAsia="en-US"/>
          <w14:ligatures w14:val="none"/>
        </w:rPr>
        <w:t>4</w:t>
      </w:r>
      <w:r w:rsidR="0024211F">
        <w:rPr>
          <w:rFonts w:ascii="Calibri" w:eastAsia="Yu Gothic Light" w:hAnsi="Calibri" w:cs="Times New Roman"/>
          <w:b/>
          <w:color w:val="0070C0"/>
          <w:kern w:val="0"/>
          <w:sz w:val="28"/>
          <w:szCs w:val="32"/>
          <w:lang w:eastAsia="en-US"/>
          <w14:ligatures w14:val="none"/>
        </w:rPr>
        <w:t xml:space="preserve">. </w:t>
      </w:r>
      <w:r w:rsidRPr="002D2236">
        <w:rPr>
          <w:rFonts w:ascii="Calibri" w:eastAsia="Yu Gothic Light" w:hAnsi="Calibri" w:cs="Times New Roman"/>
          <w:b/>
          <w:color w:val="0070C0"/>
          <w:kern w:val="0"/>
          <w:sz w:val="28"/>
          <w:szCs w:val="32"/>
          <w:lang w:eastAsia="en-US"/>
          <w14:ligatures w14:val="none"/>
        </w:rPr>
        <w:t>PAIRWISE COMPARISONS OF WHOQOL-8 SCORES BETWEEN HEADACHE TYPES</w:t>
      </w:r>
    </w:p>
    <w:p w14:paraId="7FB19FDC" w14:textId="0A1A67E3" w:rsidR="0024211F" w:rsidRDefault="002D2236" w:rsidP="002D2236">
      <w:pPr>
        <w:spacing w:line="480" w:lineRule="auto"/>
        <w:ind w:firstLine="720"/>
        <w:jc w:val="both"/>
        <w:rPr>
          <w:rFonts w:ascii="Times New Roman" w:hAnsi="Times New Roman" w:cs="Times New Roman"/>
          <w:lang w:eastAsia="en-US"/>
        </w:rPr>
      </w:pPr>
      <w:r>
        <w:rPr>
          <w:rFonts w:ascii="Times New Roman" w:hAnsi="Times New Roman" w:cs="Times New Roman"/>
          <w:lang w:eastAsia="en-US"/>
        </w:rPr>
        <w:t>S</w:t>
      </w:r>
      <w:r w:rsidRPr="002D2236">
        <w:rPr>
          <w:rFonts w:ascii="Times New Roman" w:hAnsi="Times New Roman" w:cs="Times New Roman"/>
          <w:lang w:eastAsia="en-US"/>
        </w:rPr>
        <w:t>ince the Kruskal-Wallis test indicated significant differences among headache types, pairwise comparisons were performed using the Dunnett test</w:t>
      </w:r>
      <w:r>
        <w:rPr>
          <w:rFonts w:ascii="Times New Roman" w:hAnsi="Times New Roman" w:cs="Times New Roman"/>
          <w:lang w:eastAsia="en-US"/>
        </w:rPr>
        <w:t>. The following table show p-values of Dunnett test:</w:t>
      </w:r>
    </w:p>
    <w:p w14:paraId="0A249436" w14:textId="77777777" w:rsidR="007F06BA" w:rsidRDefault="007F06BA"/>
    <w:tbl>
      <w:tblPr>
        <w:tblStyle w:val="TableGrid"/>
        <w:tblW w:w="0" w:type="auto"/>
        <w:jc w:val="center"/>
        <w:tblLook w:val="04A0" w:firstRow="1" w:lastRow="0" w:firstColumn="1" w:lastColumn="0" w:noHBand="0" w:noVBand="1"/>
      </w:tblPr>
      <w:tblGrid>
        <w:gridCol w:w="1575"/>
        <w:gridCol w:w="1576"/>
        <w:gridCol w:w="1563"/>
        <w:gridCol w:w="1522"/>
        <w:gridCol w:w="1485"/>
      </w:tblGrid>
      <w:tr w:rsidR="002D2236" w14:paraId="29B7857B" w14:textId="77777777" w:rsidTr="002D2236">
        <w:trPr>
          <w:jc w:val="center"/>
        </w:trPr>
        <w:tc>
          <w:tcPr>
            <w:tcW w:w="1575" w:type="dxa"/>
          </w:tcPr>
          <w:p w14:paraId="2D2D8FED" w14:textId="77777777" w:rsidR="002D2236" w:rsidRDefault="002D2236"/>
        </w:tc>
        <w:tc>
          <w:tcPr>
            <w:tcW w:w="1576" w:type="dxa"/>
          </w:tcPr>
          <w:p w14:paraId="47F75462" w14:textId="39E326DA" w:rsidR="002D2236" w:rsidRPr="002D2236" w:rsidRDefault="002D2236">
            <w:pPr>
              <w:rPr>
                <w:b/>
                <w:bCs/>
              </w:rPr>
            </w:pPr>
            <w:r w:rsidRPr="002D2236">
              <w:rPr>
                <w:b/>
                <w:bCs/>
              </w:rPr>
              <w:t>Migraine</w:t>
            </w:r>
          </w:p>
        </w:tc>
        <w:tc>
          <w:tcPr>
            <w:tcW w:w="1563" w:type="dxa"/>
          </w:tcPr>
          <w:p w14:paraId="766D12E8" w14:textId="2E3383E0" w:rsidR="002D2236" w:rsidRPr="002D2236" w:rsidRDefault="002D2236">
            <w:pPr>
              <w:rPr>
                <w:b/>
                <w:bCs/>
              </w:rPr>
            </w:pPr>
            <w:r w:rsidRPr="002D2236">
              <w:rPr>
                <w:b/>
                <w:bCs/>
              </w:rPr>
              <w:t>TTH</w:t>
            </w:r>
          </w:p>
        </w:tc>
        <w:tc>
          <w:tcPr>
            <w:tcW w:w="1522" w:type="dxa"/>
          </w:tcPr>
          <w:p w14:paraId="517B5048" w14:textId="3C7BD485" w:rsidR="002D2236" w:rsidRPr="002D2236" w:rsidRDefault="002D2236">
            <w:pPr>
              <w:rPr>
                <w:b/>
                <w:bCs/>
              </w:rPr>
            </w:pPr>
            <w:r w:rsidRPr="002D2236">
              <w:rPr>
                <w:b/>
                <w:bCs/>
              </w:rPr>
              <w:t>pMOH</w:t>
            </w:r>
          </w:p>
        </w:tc>
        <w:tc>
          <w:tcPr>
            <w:tcW w:w="1485" w:type="dxa"/>
          </w:tcPr>
          <w:p w14:paraId="02C3B9B2" w14:textId="59CF953E" w:rsidR="002D2236" w:rsidRPr="002D2236" w:rsidRDefault="002D2236">
            <w:pPr>
              <w:rPr>
                <w:b/>
                <w:bCs/>
              </w:rPr>
            </w:pPr>
            <w:r w:rsidRPr="002D2236">
              <w:rPr>
                <w:b/>
                <w:bCs/>
              </w:rPr>
              <w:t>Other H15+</w:t>
            </w:r>
          </w:p>
        </w:tc>
      </w:tr>
      <w:tr w:rsidR="002D2236" w14:paraId="29CBD418" w14:textId="77777777" w:rsidTr="002D2236">
        <w:trPr>
          <w:jc w:val="center"/>
        </w:trPr>
        <w:tc>
          <w:tcPr>
            <w:tcW w:w="1575" w:type="dxa"/>
          </w:tcPr>
          <w:p w14:paraId="008892C9" w14:textId="2F3AE743" w:rsidR="002D2236" w:rsidRPr="002D2236" w:rsidRDefault="002D2236">
            <w:pPr>
              <w:rPr>
                <w:b/>
                <w:bCs/>
              </w:rPr>
            </w:pPr>
            <w:r w:rsidRPr="002D2236">
              <w:rPr>
                <w:b/>
                <w:bCs/>
              </w:rPr>
              <w:t>Migraine</w:t>
            </w:r>
          </w:p>
        </w:tc>
        <w:tc>
          <w:tcPr>
            <w:tcW w:w="1576" w:type="dxa"/>
          </w:tcPr>
          <w:p w14:paraId="1273DDFF" w14:textId="3D7A0968"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563" w:type="dxa"/>
          </w:tcPr>
          <w:p w14:paraId="0218433A" w14:textId="4294BE3E"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522" w:type="dxa"/>
          </w:tcPr>
          <w:p w14:paraId="77D7C0E6" w14:textId="5F533274"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485" w:type="dxa"/>
          </w:tcPr>
          <w:p w14:paraId="2B10424A" w14:textId="15C3757E" w:rsidR="002D2236" w:rsidRDefault="002D2236" w:rsidP="00CF35FE">
            <w:pPr>
              <w:jc w:val="center"/>
            </w:pPr>
            <w:r w:rsidRPr="00485C15">
              <w:rPr>
                <w:rFonts w:ascii="Times New Roman" w:eastAsia="Calibri" w:hAnsi="Times New Roman" w:cs="Times New Roman"/>
                <w:kern w:val="0"/>
                <w:lang w:eastAsia="en-US"/>
                <w14:ligatures w14:val="none"/>
              </w:rPr>
              <w:t>–</w:t>
            </w:r>
          </w:p>
        </w:tc>
      </w:tr>
      <w:tr w:rsidR="002D2236" w14:paraId="1B1595AB" w14:textId="77777777" w:rsidTr="002D2236">
        <w:trPr>
          <w:jc w:val="center"/>
        </w:trPr>
        <w:tc>
          <w:tcPr>
            <w:tcW w:w="1575" w:type="dxa"/>
          </w:tcPr>
          <w:p w14:paraId="0B9473F0" w14:textId="1A9B57E0" w:rsidR="002D2236" w:rsidRPr="002D2236" w:rsidRDefault="002D2236">
            <w:pPr>
              <w:rPr>
                <w:b/>
                <w:bCs/>
              </w:rPr>
            </w:pPr>
            <w:r w:rsidRPr="002D2236">
              <w:rPr>
                <w:b/>
                <w:bCs/>
              </w:rPr>
              <w:t>TTH</w:t>
            </w:r>
          </w:p>
        </w:tc>
        <w:tc>
          <w:tcPr>
            <w:tcW w:w="1576" w:type="dxa"/>
          </w:tcPr>
          <w:p w14:paraId="59308225" w14:textId="40D39029" w:rsidR="002D2236" w:rsidRDefault="002D2236" w:rsidP="00CF35FE">
            <w:pPr>
              <w:jc w:val="center"/>
            </w:pPr>
            <w:r w:rsidRPr="00CF35FE">
              <w:t>0.2732</w:t>
            </w:r>
          </w:p>
        </w:tc>
        <w:tc>
          <w:tcPr>
            <w:tcW w:w="1563" w:type="dxa"/>
          </w:tcPr>
          <w:p w14:paraId="34FDBBFB" w14:textId="47F51238"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522" w:type="dxa"/>
          </w:tcPr>
          <w:p w14:paraId="05214D4D" w14:textId="067F2517"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485" w:type="dxa"/>
          </w:tcPr>
          <w:p w14:paraId="699F3087" w14:textId="56BE8D50" w:rsidR="002D2236" w:rsidRDefault="002D2236" w:rsidP="00CF35FE">
            <w:pPr>
              <w:jc w:val="center"/>
            </w:pPr>
            <w:r w:rsidRPr="00485C15">
              <w:rPr>
                <w:rFonts w:ascii="Times New Roman" w:eastAsia="Calibri" w:hAnsi="Times New Roman" w:cs="Times New Roman"/>
                <w:kern w:val="0"/>
                <w:lang w:eastAsia="en-US"/>
                <w14:ligatures w14:val="none"/>
              </w:rPr>
              <w:t>–</w:t>
            </w:r>
          </w:p>
        </w:tc>
      </w:tr>
      <w:tr w:rsidR="002D2236" w14:paraId="2076C511" w14:textId="77777777" w:rsidTr="002D2236">
        <w:trPr>
          <w:jc w:val="center"/>
        </w:trPr>
        <w:tc>
          <w:tcPr>
            <w:tcW w:w="1575" w:type="dxa"/>
          </w:tcPr>
          <w:p w14:paraId="261B86CE" w14:textId="16A329CA" w:rsidR="002D2236" w:rsidRPr="002D2236" w:rsidRDefault="002D2236">
            <w:pPr>
              <w:rPr>
                <w:b/>
                <w:bCs/>
              </w:rPr>
            </w:pPr>
            <w:r w:rsidRPr="002D2236">
              <w:rPr>
                <w:b/>
                <w:bCs/>
              </w:rPr>
              <w:t>pMOH</w:t>
            </w:r>
          </w:p>
        </w:tc>
        <w:tc>
          <w:tcPr>
            <w:tcW w:w="1576" w:type="dxa"/>
          </w:tcPr>
          <w:p w14:paraId="090F63D5" w14:textId="47BCB029" w:rsidR="002D2236" w:rsidRDefault="002D2236" w:rsidP="00CF35FE">
            <w:pPr>
              <w:jc w:val="center"/>
            </w:pPr>
            <w:r w:rsidRPr="00CF35FE">
              <w:t>0.1659</w:t>
            </w:r>
          </w:p>
        </w:tc>
        <w:tc>
          <w:tcPr>
            <w:tcW w:w="1563" w:type="dxa"/>
          </w:tcPr>
          <w:p w14:paraId="2E75916F" w14:textId="5C0B54A8" w:rsidR="002D2236" w:rsidRDefault="002D2236" w:rsidP="00CF35FE">
            <w:pPr>
              <w:jc w:val="center"/>
            </w:pPr>
            <w:r w:rsidRPr="00CF35FE">
              <w:t>0.1406</w:t>
            </w:r>
          </w:p>
        </w:tc>
        <w:tc>
          <w:tcPr>
            <w:tcW w:w="1522" w:type="dxa"/>
          </w:tcPr>
          <w:p w14:paraId="6F592BDC" w14:textId="1FC8C470" w:rsidR="002D2236" w:rsidRDefault="002D2236" w:rsidP="00CF35FE">
            <w:pPr>
              <w:jc w:val="center"/>
            </w:pPr>
            <w:r w:rsidRPr="00485C15">
              <w:rPr>
                <w:rFonts w:ascii="Times New Roman" w:eastAsia="Calibri" w:hAnsi="Times New Roman" w:cs="Times New Roman"/>
                <w:kern w:val="0"/>
                <w:lang w:eastAsia="en-US"/>
                <w14:ligatures w14:val="none"/>
              </w:rPr>
              <w:t>–</w:t>
            </w:r>
          </w:p>
        </w:tc>
        <w:tc>
          <w:tcPr>
            <w:tcW w:w="1485" w:type="dxa"/>
          </w:tcPr>
          <w:p w14:paraId="4AF47D46" w14:textId="77777777" w:rsidR="002D2236" w:rsidRDefault="002D2236" w:rsidP="00CF35FE">
            <w:pPr>
              <w:jc w:val="center"/>
            </w:pPr>
          </w:p>
        </w:tc>
      </w:tr>
      <w:tr w:rsidR="002D2236" w14:paraId="78ACE8DE" w14:textId="77777777" w:rsidTr="002D2236">
        <w:trPr>
          <w:jc w:val="center"/>
        </w:trPr>
        <w:tc>
          <w:tcPr>
            <w:tcW w:w="1575" w:type="dxa"/>
          </w:tcPr>
          <w:p w14:paraId="0772E077" w14:textId="0AD46150" w:rsidR="002D2236" w:rsidRPr="002D2236" w:rsidRDefault="002D2236">
            <w:pPr>
              <w:rPr>
                <w:b/>
                <w:bCs/>
              </w:rPr>
            </w:pPr>
            <w:r w:rsidRPr="002D2236">
              <w:rPr>
                <w:b/>
                <w:bCs/>
              </w:rPr>
              <w:t>Other H15+</w:t>
            </w:r>
          </w:p>
        </w:tc>
        <w:tc>
          <w:tcPr>
            <w:tcW w:w="1576" w:type="dxa"/>
          </w:tcPr>
          <w:p w14:paraId="5D19ED0D" w14:textId="362F5912" w:rsidR="002D2236" w:rsidRDefault="002D2236" w:rsidP="00CF35FE">
            <w:pPr>
              <w:jc w:val="center"/>
            </w:pPr>
            <w:r w:rsidRPr="00CF35FE">
              <w:t>0.0001</w:t>
            </w:r>
          </w:p>
        </w:tc>
        <w:tc>
          <w:tcPr>
            <w:tcW w:w="1563" w:type="dxa"/>
          </w:tcPr>
          <w:p w14:paraId="46A7F1ED" w14:textId="5AD0E4E4" w:rsidR="002D2236" w:rsidRDefault="002D2236" w:rsidP="00CF35FE">
            <w:pPr>
              <w:jc w:val="center"/>
            </w:pPr>
            <w:r>
              <w:t>&lt;</w:t>
            </w:r>
            <w:r w:rsidRPr="00CF35FE">
              <w:t>0.000</w:t>
            </w:r>
            <w:r>
              <w:t>1</w:t>
            </w:r>
          </w:p>
        </w:tc>
        <w:tc>
          <w:tcPr>
            <w:tcW w:w="1522" w:type="dxa"/>
          </w:tcPr>
          <w:p w14:paraId="33F8E1A6" w14:textId="0BC084DE" w:rsidR="002D2236" w:rsidRDefault="002D2236" w:rsidP="00CF35FE">
            <w:pPr>
              <w:jc w:val="center"/>
            </w:pPr>
            <w:r w:rsidRPr="00CF35FE">
              <w:t>0.3562</w:t>
            </w:r>
          </w:p>
        </w:tc>
        <w:tc>
          <w:tcPr>
            <w:tcW w:w="1485" w:type="dxa"/>
          </w:tcPr>
          <w:p w14:paraId="6DF55AE5" w14:textId="7424CB36" w:rsidR="002D2236" w:rsidRDefault="002D2236" w:rsidP="00CF35FE">
            <w:pPr>
              <w:jc w:val="center"/>
            </w:pPr>
            <w:r w:rsidRPr="00485C15">
              <w:rPr>
                <w:rFonts w:ascii="Times New Roman" w:eastAsia="Calibri" w:hAnsi="Times New Roman" w:cs="Times New Roman"/>
                <w:kern w:val="0"/>
                <w:lang w:eastAsia="en-US"/>
                <w14:ligatures w14:val="none"/>
              </w:rPr>
              <w:t>–</w:t>
            </w:r>
          </w:p>
        </w:tc>
      </w:tr>
    </w:tbl>
    <w:p w14:paraId="0DB6EDD7" w14:textId="77777777" w:rsidR="007D5323" w:rsidRDefault="007D5323"/>
    <w:p w14:paraId="7C6F9316" w14:textId="4A3E1C3D" w:rsidR="002D2236" w:rsidRDefault="002D2236">
      <w:r>
        <w:tab/>
      </w:r>
      <w:r w:rsidRPr="002D2236">
        <w:t>pMOH: probable medication-overuse headache; H15+: headache on ≥ 15 days/month; TTH: tension-type headache</w:t>
      </w:r>
    </w:p>
    <w:sectPr w:rsidR="002D2236" w:rsidSect="00B1596C">
      <w:headerReference w:type="default" r:id="rId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F49C3" w14:textId="77777777" w:rsidR="00555B38" w:rsidRDefault="00555B38" w:rsidP="002D2236">
      <w:pPr>
        <w:spacing w:after="0" w:line="240" w:lineRule="auto"/>
      </w:pPr>
      <w:r>
        <w:separator/>
      </w:r>
    </w:p>
  </w:endnote>
  <w:endnote w:type="continuationSeparator" w:id="0">
    <w:p w14:paraId="39E7B472" w14:textId="77777777" w:rsidR="00555B38" w:rsidRDefault="00555B38" w:rsidP="002D2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4930" w14:textId="77777777" w:rsidR="00555B38" w:rsidRDefault="00555B38" w:rsidP="002D2236">
      <w:pPr>
        <w:spacing w:after="0" w:line="240" w:lineRule="auto"/>
      </w:pPr>
      <w:r>
        <w:separator/>
      </w:r>
    </w:p>
  </w:footnote>
  <w:footnote w:type="continuationSeparator" w:id="0">
    <w:p w14:paraId="37145572" w14:textId="77777777" w:rsidR="00555B38" w:rsidRDefault="00555B38" w:rsidP="002D2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140315"/>
      <w:docPartObj>
        <w:docPartGallery w:val="Page Numbers (Top of Page)"/>
        <w:docPartUnique/>
      </w:docPartObj>
    </w:sdtPr>
    <w:sdtEndPr>
      <w:rPr>
        <w:noProof/>
      </w:rPr>
    </w:sdtEndPr>
    <w:sdtContent>
      <w:p w14:paraId="1CAC9D69" w14:textId="46123E86" w:rsidR="002D2236" w:rsidRDefault="002D22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048104" w14:textId="77777777" w:rsidR="002D2236" w:rsidRDefault="002D22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C15"/>
    <w:rsid w:val="000F7E55"/>
    <w:rsid w:val="001945EF"/>
    <w:rsid w:val="0024211F"/>
    <w:rsid w:val="002553F1"/>
    <w:rsid w:val="002D2236"/>
    <w:rsid w:val="003E59F7"/>
    <w:rsid w:val="00455418"/>
    <w:rsid w:val="00485C15"/>
    <w:rsid w:val="00486397"/>
    <w:rsid w:val="004927DF"/>
    <w:rsid w:val="0055327C"/>
    <w:rsid w:val="00555B38"/>
    <w:rsid w:val="005C55ED"/>
    <w:rsid w:val="0060794E"/>
    <w:rsid w:val="0062118F"/>
    <w:rsid w:val="006C19FE"/>
    <w:rsid w:val="00764EB8"/>
    <w:rsid w:val="007B1B39"/>
    <w:rsid w:val="007D5323"/>
    <w:rsid w:val="007F06BA"/>
    <w:rsid w:val="00863B87"/>
    <w:rsid w:val="00865882"/>
    <w:rsid w:val="00892AC2"/>
    <w:rsid w:val="009075F5"/>
    <w:rsid w:val="009F4206"/>
    <w:rsid w:val="00A71636"/>
    <w:rsid w:val="00B1596C"/>
    <w:rsid w:val="00C41619"/>
    <w:rsid w:val="00CF35FE"/>
    <w:rsid w:val="00E33A13"/>
    <w:rsid w:val="00E72D49"/>
    <w:rsid w:val="00ED3A18"/>
    <w:rsid w:val="00EF47E3"/>
    <w:rsid w:val="00F448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05A05"/>
  <w15:chartTrackingRefBased/>
  <w15:docId w15:val="{3C661C8D-4762-4DD9-9FCB-82F0F6EC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C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C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C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C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C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C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C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C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C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C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C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C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C15"/>
    <w:rPr>
      <w:rFonts w:eastAsiaTheme="majorEastAsia" w:cstheme="majorBidi"/>
      <w:color w:val="272727" w:themeColor="text1" w:themeTint="D8"/>
    </w:rPr>
  </w:style>
  <w:style w:type="paragraph" w:styleId="Title">
    <w:name w:val="Title"/>
    <w:basedOn w:val="Normal"/>
    <w:next w:val="Normal"/>
    <w:link w:val="TitleChar"/>
    <w:uiPriority w:val="10"/>
    <w:qFormat/>
    <w:rsid w:val="00485C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C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C15"/>
    <w:pPr>
      <w:spacing w:before="160"/>
      <w:jc w:val="center"/>
    </w:pPr>
    <w:rPr>
      <w:i/>
      <w:iCs/>
      <w:color w:val="404040" w:themeColor="text1" w:themeTint="BF"/>
    </w:rPr>
  </w:style>
  <w:style w:type="character" w:customStyle="1" w:styleId="QuoteChar">
    <w:name w:val="Quote Char"/>
    <w:basedOn w:val="DefaultParagraphFont"/>
    <w:link w:val="Quote"/>
    <w:uiPriority w:val="29"/>
    <w:rsid w:val="00485C15"/>
    <w:rPr>
      <w:i/>
      <w:iCs/>
      <w:color w:val="404040" w:themeColor="text1" w:themeTint="BF"/>
    </w:rPr>
  </w:style>
  <w:style w:type="paragraph" w:styleId="ListParagraph">
    <w:name w:val="List Paragraph"/>
    <w:basedOn w:val="Normal"/>
    <w:uiPriority w:val="34"/>
    <w:qFormat/>
    <w:rsid w:val="00485C15"/>
    <w:pPr>
      <w:ind w:left="720"/>
      <w:contextualSpacing/>
    </w:pPr>
  </w:style>
  <w:style w:type="character" w:styleId="IntenseEmphasis">
    <w:name w:val="Intense Emphasis"/>
    <w:basedOn w:val="DefaultParagraphFont"/>
    <w:uiPriority w:val="21"/>
    <w:qFormat/>
    <w:rsid w:val="00485C15"/>
    <w:rPr>
      <w:i/>
      <w:iCs/>
      <w:color w:val="0F4761" w:themeColor="accent1" w:themeShade="BF"/>
    </w:rPr>
  </w:style>
  <w:style w:type="paragraph" w:styleId="IntenseQuote">
    <w:name w:val="Intense Quote"/>
    <w:basedOn w:val="Normal"/>
    <w:next w:val="Normal"/>
    <w:link w:val="IntenseQuoteChar"/>
    <w:uiPriority w:val="30"/>
    <w:qFormat/>
    <w:rsid w:val="00485C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C15"/>
    <w:rPr>
      <w:i/>
      <w:iCs/>
      <w:color w:val="0F4761" w:themeColor="accent1" w:themeShade="BF"/>
    </w:rPr>
  </w:style>
  <w:style w:type="character" w:styleId="IntenseReference">
    <w:name w:val="Intense Reference"/>
    <w:basedOn w:val="DefaultParagraphFont"/>
    <w:uiPriority w:val="32"/>
    <w:qFormat/>
    <w:rsid w:val="00485C15"/>
    <w:rPr>
      <w:b/>
      <w:bCs/>
      <w:smallCaps/>
      <w:color w:val="0F4761" w:themeColor="accent1" w:themeShade="BF"/>
      <w:spacing w:val="5"/>
    </w:rPr>
  </w:style>
  <w:style w:type="table" w:styleId="TableGrid">
    <w:name w:val="Table Grid"/>
    <w:basedOn w:val="TableNormal"/>
    <w:uiPriority w:val="39"/>
    <w:rsid w:val="00CF3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5882"/>
    <w:rPr>
      <w:color w:val="467886" w:themeColor="hyperlink"/>
      <w:u w:val="single"/>
    </w:rPr>
  </w:style>
  <w:style w:type="character" w:styleId="UnresolvedMention">
    <w:name w:val="Unresolved Mention"/>
    <w:basedOn w:val="DefaultParagraphFont"/>
    <w:uiPriority w:val="99"/>
    <w:semiHidden/>
    <w:unhideWhenUsed/>
    <w:rsid w:val="00865882"/>
    <w:rPr>
      <w:color w:val="605E5C"/>
      <w:shd w:val="clear" w:color="auto" w:fill="E1DFDD"/>
    </w:rPr>
  </w:style>
  <w:style w:type="character" w:styleId="FollowedHyperlink">
    <w:name w:val="FollowedHyperlink"/>
    <w:basedOn w:val="DefaultParagraphFont"/>
    <w:uiPriority w:val="99"/>
    <w:semiHidden/>
    <w:unhideWhenUsed/>
    <w:rsid w:val="00865882"/>
    <w:rPr>
      <w:color w:val="96607D" w:themeColor="followedHyperlink"/>
      <w:u w:val="single"/>
    </w:rPr>
  </w:style>
  <w:style w:type="paragraph" w:styleId="Header">
    <w:name w:val="header"/>
    <w:basedOn w:val="Normal"/>
    <w:link w:val="HeaderChar"/>
    <w:uiPriority w:val="99"/>
    <w:unhideWhenUsed/>
    <w:rsid w:val="002D2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236"/>
  </w:style>
  <w:style w:type="paragraph" w:styleId="Footer">
    <w:name w:val="footer"/>
    <w:basedOn w:val="Normal"/>
    <w:link w:val="FooterChar"/>
    <w:uiPriority w:val="99"/>
    <w:unhideWhenUsed/>
    <w:rsid w:val="002D2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tic-content.springer.com/esm/art%3A10.1186%2F1129-2377-15-3/MediaObjects/10194_2013_1038_MOESM1_ESM.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7</Pages>
  <Words>1906</Words>
  <Characters>10866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26</cp:revision>
  <dcterms:created xsi:type="dcterms:W3CDTF">2024-12-17T03:57:00Z</dcterms:created>
  <dcterms:modified xsi:type="dcterms:W3CDTF">2024-12-22T13:03:00Z</dcterms:modified>
</cp:coreProperties>
</file>