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A4737" w14:textId="77777777" w:rsidR="00CF7ABB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  <w:noProof/>
        </w:rPr>
        <w:drawing>
          <wp:inline distT="0" distB="0" distL="114300" distR="114300" wp14:anchorId="54415EAA" wp14:editId="6AD98030">
            <wp:extent cx="3874770" cy="3642995"/>
            <wp:effectExtent l="0" t="0" r="1905" b="5080"/>
            <wp:docPr id="1" name="图片 1" descr="SM.fig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M.fig.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74770" cy="364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B991B" w14:textId="399A9B13" w:rsidR="0071215A" w:rsidRDefault="0071215A" w:rsidP="0071215A">
      <w:pPr>
        <w:tabs>
          <w:tab w:val="left" w:pos="841"/>
        </w:tabs>
        <w:jc w:val="left"/>
        <w:rPr>
          <w:rFonts w:ascii="Times New Roman" w:hAnsi="Times New Roman" w:cs="Times New Roman" w:hint="eastAsia"/>
          <w:b/>
          <w:bCs/>
        </w:rPr>
      </w:pPr>
      <w:r w:rsidRPr="001763F7">
        <w:rPr>
          <w:rFonts w:ascii="Times New Roman" w:hAnsi="Times New Roman" w:cs="Times New Roman"/>
          <w:b/>
          <w:bCs/>
          <w:szCs w:val="21"/>
        </w:rPr>
        <w:t>Supplementary</w:t>
      </w:r>
      <w:r>
        <w:rPr>
          <w:rFonts w:ascii="Times New Roman" w:hAnsi="Times New Roman" w:cs="Times New Roman" w:hint="eastAsia"/>
          <w:b/>
          <w:bCs/>
        </w:rPr>
        <w:t xml:space="preserve"> Fig. 1 </w:t>
      </w:r>
      <w:r>
        <w:rPr>
          <w:rFonts w:ascii="Times New Roman" w:hAnsi="Times New Roman" w:cs="Times New Roman"/>
          <w:b/>
          <w:bCs/>
        </w:rPr>
        <w:t xml:space="preserve">Correlation analysis between the </w:t>
      </w:r>
      <w:r>
        <w:rPr>
          <w:rFonts w:ascii="Times New Roman" w:hAnsi="Times New Roman" w:cs="Times New Roman" w:hint="eastAsia"/>
          <w:b/>
          <w:bCs/>
        </w:rPr>
        <w:t xml:space="preserve">fALFF in </w:t>
      </w:r>
      <w:r>
        <w:rPr>
          <w:rFonts w:ascii="Times New Roman" w:hAnsi="Times New Roman" w:cs="Times New Roman"/>
          <w:b/>
          <w:bCs/>
        </w:rPr>
        <w:t xml:space="preserve">putamen </w:t>
      </w:r>
      <w:r>
        <w:rPr>
          <w:rFonts w:ascii="Times New Roman" w:hAnsi="Times New Roman" w:cs="Times New Roman" w:hint="eastAsia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R</w:t>
      </w:r>
      <w:r>
        <w:rPr>
          <w:rFonts w:ascii="Times New Roman" w:hAnsi="Times New Roman" w:cs="Times New Roman" w:hint="eastAsia"/>
          <w:b/>
          <w:bCs/>
        </w:rPr>
        <w:t>)</w:t>
      </w:r>
      <w:r>
        <w:rPr>
          <w:rFonts w:ascii="Times New Roman" w:hAnsi="Times New Roman" w:cs="Times New Roman"/>
          <w:b/>
          <w:bCs/>
        </w:rPr>
        <w:t xml:space="preserve"> and the frequency of analgesic use</w:t>
      </w:r>
      <w:r>
        <w:rPr>
          <w:rFonts w:ascii="Times New Roman" w:hAnsi="Times New Roman" w:cs="Times New Roman" w:hint="eastAsia"/>
          <w:b/>
          <w:bCs/>
        </w:rPr>
        <w:t>.</w:t>
      </w:r>
      <w:r>
        <w:rPr>
          <w:rFonts w:ascii="Times New Roman" w:hAnsi="Times New Roman" w:cs="Times New Roman" w:hint="eastAsia"/>
          <w:b/>
          <w:bCs/>
        </w:rPr>
        <w:t xml:space="preserve"> </w:t>
      </w:r>
      <w:r w:rsidRPr="006227A8">
        <w:rPr>
          <w:rFonts w:ascii="Times New Roman" w:hAnsi="Times New Roman"/>
          <w:b/>
          <w:bCs/>
          <w:szCs w:val="21"/>
        </w:rPr>
        <w:t>Orange represents CM</w:t>
      </w:r>
      <w:r>
        <w:rPr>
          <w:rFonts w:ascii="Cambria Math" w:hAnsi="Cambria Math" w:cs="Cambria Math"/>
          <w:b/>
          <w:bCs/>
        </w:rPr>
        <w:t>−</w:t>
      </w:r>
      <w:r w:rsidRPr="006227A8">
        <w:rPr>
          <w:rFonts w:ascii="Times New Roman" w:hAnsi="Times New Roman"/>
          <w:b/>
          <w:bCs/>
          <w:szCs w:val="21"/>
        </w:rPr>
        <w:t>MOH, and green represents CM+MOH.</w:t>
      </w:r>
    </w:p>
    <w:p w14:paraId="522AF3D4" w14:textId="77777777" w:rsidR="00CF7ABB" w:rsidRPr="0071215A" w:rsidRDefault="00CF7ABB">
      <w:pPr>
        <w:rPr>
          <w:rFonts w:ascii="Times New Roman" w:hAnsi="Times New Roman" w:cs="Times New Roman"/>
          <w:b/>
          <w:bCs/>
        </w:rPr>
      </w:pPr>
    </w:p>
    <w:p w14:paraId="54D8E6C1" w14:textId="77777777" w:rsidR="00CF7ABB" w:rsidRDefault="00CF7ABB">
      <w:pPr>
        <w:rPr>
          <w:rFonts w:ascii="Times New Roman" w:hAnsi="Times New Roman" w:cs="Times New Roman"/>
          <w:b/>
          <w:bCs/>
        </w:rPr>
      </w:pPr>
    </w:p>
    <w:p w14:paraId="201952AE" w14:textId="30C8E9D9" w:rsidR="00CF7ABB" w:rsidRDefault="0000000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Supplymentary</w:t>
      </w:r>
      <w:r w:rsidR="007A2CB0">
        <w:rPr>
          <w:rFonts w:ascii="Times New Roman" w:hAnsi="Times New Roman" w:cs="Times New Roman" w:hint="eastAsia"/>
          <w:b/>
          <w:bCs/>
        </w:rPr>
        <w:t xml:space="preserve"> </w:t>
      </w:r>
      <w:r>
        <w:rPr>
          <w:rFonts w:ascii="Times New Roman" w:hAnsi="Times New Roman" w:cs="Times New Roman" w:hint="eastAsia"/>
          <w:b/>
          <w:bCs/>
        </w:rPr>
        <w:t>table 1 Clusters showing significant differences between CM+MOH and CM</w:t>
      </w:r>
      <w:r w:rsidR="004A02C7">
        <w:rPr>
          <w:rFonts w:ascii="Times New Roman" w:hAnsi="Times New Roman" w:cs="Times New Roman"/>
          <w:b/>
          <w:bCs/>
        </w:rPr>
        <w:t>−</w:t>
      </w:r>
      <w:r>
        <w:rPr>
          <w:rFonts w:ascii="Times New Roman" w:hAnsi="Times New Roman" w:cs="Times New Roman" w:hint="eastAsia"/>
          <w:b/>
          <w:bCs/>
        </w:rPr>
        <w:t>MOH groups in SBC analysis (using right putamen as seed point)</w:t>
      </w:r>
    </w:p>
    <w:tbl>
      <w:tblPr>
        <w:tblW w:w="8756" w:type="dxa"/>
        <w:jc w:val="center"/>
        <w:tblLayout w:type="fixed"/>
        <w:tblLook w:val="04A0" w:firstRow="1" w:lastRow="0" w:firstColumn="1" w:lastColumn="0" w:noHBand="0" w:noVBand="1"/>
      </w:tblPr>
      <w:tblGrid>
        <w:gridCol w:w="1795"/>
        <w:gridCol w:w="2703"/>
        <w:gridCol w:w="1676"/>
        <w:gridCol w:w="1291"/>
        <w:gridCol w:w="1291"/>
      </w:tblGrid>
      <w:tr w:rsidR="00CF7ABB" w14:paraId="43E5B886" w14:textId="77777777">
        <w:trPr>
          <w:trHeight w:val="270"/>
          <w:jc w:val="center"/>
        </w:trPr>
        <w:tc>
          <w:tcPr>
            <w:tcW w:w="1795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685AB84" w14:textId="642522E9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Cluster</w:t>
            </w:r>
            <w:r w:rsidR="00C36F67"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(x,y,z)</w:t>
            </w:r>
          </w:p>
        </w:tc>
        <w:tc>
          <w:tcPr>
            <w:tcW w:w="2703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5111934F" w14:textId="77777777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Brain regions</w:t>
            </w:r>
          </w:p>
        </w:tc>
        <w:tc>
          <w:tcPr>
            <w:tcW w:w="1676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2A4D2BEC" w14:textId="77777777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Cluster size</w:t>
            </w:r>
          </w:p>
        </w:tc>
        <w:tc>
          <w:tcPr>
            <w:tcW w:w="1291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6D9AB7A0" w14:textId="77777777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P-FWE</w:t>
            </w:r>
          </w:p>
        </w:tc>
        <w:tc>
          <w:tcPr>
            <w:tcW w:w="1291" w:type="dxa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shd w:val="clear" w:color="auto" w:fill="FFFFFF"/>
            <w:noWrap/>
            <w:vAlign w:val="center"/>
          </w:tcPr>
          <w:p w14:paraId="63836C7C" w14:textId="77777777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P-FDR</w:t>
            </w:r>
          </w:p>
        </w:tc>
      </w:tr>
      <w:tr w:rsidR="00CF7ABB" w14:paraId="14CBA466" w14:textId="77777777">
        <w:trPr>
          <w:trHeight w:val="270"/>
          <w:jc w:val="center"/>
        </w:trPr>
        <w:tc>
          <w:tcPr>
            <w:tcW w:w="179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E4C099" w14:textId="77777777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+6,-58,+24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BD9835" w14:textId="2B140040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Precuneous Cortex</w:t>
            </w:r>
            <w:r w:rsidR="008B7310"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(R)</w:t>
            </w:r>
          </w:p>
        </w:tc>
        <w:tc>
          <w:tcPr>
            <w:tcW w:w="16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4EEEF" w14:textId="77777777" w:rsidR="00CF7ABB" w:rsidRDefault="00000000">
            <w:pPr>
              <w:widowControl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CF442E" w14:textId="77777777" w:rsidR="00CF7ABB" w:rsidRDefault="00000000">
            <w:pPr>
              <w:widowControl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  <w:tc>
          <w:tcPr>
            <w:tcW w:w="12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776E35" w14:textId="77777777" w:rsidR="00CF7ABB" w:rsidRDefault="00000000">
            <w:pPr>
              <w:widowControl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:rsidR="00CF7ABB" w14:paraId="0E08E870" w14:textId="77777777">
        <w:trPr>
          <w:trHeight w:val="270"/>
          <w:jc w:val="center"/>
        </w:trPr>
        <w:tc>
          <w:tcPr>
            <w:tcW w:w="179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36E98EC" w14:textId="77777777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+28,+32,+56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4ED7498" w14:textId="5195E01C" w:rsidR="00CF7ABB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Frontal Superior Gyrus</w:t>
            </w:r>
            <w:r w:rsidR="008B7310"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(R)</w:t>
            </w: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49EC369" w14:textId="77777777" w:rsidR="00CF7ABB" w:rsidRDefault="00000000">
            <w:pPr>
              <w:widowControl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19BB64F8" w14:textId="77777777" w:rsidR="00CF7ABB" w:rsidRDefault="00000000">
            <w:pPr>
              <w:widowControl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0.048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451D3F0E" w14:textId="77777777" w:rsidR="00CF7ABB" w:rsidRDefault="00000000">
            <w:pPr>
              <w:widowControl/>
              <w:textAlignment w:val="center"/>
              <w:rPr>
                <w:rFonts w:ascii="Times New Roman" w:eastAsia="宋体" w:hAnsi="Times New Roman" w:cs="宋体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kern w:val="0"/>
                <w:sz w:val="22"/>
                <w:szCs w:val="22"/>
                <w:lang w:bidi="ar"/>
              </w:rPr>
              <w:t>0.020</w:t>
            </w:r>
          </w:p>
        </w:tc>
      </w:tr>
    </w:tbl>
    <w:p w14:paraId="06C9B6D4" w14:textId="77777777" w:rsidR="00CF7ABB" w:rsidRDefault="00CF7ABB">
      <w:pPr>
        <w:rPr>
          <w:rFonts w:ascii="Times New Roman" w:hAnsi="Times New Roman" w:cs="Times New Roman"/>
          <w:b/>
          <w:bCs/>
        </w:rPr>
      </w:pPr>
    </w:p>
    <w:p w14:paraId="0377A7F4" w14:textId="77777777" w:rsidR="00CF7ABB" w:rsidRDefault="00CF7ABB">
      <w:pPr>
        <w:rPr>
          <w:rFonts w:ascii="Times New Roman" w:hAnsi="Times New Roman" w:cs="Times New Roman"/>
          <w:b/>
          <w:bCs/>
        </w:rPr>
      </w:pPr>
    </w:p>
    <w:p w14:paraId="2072F351" w14:textId="77777777" w:rsidR="00CF7ABB" w:rsidRDefault="00CF7ABB">
      <w:pPr>
        <w:rPr>
          <w:rFonts w:ascii="Times New Roman" w:hAnsi="Times New Roman" w:cs="Times New Roman"/>
          <w:b/>
          <w:bCs/>
        </w:rPr>
      </w:pPr>
    </w:p>
    <w:p w14:paraId="47649B4E" w14:textId="35551E25" w:rsidR="00CF7ABB" w:rsidRPr="00543C74" w:rsidRDefault="00000000">
      <w:pPr>
        <w:rPr>
          <w:rFonts w:ascii="Times New Roman" w:hAnsi="Times New Roman" w:cs="Times New Roman" w:hint="eastAsia"/>
          <w:b/>
          <w:bCs/>
        </w:rPr>
      </w:pPr>
      <w:r>
        <w:rPr>
          <w:rFonts w:ascii="Times New Roman" w:hAnsi="Times New Roman" w:cs="Times New Roman"/>
          <w:b/>
          <w:bCs/>
        </w:rPr>
        <w:t>Supplymentary table</w:t>
      </w:r>
      <w:r>
        <w:rPr>
          <w:rFonts w:ascii="Times New Roman" w:hAnsi="Times New Roman" w:cs="Times New Roman" w:hint="eastAsia"/>
          <w:b/>
          <w:bCs/>
        </w:rPr>
        <w:t xml:space="preserve"> 2</w:t>
      </w:r>
      <w:r>
        <w:rPr>
          <w:rFonts w:ascii="Times New Roman" w:hAnsi="Times New Roman" w:cs="Times New Roman"/>
          <w:b/>
          <w:bCs/>
        </w:rPr>
        <w:t xml:space="preserve"> Correlation analysis between the SBC values using the putamen R as the seed point and the frequency of analgesic use</w:t>
      </w:r>
    </w:p>
    <w:tbl>
      <w:tblPr>
        <w:tblStyle w:val="a3"/>
        <w:tblW w:w="7603" w:type="dxa"/>
        <w:tblBorders>
          <w:top w:val="single" w:sz="12" w:space="0" w:color="auto"/>
          <w:left w:val="none" w:sz="4" w:space="0" w:color="auto"/>
          <w:bottom w:val="single" w:sz="12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72"/>
        <w:gridCol w:w="1791"/>
        <w:gridCol w:w="1836"/>
      </w:tblGrid>
      <w:tr w:rsidR="00CF7ABB" w14:paraId="4A36B7EE" w14:textId="77777777">
        <w:tc>
          <w:tcPr>
            <w:tcW w:w="20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79A6E29D" w14:textId="77777777" w:rsidR="00CF7ABB" w:rsidRDefault="00000000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szCs w:val="21"/>
                <w:lang w:bidi="ar"/>
              </w:rPr>
              <w:t>Region</w:t>
            </w:r>
          </w:p>
        </w:tc>
        <w:tc>
          <w:tcPr>
            <w:tcW w:w="197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25094BA" w14:textId="77777777" w:rsidR="00CF7ABB" w:rsidRDefault="00000000">
            <w:pPr>
              <w:jc w:val="center"/>
              <w:rPr>
                <w:rFonts w:ascii="Times New Roman" w:eastAsia="宋体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bCs/>
                <w:color w:val="000000"/>
                <w:szCs w:val="21"/>
                <w:shd w:val="clear" w:color="auto" w:fill="FFFFFF"/>
                <w:lang w:bidi="ar"/>
              </w:rPr>
              <w:t>coefficient</w:t>
            </w:r>
          </w:p>
        </w:tc>
        <w:tc>
          <w:tcPr>
            <w:tcW w:w="179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866686E" w14:textId="77777777" w:rsidR="00CF7ABB" w:rsidRDefault="00000000">
            <w:pPr>
              <w:jc w:val="center"/>
              <w:rPr>
                <w:rFonts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szCs w:val="21"/>
                <w:lang w:bidi="ar"/>
              </w:rPr>
              <w:t>95%CI</w:t>
            </w:r>
          </w:p>
        </w:tc>
        <w:tc>
          <w:tcPr>
            <w:tcW w:w="183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BC11B07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bCs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/>
                <w:bCs/>
                <w:i/>
                <w:iCs/>
                <w:color w:val="000000"/>
                <w:lang w:bidi="ar"/>
              </w:rPr>
              <w:t>P</w:t>
            </w:r>
            <w:r>
              <w:rPr>
                <w:rFonts w:ascii="Times New Roman" w:eastAsia="等线" w:hAnsi="Times New Roman" w:cs="Times New Roman" w:hint="eastAsia"/>
                <w:bCs/>
                <w:color w:val="000000"/>
                <w:lang w:bidi="ar"/>
              </w:rPr>
              <w:t>-</w:t>
            </w:r>
            <w:r>
              <w:rPr>
                <w:rFonts w:ascii="Times New Roman" w:eastAsia="等线" w:hAnsi="Times New Roman" w:cs="Times New Roman"/>
                <w:bCs/>
                <w:color w:val="000000"/>
                <w:lang w:bidi="ar"/>
              </w:rPr>
              <w:t>value</w:t>
            </w:r>
          </w:p>
        </w:tc>
      </w:tr>
      <w:tr w:rsidR="00CF7ABB" w14:paraId="0766BB8E" w14:textId="77777777">
        <w:tc>
          <w:tcPr>
            <w:tcW w:w="20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03AFDE1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bCs/>
                <w:color w:val="000000"/>
                <w:lang w:bidi="ar"/>
              </w:rPr>
              <w:t>Connectivity with Putamen.R</w:t>
            </w:r>
          </w:p>
        </w:tc>
        <w:tc>
          <w:tcPr>
            <w:tcW w:w="197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22A611A" w14:textId="77777777" w:rsidR="00CF7ABB" w:rsidRDefault="00CF7A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EDBFD69" w14:textId="77777777" w:rsidR="00CF7ABB" w:rsidRDefault="00CF7AB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8956C41" w14:textId="77777777" w:rsidR="00CF7ABB" w:rsidRDefault="00CF7ABB">
            <w:pPr>
              <w:jc w:val="center"/>
              <w:rPr>
                <w:color w:val="000000"/>
              </w:rPr>
            </w:pPr>
          </w:p>
        </w:tc>
      </w:tr>
      <w:tr w:rsidR="00CF7ABB" w14:paraId="3041883E" w14:textId="77777777"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35E412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bookmarkStart w:id="0" w:name="_Hlk182687067"/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Frontal Mid R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7B43D5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111.36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E60C2E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47.37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</w:rPr>
              <w:t>175.35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6E3DB1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0.002</w:t>
            </w:r>
          </w:p>
        </w:tc>
      </w:tr>
      <w:tr w:rsidR="00CF7ABB" w14:paraId="206B3875" w14:textId="77777777"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47D4D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Precuneus R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17D773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101.0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146E0" w14:textId="77777777" w:rsidR="00CF7ABB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45.92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  <w:t>156.19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F8A8A9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0.001</w:t>
            </w:r>
          </w:p>
        </w:tc>
      </w:tr>
      <w:bookmarkEnd w:id="0"/>
      <w:tr w:rsidR="00CF7ABB" w14:paraId="2FA98AAE" w14:textId="77777777"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61AAE8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Lingual R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66E48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88.1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219E7D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49.66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</w:rPr>
              <w:t>126.61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A158D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＜</w:t>
            </w: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0.001</w:t>
            </w:r>
          </w:p>
        </w:tc>
      </w:tr>
      <w:tr w:rsidR="00CF7ABB" w14:paraId="12308D87" w14:textId="77777777"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3A017E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Lingual L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57EECD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92.23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118DF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49.25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</w:rPr>
              <w:t>135.21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3FA27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＜</w:t>
            </w: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0.001</w:t>
            </w:r>
          </w:p>
        </w:tc>
      </w:tr>
      <w:tr w:rsidR="00CF7ABB" w14:paraId="7B4ED3F9" w14:textId="77777777">
        <w:tc>
          <w:tcPr>
            <w:tcW w:w="2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B221F9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Frontal Sup R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E348F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114.4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32965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40.94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</w:rPr>
              <w:t>187.97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7BA31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0.004</w:t>
            </w:r>
          </w:p>
        </w:tc>
      </w:tr>
      <w:tr w:rsidR="00CF7ABB" w14:paraId="2862FF15" w14:textId="77777777">
        <w:trPr>
          <w:trHeight w:val="312"/>
        </w:trPr>
        <w:tc>
          <w:tcPr>
            <w:tcW w:w="20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26E022" w14:textId="77777777" w:rsidR="00CF7ABB" w:rsidRDefault="00000000">
            <w:pPr>
              <w:jc w:val="left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lastRenderedPageBreak/>
              <w:t>Frontal Mid L</w:t>
            </w:r>
          </w:p>
          <w:p w14:paraId="607148BF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Cingulum Mid L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00C3C4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125.2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32420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 w:hint="eastAsia"/>
                <w:color w:val="000000"/>
              </w:rPr>
              <w:t>39.66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 w:hint="eastAsia"/>
                <w:color w:val="000000"/>
              </w:rPr>
              <w:t>210.83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6DA516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0.007</w:t>
            </w:r>
          </w:p>
        </w:tc>
      </w:tr>
      <w:tr w:rsidR="00CF7ABB" w14:paraId="7901AADA" w14:textId="77777777">
        <w:trPr>
          <w:trHeight w:val="326"/>
        </w:trPr>
        <w:tc>
          <w:tcPr>
            <w:tcW w:w="200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E0840B" w14:textId="77777777" w:rsidR="00CF7ABB" w:rsidRDefault="00CF7ABB">
            <w:pPr>
              <w:jc w:val="center"/>
              <w:rPr>
                <w:color w:val="000000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369BC5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116.90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02C57C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56.20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/>
                <w:color w:val="000000"/>
              </w:rPr>
              <w:t>177.60</w:t>
            </w:r>
          </w:p>
        </w:tc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EF59E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＜</w:t>
            </w: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0.001</w:t>
            </w:r>
          </w:p>
        </w:tc>
      </w:tr>
      <w:tr w:rsidR="00CF7ABB" w14:paraId="4CC3C7E6" w14:textId="77777777">
        <w:trPr>
          <w:trHeight w:val="90"/>
        </w:trPr>
        <w:tc>
          <w:tcPr>
            <w:tcW w:w="20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0046228" w14:textId="77777777" w:rsidR="00CF7ABB" w:rsidRDefault="00000000">
            <w:pPr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等线" w:hAnsi="Times New Roman" w:cs="Times New Roman"/>
                <w:color w:val="000000"/>
                <w:lang w:bidi="ar"/>
              </w:rPr>
              <w:t>Cingulum Mid R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53368733" w14:textId="77777777" w:rsidR="00CF7ABB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95.2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6DED943A" w14:textId="77777777" w:rsidR="00CF7ABB" w:rsidRDefault="0000000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36.1</w:t>
            </w:r>
            <w:r>
              <w:rPr>
                <w:rFonts w:ascii="Times New Roman" w:hAnsi="Times New Roman" w:cs="Times New Roman" w:hint="eastAsia"/>
                <w:color w:val="000000"/>
              </w:rPr>
              <w:t>6</w:t>
            </w:r>
            <w:r>
              <w:rPr>
                <w:rFonts w:ascii="Times New Roman" w:hAnsi="Times New Roman" w:cs="Times New Roman" w:hint="eastAsia"/>
                <w:color w:val="000000"/>
              </w:rPr>
              <w:t>–</w:t>
            </w:r>
            <w:r>
              <w:rPr>
                <w:rFonts w:ascii="Times New Roman" w:hAnsi="Times New Roman" w:cs="Times New Roman"/>
                <w:color w:val="000000"/>
              </w:rPr>
              <w:t>154.42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E5C7A11" w14:textId="77777777" w:rsidR="00CF7ABB" w:rsidRDefault="00000000">
            <w:pPr>
              <w:jc w:val="center"/>
              <w:rPr>
                <w:rFonts w:ascii="Times New Roman" w:eastAsia="等线" w:hAnsi="Times New Roman" w:cs="Times New Roman"/>
                <w:color w:val="000000"/>
                <w:lang w:bidi="ar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lang w:bidi="ar"/>
              </w:rPr>
              <w:t>0.003</w:t>
            </w:r>
          </w:p>
        </w:tc>
      </w:tr>
    </w:tbl>
    <w:p w14:paraId="0DD8A7B6" w14:textId="77777777" w:rsidR="00CF7ABB" w:rsidRDefault="00000000">
      <w:pPr>
        <w:tabs>
          <w:tab w:val="left" w:pos="841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This correlation analysis was conducted using a generalized linear model, with adjustment for age, PHQ-9, GAD-7, and PSQI scores.</w:t>
      </w:r>
    </w:p>
    <w:p w14:paraId="4BA6ACD6" w14:textId="77777777" w:rsidR="00CF7ABB" w:rsidRDefault="00CF7ABB">
      <w:pPr>
        <w:tabs>
          <w:tab w:val="left" w:pos="841"/>
        </w:tabs>
        <w:jc w:val="left"/>
        <w:rPr>
          <w:rFonts w:ascii="Times New Roman" w:hAnsi="Times New Roman" w:cs="Times New Roman"/>
        </w:rPr>
      </w:pPr>
    </w:p>
    <w:sectPr w:rsidR="00CF7ABB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ABB"/>
    <w:rsid w:val="001244B9"/>
    <w:rsid w:val="001763F7"/>
    <w:rsid w:val="004A02C7"/>
    <w:rsid w:val="00543C74"/>
    <w:rsid w:val="0071215A"/>
    <w:rsid w:val="007A2CB0"/>
    <w:rsid w:val="008B7310"/>
    <w:rsid w:val="00C36F67"/>
    <w:rsid w:val="00CB0025"/>
    <w:rsid w:val="00CF7ABB"/>
    <w:rsid w:val="384209C7"/>
    <w:rsid w:val="568B4B9B"/>
    <w:rsid w:val="6287090C"/>
    <w:rsid w:val="72A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43FFDC"/>
  <w15:docId w15:val="{1C9A3E99-F46C-439A-8018-EC8AE4E6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95624</dc:creator>
  <cp:lastModifiedBy>yin sun</cp:lastModifiedBy>
  <cp:revision>8</cp:revision>
  <dcterms:created xsi:type="dcterms:W3CDTF">2025-02-18T17:14:00Z</dcterms:created>
  <dcterms:modified xsi:type="dcterms:W3CDTF">2025-02-19T03:33:00Z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eyJoZGlkIjoiYzA3ODk1ODg1NjliNjNiYzNmYzQyMTVlYmUyYjI4MTciLCJ1c2VySWQiOiIzMzIyNTcwNzEifQ==</vt:lpwstr>
  </property>
  <property fmtid="{D5CDD505-2E9C-101B-9397-08002B2CF9AE}" pid="4" name="ICV">
    <vt:lpwstr>3A1BC921C29A4377950C4D22B5AA800C_12</vt:lpwstr>
  </property>
</Properties>
</file>