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7FB90" w14:textId="6780B985" w:rsidR="00755F81" w:rsidRDefault="00755F81" w:rsidP="00755F81">
      <w:pPr>
        <w:jc w:val="center"/>
        <w:rPr>
          <w:rFonts w:ascii="Times New Roman" w:hAnsi="Times New Roman" w:cs="Times New Roman"/>
          <w:b/>
          <w:bCs/>
        </w:rPr>
      </w:pPr>
      <w:r w:rsidRPr="00755F81">
        <w:rPr>
          <w:rFonts w:ascii="Times New Roman" w:hAnsi="Times New Roman" w:cs="Times New Roman"/>
          <w:b/>
          <w:bCs/>
        </w:rPr>
        <w:t>Supplementary Materials</w:t>
      </w:r>
      <w:r w:rsidR="00BD2CB2">
        <w:rPr>
          <w:rFonts w:ascii="Times New Roman" w:hAnsi="Times New Roman" w:cs="Times New Roman"/>
          <w:b/>
          <w:bCs/>
        </w:rPr>
        <w:t xml:space="preserve"> A </w:t>
      </w:r>
    </w:p>
    <w:p w14:paraId="7195F2F9" w14:textId="77777777" w:rsidR="00BD2CB2" w:rsidRDefault="00BD2CB2" w:rsidP="00755F81">
      <w:pPr>
        <w:jc w:val="center"/>
        <w:rPr>
          <w:rFonts w:ascii="Times New Roman" w:hAnsi="Times New Roman" w:cs="Times New Roman"/>
          <w:b/>
          <w:bCs/>
        </w:rPr>
      </w:pPr>
    </w:p>
    <w:p w14:paraId="23A3A84C" w14:textId="6FDD69F1" w:rsidR="00BD2CB2" w:rsidRDefault="00BD2CB2" w:rsidP="00BD2CB2">
      <w:pPr>
        <w:spacing w:line="480" w:lineRule="auto"/>
        <w:ind w:firstLine="720"/>
        <w:rPr>
          <w:rFonts w:ascii="Times New Roman" w:eastAsia="Times New Roman" w:hAnsi="Times New Roman" w:cs="Times New Roman"/>
          <w:b/>
          <w:bCs/>
          <w:color w:val="212121"/>
          <w:kern w:val="0"/>
          <w14:ligatures w14:val="none"/>
        </w:rPr>
      </w:pPr>
      <w:r w:rsidRPr="00BD2CB2">
        <w:rPr>
          <w:rFonts w:ascii="Times New Roman" w:eastAsia="Times New Roman" w:hAnsi="Times New Roman" w:cs="Times New Roman"/>
          <w:color w:val="212121"/>
          <w:kern w:val="0"/>
          <w14:ligatures w14:val="none"/>
        </w:rPr>
        <w:t>Results included in this manuscript come from preprocessing performed using </w:t>
      </w:r>
      <w:r w:rsidRPr="00BD2CB2">
        <w:rPr>
          <w:rFonts w:ascii="Times New Roman" w:eastAsia="Times New Roman" w:hAnsi="Times New Roman" w:cs="Times New Roman"/>
          <w:i/>
          <w:iCs/>
          <w:color w:val="212121"/>
          <w:kern w:val="0"/>
          <w14:ligatures w14:val="none"/>
        </w:rPr>
        <w:t>fMRIPrep</w:t>
      </w:r>
      <w:r w:rsidRPr="00BD2CB2">
        <w:rPr>
          <w:rFonts w:ascii="Times New Roman" w:eastAsia="Times New Roman" w:hAnsi="Times New Roman" w:cs="Times New Roman"/>
          <w:color w:val="212121"/>
          <w:kern w:val="0"/>
          <w14:ligatures w14:val="none"/>
        </w:rPr>
        <w:t>21.0.1 (Esteban, Markiewicz, et al. (2018); Esteban, Blair, et al. (2018); RRID:SCR_016216), which is based on </w:t>
      </w:r>
      <w:proofErr w:type="spellStart"/>
      <w:r w:rsidRPr="00BD2CB2">
        <w:rPr>
          <w:rFonts w:ascii="Times New Roman" w:eastAsia="Times New Roman" w:hAnsi="Times New Roman" w:cs="Times New Roman"/>
          <w:i/>
          <w:iCs/>
          <w:color w:val="212121"/>
          <w:kern w:val="0"/>
          <w14:ligatures w14:val="none"/>
        </w:rPr>
        <w:t>Nipype</w:t>
      </w:r>
      <w:proofErr w:type="spellEnd"/>
      <w:r w:rsidRPr="00BD2CB2">
        <w:rPr>
          <w:rFonts w:ascii="Times New Roman" w:eastAsia="Times New Roman" w:hAnsi="Times New Roman" w:cs="Times New Roman"/>
          <w:color w:val="212121"/>
          <w:kern w:val="0"/>
          <w14:ligatures w14:val="none"/>
        </w:rPr>
        <w:t xml:space="preserve"> 1.6.1 (K. </w:t>
      </w:r>
      <w:proofErr w:type="spellStart"/>
      <w:r w:rsidRPr="00BD2CB2">
        <w:rPr>
          <w:rFonts w:ascii="Times New Roman" w:eastAsia="Times New Roman" w:hAnsi="Times New Roman" w:cs="Times New Roman"/>
          <w:color w:val="212121"/>
          <w:kern w:val="0"/>
          <w14:ligatures w14:val="none"/>
        </w:rPr>
        <w:t>Gorgolewski</w:t>
      </w:r>
      <w:proofErr w:type="spellEnd"/>
      <w:r w:rsidRPr="00BD2CB2">
        <w:rPr>
          <w:rFonts w:ascii="Times New Roman" w:eastAsia="Times New Roman" w:hAnsi="Times New Roman" w:cs="Times New Roman"/>
          <w:color w:val="212121"/>
          <w:kern w:val="0"/>
          <w14:ligatures w14:val="none"/>
        </w:rPr>
        <w:t xml:space="preserve"> et al. (2011); K. J. </w:t>
      </w:r>
      <w:proofErr w:type="spellStart"/>
      <w:r w:rsidRPr="00BD2CB2">
        <w:rPr>
          <w:rFonts w:ascii="Times New Roman" w:eastAsia="Times New Roman" w:hAnsi="Times New Roman" w:cs="Times New Roman"/>
          <w:color w:val="212121"/>
          <w:kern w:val="0"/>
          <w14:ligatures w14:val="none"/>
        </w:rPr>
        <w:t>Gorgolewski</w:t>
      </w:r>
      <w:proofErr w:type="spellEnd"/>
      <w:r w:rsidRPr="00BD2CB2">
        <w:rPr>
          <w:rFonts w:ascii="Times New Roman" w:eastAsia="Times New Roman" w:hAnsi="Times New Roman" w:cs="Times New Roman"/>
          <w:color w:val="212121"/>
          <w:kern w:val="0"/>
          <w14:ligatures w14:val="none"/>
        </w:rPr>
        <w:t xml:space="preserve"> et al. (2018); RRID:SCR_002502).</w:t>
      </w:r>
      <w:r>
        <w:rPr>
          <w:rFonts w:ascii="Times New Roman" w:eastAsia="Times New Roman" w:hAnsi="Times New Roman" w:cs="Times New Roman"/>
          <w:color w:val="212121"/>
          <w:kern w:val="0"/>
          <w14:ligatures w14:val="none"/>
        </w:rPr>
        <w:br/>
      </w:r>
      <w:r>
        <w:rPr>
          <w:rFonts w:ascii="Times New Roman" w:eastAsia="Times New Roman" w:hAnsi="Times New Roman" w:cs="Times New Roman"/>
          <w:b/>
          <w:bCs/>
          <w:color w:val="212121"/>
          <w:kern w:val="0"/>
          <w14:ligatures w14:val="none"/>
        </w:rPr>
        <w:t>Anatomical Preprocessing</w:t>
      </w:r>
    </w:p>
    <w:p w14:paraId="30FE5EF5" w14:textId="12D93DB5" w:rsidR="00BD2CB2" w:rsidRDefault="00BD2CB2" w:rsidP="00BD2CB2">
      <w:pPr>
        <w:spacing w:line="480" w:lineRule="auto"/>
        <w:ind w:firstLine="720"/>
        <w:rPr>
          <w:rFonts w:ascii="Times New Roman" w:eastAsia="Times New Roman" w:hAnsi="Times New Roman" w:cs="Times New Roman"/>
          <w:color w:val="212121"/>
          <w:kern w:val="0"/>
          <w14:ligatures w14:val="none"/>
        </w:rPr>
      </w:pPr>
      <w:r w:rsidRPr="00BD2CB2">
        <w:rPr>
          <w:rFonts w:ascii="Times New Roman" w:eastAsia="Times New Roman" w:hAnsi="Times New Roman" w:cs="Times New Roman"/>
          <w:color w:val="212121"/>
          <w:kern w:val="0"/>
          <w14:ligatures w14:val="none"/>
        </w:rPr>
        <w:t xml:space="preserve">A total of 1 T1-weighted (T1w) images </w:t>
      </w:r>
      <w:r w:rsidR="00AC6D71">
        <w:rPr>
          <w:rFonts w:ascii="Times New Roman" w:eastAsia="Times New Roman" w:hAnsi="Times New Roman" w:cs="Times New Roman"/>
          <w:color w:val="212121"/>
          <w:kern w:val="0"/>
          <w14:ligatures w14:val="none"/>
        </w:rPr>
        <w:t xml:space="preserve">per subject </w:t>
      </w:r>
      <w:r w:rsidRPr="00BD2CB2">
        <w:rPr>
          <w:rFonts w:ascii="Times New Roman" w:eastAsia="Times New Roman" w:hAnsi="Times New Roman" w:cs="Times New Roman"/>
          <w:color w:val="212121"/>
          <w:kern w:val="0"/>
          <w14:ligatures w14:val="none"/>
        </w:rPr>
        <w:t>were found within the input BIDS dataset.</w:t>
      </w:r>
      <w:r w:rsidR="008F319D">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The T1-weighted (T1w) image was corrected for intensity non-uniformity (INU) with N4BiasFieldCorrection (</w:t>
      </w:r>
      <w:proofErr w:type="spellStart"/>
      <w:r w:rsidRPr="00BD2CB2">
        <w:rPr>
          <w:rFonts w:ascii="Times New Roman" w:eastAsia="Times New Roman" w:hAnsi="Times New Roman" w:cs="Times New Roman"/>
          <w:color w:val="212121"/>
          <w:kern w:val="0"/>
          <w14:ligatures w14:val="none"/>
        </w:rPr>
        <w:t>Tustison</w:t>
      </w:r>
      <w:proofErr w:type="spellEnd"/>
      <w:r w:rsidRPr="00BD2CB2">
        <w:rPr>
          <w:rFonts w:ascii="Times New Roman" w:eastAsia="Times New Roman" w:hAnsi="Times New Roman" w:cs="Times New Roman"/>
          <w:color w:val="212121"/>
          <w:kern w:val="0"/>
          <w14:ligatures w14:val="none"/>
        </w:rPr>
        <w:t xml:space="preserve"> et al. 2010), distributed with ANTs 2.3.3 (</w:t>
      </w:r>
      <w:proofErr w:type="spellStart"/>
      <w:r w:rsidRPr="00BD2CB2">
        <w:rPr>
          <w:rFonts w:ascii="Times New Roman" w:eastAsia="Times New Roman" w:hAnsi="Times New Roman" w:cs="Times New Roman"/>
          <w:color w:val="212121"/>
          <w:kern w:val="0"/>
          <w14:ligatures w14:val="none"/>
        </w:rPr>
        <w:t>Avants</w:t>
      </w:r>
      <w:proofErr w:type="spellEnd"/>
      <w:r w:rsidRPr="00BD2CB2">
        <w:rPr>
          <w:rFonts w:ascii="Times New Roman" w:eastAsia="Times New Roman" w:hAnsi="Times New Roman" w:cs="Times New Roman"/>
          <w:color w:val="212121"/>
          <w:kern w:val="0"/>
          <w14:ligatures w14:val="none"/>
        </w:rPr>
        <w:t xml:space="preserve"> et al. 2008, RRID:SCR_004757), and used as T1w-reference throughout the workflow. The T1w-reference was then skull-stripped with a </w:t>
      </w:r>
      <w:proofErr w:type="spellStart"/>
      <w:r w:rsidRPr="00BD2CB2">
        <w:rPr>
          <w:rFonts w:ascii="Times New Roman" w:eastAsia="Times New Roman" w:hAnsi="Times New Roman" w:cs="Times New Roman"/>
          <w:i/>
          <w:iCs/>
          <w:color w:val="212121"/>
          <w:kern w:val="0"/>
          <w14:ligatures w14:val="none"/>
        </w:rPr>
        <w:t>Nipype</w:t>
      </w:r>
      <w:proofErr w:type="spellEnd"/>
      <w:r w:rsidR="008F319D">
        <w:rPr>
          <w:rFonts w:ascii="Times New Roman" w:eastAsia="Times New Roman" w:hAnsi="Times New Roman" w:cs="Times New Roman"/>
          <w:i/>
          <w:iCs/>
          <w:color w:val="212121"/>
          <w:kern w:val="0"/>
          <w14:ligatures w14:val="none"/>
        </w:rPr>
        <w:t xml:space="preserve"> </w:t>
      </w:r>
      <w:r w:rsidRPr="00BD2CB2">
        <w:rPr>
          <w:rFonts w:ascii="Times New Roman" w:eastAsia="Times New Roman" w:hAnsi="Times New Roman" w:cs="Times New Roman"/>
          <w:color w:val="212121"/>
          <w:kern w:val="0"/>
          <w14:ligatures w14:val="none"/>
        </w:rPr>
        <w:t>implementation of the antsBrainExtraction.sh workflow (from ANTs), using OASIS30ANTs as target template. Brain tissue segmentation of cerebrospinal fluid (CSF), white-matter (WM) and gray-matter (GM) was performed on the brain-extracted T1w using fast (FSL 6.0.5.1:57b01774, RRID:SCR_002823, Zhang, Brady, and Smith 2001). Volume-based spatial normalization to one standard space (MNI152NLin2009cAsym) was performed through nonlinear registration with </w:t>
      </w:r>
      <w:proofErr w:type="spellStart"/>
      <w:r w:rsidRPr="00BD2CB2">
        <w:rPr>
          <w:rFonts w:ascii="Times New Roman" w:eastAsia="Times New Roman" w:hAnsi="Times New Roman" w:cs="Times New Roman"/>
          <w:color w:val="212121"/>
          <w:kern w:val="0"/>
          <w14:ligatures w14:val="none"/>
        </w:rPr>
        <w:t>antsRegistration</w:t>
      </w:r>
      <w:proofErr w:type="spellEnd"/>
      <w:r w:rsidRPr="00BD2CB2">
        <w:rPr>
          <w:rFonts w:ascii="Times New Roman" w:eastAsia="Times New Roman" w:hAnsi="Times New Roman" w:cs="Times New Roman"/>
          <w:color w:val="212121"/>
          <w:kern w:val="0"/>
          <w14:ligatures w14:val="none"/>
        </w:rPr>
        <w:t> (ANTs 2.3.3), using brain-extracted versions of both T1w reference and the T1w template. The following template was selected for spatial normalization: </w:t>
      </w:r>
      <w:r w:rsidRPr="00BD2CB2">
        <w:rPr>
          <w:rFonts w:ascii="Times New Roman" w:eastAsia="Times New Roman" w:hAnsi="Times New Roman" w:cs="Times New Roman"/>
          <w:i/>
          <w:iCs/>
          <w:color w:val="212121"/>
          <w:kern w:val="0"/>
          <w14:ligatures w14:val="none"/>
        </w:rPr>
        <w:t>ICBM 152 Nonlinear Asymmetrical template version 2009</w:t>
      </w:r>
      <w:proofErr w:type="gramStart"/>
      <w:r w:rsidRPr="00BD2CB2">
        <w:rPr>
          <w:rFonts w:ascii="Times New Roman" w:eastAsia="Times New Roman" w:hAnsi="Times New Roman" w:cs="Times New Roman"/>
          <w:i/>
          <w:iCs/>
          <w:color w:val="212121"/>
          <w:kern w:val="0"/>
          <w14:ligatures w14:val="none"/>
        </w:rPr>
        <w:t>c</w:t>
      </w:r>
      <w:r w:rsidRPr="00BD2CB2">
        <w:rPr>
          <w:rFonts w:ascii="Times New Roman" w:eastAsia="Times New Roman" w:hAnsi="Times New Roman" w:cs="Times New Roman"/>
          <w:color w:val="212121"/>
          <w:kern w:val="0"/>
          <w14:ligatures w14:val="none"/>
        </w:rPr>
        <w:t>[</w:t>
      </w:r>
      <w:proofErr w:type="spellStart"/>
      <w:proofErr w:type="gramEnd"/>
      <w:r w:rsidRPr="00BD2CB2">
        <w:rPr>
          <w:rFonts w:ascii="Times New Roman" w:eastAsia="Times New Roman" w:hAnsi="Times New Roman" w:cs="Times New Roman"/>
          <w:color w:val="212121"/>
          <w:kern w:val="0"/>
          <w14:ligatures w14:val="none"/>
        </w:rPr>
        <w:t>Fonov</w:t>
      </w:r>
      <w:proofErr w:type="spellEnd"/>
      <w:r w:rsidRPr="00BD2CB2">
        <w:rPr>
          <w:rFonts w:ascii="Times New Roman" w:eastAsia="Times New Roman" w:hAnsi="Times New Roman" w:cs="Times New Roman"/>
          <w:color w:val="212121"/>
          <w:kern w:val="0"/>
          <w14:ligatures w14:val="none"/>
        </w:rPr>
        <w:t xml:space="preserve"> et al. (2009), RRID:SCR_008796; </w:t>
      </w:r>
      <w:proofErr w:type="spellStart"/>
      <w:r w:rsidRPr="00BD2CB2">
        <w:rPr>
          <w:rFonts w:ascii="Times New Roman" w:eastAsia="Times New Roman" w:hAnsi="Times New Roman" w:cs="Times New Roman"/>
          <w:color w:val="212121"/>
          <w:kern w:val="0"/>
          <w14:ligatures w14:val="none"/>
        </w:rPr>
        <w:t>TemplateFlow</w:t>
      </w:r>
      <w:proofErr w:type="spellEnd"/>
      <w:r w:rsidRPr="00BD2CB2">
        <w:rPr>
          <w:rFonts w:ascii="Times New Roman" w:eastAsia="Times New Roman" w:hAnsi="Times New Roman" w:cs="Times New Roman"/>
          <w:color w:val="212121"/>
          <w:kern w:val="0"/>
          <w14:ligatures w14:val="none"/>
        </w:rPr>
        <w:t xml:space="preserve"> ID: MNI152NLin2009cAsym].</w:t>
      </w:r>
    </w:p>
    <w:p w14:paraId="7E44A39F" w14:textId="1138361F" w:rsidR="00BD2CB2" w:rsidRPr="00BD2CB2" w:rsidRDefault="00BD2CB2" w:rsidP="00BD2CB2">
      <w:pPr>
        <w:spacing w:line="480" w:lineRule="auto"/>
        <w:rPr>
          <w:rFonts w:ascii="Times New Roman" w:eastAsia="Times New Roman" w:hAnsi="Times New Roman" w:cs="Times New Roman"/>
          <w:b/>
          <w:bCs/>
          <w:color w:val="212121"/>
          <w:kern w:val="0"/>
          <w14:ligatures w14:val="none"/>
        </w:rPr>
      </w:pPr>
      <w:r w:rsidRPr="00BD2CB2">
        <w:rPr>
          <w:rFonts w:ascii="Times New Roman" w:eastAsia="Times New Roman" w:hAnsi="Times New Roman" w:cs="Times New Roman"/>
          <w:b/>
          <w:bCs/>
          <w:color w:val="212121"/>
          <w:kern w:val="0"/>
          <w14:ligatures w14:val="none"/>
        </w:rPr>
        <w:t>Functional Data Preprocessing</w:t>
      </w:r>
    </w:p>
    <w:p w14:paraId="365AC78B" w14:textId="0060ECCD" w:rsidR="00BD2CB2" w:rsidRPr="00BD2CB2" w:rsidRDefault="00BD2CB2" w:rsidP="00BD2CB2">
      <w:pPr>
        <w:spacing w:line="480" w:lineRule="auto"/>
        <w:ind w:firstLine="720"/>
        <w:rPr>
          <w:rFonts w:ascii="Times New Roman" w:eastAsia="Times New Roman" w:hAnsi="Times New Roman" w:cs="Times New Roman"/>
          <w:color w:val="212121"/>
          <w:kern w:val="0"/>
          <w14:ligatures w14:val="none"/>
        </w:rPr>
      </w:pPr>
      <w:r w:rsidRPr="00BD2CB2">
        <w:rPr>
          <w:rFonts w:ascii="Times New Roman" w:eastAsia="Times New Roman" w:hAnsi="Times New Roman" w:cs="Times New Roman"/>
          <w:color w:val="212121"/>
          <w:kern w:val="0"/>
          <w14:ligatures w14:val="none"/>
        </w:rPr>
        <w:t xml:space="preserve">For each of the </w:t>
      </w:r>
      <w:r w:rsidR="00AC6D71">
        <w:rPr>
          <w:rFonts w:ascii="Times New Roman" w:eastAsia="Times New Roman" w:hAnsi="Times New Roman" w:cs="Times New Roman"/>
          <w:color w:val="212121"/>
          <w:kern w:val="0"/>
          <w14:ligatures w14:val="none"/>
        </w:rPr>
        <w:t>3 EPI image series</w:t>
      </w:r>
      <w:r w:rsidRPr="00BD2CB2">
        <w:rPr>
          <w:rFonts w:ascii="Times New Roman" w:eastAsia="Times New Roman" w:hAnsi="Times New Roman" w:cs="Times New Roman"/>
          <w:color w:val="212121"/>
          <w:kern w:val="0"/>
          <w14:ligatures w14:val="none"/>
        </w:rPr>
        <w:t xml:space="preserve"> found per subject (across all tasks and sessions), the following preprocessing was performed. First, a reference volume and its skull-stripped version </w:t>
      </w:r>
      <w:r w:rsidRPr="00BD2CB2">
        <w:rPr>
          <w:rFonts w:ascii="Times New Roman" w:eastAsia="Times New Roman" w:hAnsi="Times New Roman" w:cs="Times New Roman"/>
          <w:color w:val="212121"/>
          <w:kern w:val="0"/>
          <w14:ligatures w14:val="none"/>
        </w:rPr>
        <w:lastRenderedPageBreak/>
        <w:t>were generated using a custom methodology of </w:t>
      </w:r>
      <w:proofErr w:type="spellStart"/>
      <w:r w:rsidRPr="00BD2CB2">
        <w:rPr>
          <w:rFonts w:ascii="Times New Roman" w:eastAsia="Times New Roman" w:hAnsi="Times New Roman" w:cs="Times New Roman"/>
          <w:i/>
          <w:iCs/>
          <w:color w:val="212121"/>
          <w:kern w:val="0"/>
          <w14:ligatures w14:val="none"/>
        </w:rPr>
        <w:t>fMRIPrep</w:t>
      </w:r>
      <w:proofErr w:type="spellEnd"/>
      <w:r w:rsidRPr="00BD2CB2">
        <w:rPr>
          <w:rFonts w:ascii="Times New Roman" w:eastAsia="Times New Roman" w:hAnsi="Times New Roman" w:cs="Times New Roman"/>
          <w:color w:val="212121"/>
          <w:kern w:val="0"/>
          <w14:ligatures w14:val="none"/>
        </w:rPr>
        <w:t>. Head-motion parameters with respect to the BOLD reference (transformation matrices, and six corresponding rotation and translation parameters) are estimated before any spatiotemporal filtering using </w:t>
      </w:r>
      <w:proofErr w:type="spellStart"/>
      <w:r w:rsidRPr="00BD2CB2">
        <w:rPr>
          <w:rFonts w:ascii="Times New Roman" w:eastAsia="Times New Roman" w:hAnsi="Times New Roman" w:cs="Times New Roman"/>
          <w:color w:val="212121"/>
          <w:kern w:val="0"/>
          <w14:ligatures w14:val="none"/>
        </w:rPr>
        <w:t>mcflirt</w:t>
      </w:r>
      <w:proofErr w:type="spellEnd"/>
      <w:r w:rsidRPr="00BD2CB2">
        <w:rPr>
          <w:rFonts w:ascii="Times New Roman" w:eastAsia="Times New Roman" w:hAnsi="Times New Roman" w:cs="Times New Roman"/>
          <w:color w:val="212121"/>
          <w:kern w:val="0"/>
          <w14:ligatures w14:val="none"/>
        </w:rPr>
        <w:t> (FSL 6.0.5.1:57b01774, Jenkinson et al. 2002). BOLD runs were slice-time corrected to 0.69s (0.5 of slice acquisition range 0s-1.38s) using 3dTshift from AFNI (Cox and Hyde 1997, RRID:SCR_005927). The BOLD time-series (including slice-timing correction when applied) were resampled onto their original, native space by applying the transforms to correct for head-motion. These resampled BOLD time-series will be referred to as </w:t>
      </w:r>
      <w:r w:rsidRPr="00BD2CB2">
        <w:rPr>
          <w:rFonts w:ascii="Times New Roman" w:eastAsia="Times New Roman" w:hAnsi="Times New Roman" w:cs="Times New Roman"/>
          <w:i/>
          <w:iCs/>
          <w:color w:val="212121"/>
          <w:kern w:val="0"/>
          <w14:ligatures w14:val="none"/>
        </w:rPr>
        <w:t>preprocessed BOLD in original space</w:t>
      </w:r>
      <w:r w:rsidRPr="00BD2CB2">
        <w:rPr>
          <w:rFonts w:ascii="Times New Roman" w:eastAsia="Times New Roman" w:hAnsi="Times New Roman" w:cs="Times New Roman"/>
          <w:color w:val="212121"/>
          <w:kern w:val="0"/>
          <w14:ligatures w14:val="none"/>
        </w:rPr>
        <w:t>, or just </w:t>
      </w:r>
      <w:r w:rsidRPr="00BD2CB2">
        <w:rPr>
          <w:rFonts w:ascii="Times New Roman" w:eastAsia="Times New Roman" w:hAnsi="Times New Roman" w:cs="Times New Roman"/>
          <w:i/>
          <w:iCs/>
          <w:color w:val="212121"/>
          <w:kern w:val="0"/>
          <w14:ligatures w14:val="none"/>
        </w:rPr>
        <w:t>preprocessed BOLD</w:t>
      </w:r>
      <w:r w:rsidRPr="00BD2CB2">
        <w:rPr>
          <w:rFonts w:ascii="Times New Roman" w:eastAsia="Times New Roman" w:hAnsi="Times New Roman" w:cs="Times New Roman"/>
          <w:color w:val="212121"/>
          <w:kern w:val="0"/>
          <w14:ligatures w14:val="none"/>
        </w:rPr>
        <w:t>. The BOLD reference was then co-registered to the T1w reference using </w:t>
      </w:r>
      <w:proofErr w:type="spellStart"/>
      <w:r w:rsidRPr="00BD2CB2">
        <w:rPr>
          <w:rFonts w:ascii="Times New Roman" w:eastAsia="Times New Roman" w:hAnsi="Times New Roman" w:cs="Times New Roman"/>
          <w:color w:val="212121"/>
          <w:kern w:val="0"/>
          <w14:ligatures w14:val="none"/>
        </w:rPr>
        <w:t>mri_coreg</w:t>
      </w:r>
      <w:proofErr w:type="spellEnd"/>
      <w:r w:rsidRPr="00BD2CB2">
        <w:rPr>
          <w:rFonts w:ascii="Times New Roman" w:eastAsia="Times New Roman" w:hAnsi="Times New Roman" w:cs="Times New Roman"/>
          <w:color w:val="212121"/>
          <w:kern w:val="0"/>
          <w14:ligatures w14:val="none"/>
        </w:rPr>
        <w:t> (</w:t>
      </w:r>
      <w:proofErr w:type="spellStart"/>
      <w:r w:rsidRPr="00BD2CB2">
        <w:rPr>
          <w:rFonts w:ascii="Times New Roman" w:eastAsia="Times New Roman" w:hAnsi="Times New Roman" w:cs="Times New Roman"/>
          <w:color w:val="212121"/>
          <w:kern w:val="0"/>
          <w14:ligatures w14:val="none"/>
        </w:rPr>
        <w:t>FreeSurfer</w:t>
      </w:r>
      <w:proofErr w:type="spellEnd"/>
      <w:r w:rsidRPr="00BD2CB2">
        <w:rPr>
          <w:rFonts w:ascii="Times New Roman" w:eastAsia="Times New Roman" w:hAnsi="Times New Roman" w:cs="Times New Roman"/>
          <w:color w:val="212121"/>
          <w:kern w:val="0"/>
          <w14:ligatures w14:val="none"/>
        </w:rPr>
        <w:t>)</w:t>
      </w:r>
      <w:r w:rsidR="008F319D">
        <w:rPr>
          <w:rFonts w:ascii="Times New Roman" w:eastAsia="Times New Roman" w:hAnsi="Times New Roman" w:cs="Times New Roman"/>
          <w:color w:val="212121"/>
          <w:kern w:val="0"/>
          <w14:ligatures w14:val="none"/>
        </w:rPr>
        <w:t>,</w:t>
      </w:r>
      <w:r w:rsidRPr="00BD2CB2">
        <w:rPr>
          <w:rFonts w:ascii="Times New Roman" w:eastAsia="Times New Roman" w:hAnsi="Times New Roman" w:cs="Times New Roman"/>
          <w:color w:val="212121"/>
          <w:kern w:val="0"/>
          <w14:ligatures w14:val="none"/>
        </w:rPr>
        <w:t xml:space="preserve"> followed by flirt (FSL 6.0.5.1:57b01774, Jenkinson and Smith 2001) with the boundary-based registration (</w:t>
      </w:r>
      <w:proofErr w:type="spellStart"/>
      <w:r w:rsidRPr="00BD2CB2">
        <w:rPr>
          <w:rFonts w:ascii="Times New Roman" w:eastAsia="Times New Roman" w:hAnsi="Times New Roman" w:cs="Times New Roman"/>
          <w:color w:val="212121"/>
          <w:kern w:val="0"/>
          <w14:ligatures w14:val="none"/>
        </w:rPr>
        <w:t>Greve</w:t>
      </w:r>
      <w:proofErr w:type="spellEnd"/>
      <w:r w:rsidRPr="00BD2CB2">
        <w:rPr>
          <w:rFonts w:ascii="Times New Roman" w:eastAsia="Times New Roman" w:hAnsi="Times New Roman" w:cs="Times New Roman"/>
          <w:color w:val="212121"/>
          <w:kern w:val="0"/>
          <w14:ligatures w14:val="none"/>
        </w:rPr>
        <w:t xml:space="preserve"> and </w:t>
      </w:r>
      <w:proofErr w:type="spellStart"/>
      <w:r w:rsidRPr="00BD2CB2">
        <w:rPr>
          <w:rFonts w:ascii="Times New Roman" w:eastAsia="Times New Roman" w:hAnsi="Times New Roman" w:cs="Times New Roman"/>
          <w:color w:val="212121"/>
          <w:kern w:val="0"/>
          <w14:ligatures w14:val="none"/>
        </w:rPr>
        <w:t>Fischl</w:t>
      </w:r>
      <w:proofErr w:type="spellEnd"/>
      <w:r w:rsidRPr="00BD2CB2">
        <w:rPr>
          <w:rFonts w:ascii="Times New Roman" w:eastAsia="Times New Roman" w:hAnsi="Times New Roman" w:cs="Times New Roman"/>
          <w:color w:val="212121"/>
          <w:kern w:val="0"/>
          <w14:ligatures w14:val="none"/>
        </w:rPr>
        <w:t xml:space="preserve"> 2009)</w:t>
      </w:r>
      <w:r w:rsidR="008F319D">
        <w:rPr>
          <w:rFonts w:ascii="Times New Roman" w:eastAsia="Times New Roman" w:hAnsi="Times New Roman" w:cs="Times New Roman"/>
          <w:color w:val="212121"/>
          <w:kern w:val="0"/>
          <w14:ligatures w14:val="none"/>
        </w:rPr>
        <w:t xml:space="preserve"> </w:t>
      </w:r>
      <w:r w:rsidRPr="00BD2CB2">
        <w:rPr>
          <w:rFonts w:ascii="Times New Roman" w:eastAsia="Times New Roman" w:hAnsi="Times New Roman" w:cs="Times New Roman"/>
          <w:color w:val="212121"/>
          <w:kern w:val="0"/>
          <w14:ligatures w14:val="none"/>
        </w:rPr>
        <w:t>cost-function. Co-registration was configured with six degrees of freedom. Several confounding time-series were calculated based on the </w:t>
      </w:r>
      <w:r w:rsidRPr="00BD2CB2">
        <w:rPr>
          <w:rFonts w:ascii="Times New Roman" w:eastAsia="Times New Roman" w:hAnsi="Times New Roman" w:cs="Times New Roman"/>
          <w:i/>
          <w:iCs/>
          <w:color w:val="212121"/>
          <w:kern w:val="0"/>
          <w14:ligatures w14:val="none"/>
        </w:rPr>
        <w:t>preprocessed BOLD</w:t>
      </w:r>
      <w:r w:rsidRPr="00BD2CB2">
        <w:rPr>
          <w:rFonts w:ascii="Times New Roman" w:eastAsia="Times New Roman" w:hAnsi="Times New Roman" w:cs="Times New Roman"/>
          <w:color w:val="212121"/>
          <w:kern w:val="0"/>
          <w14:ligatures w14:val="none"/>
        </w:rPr>
        <w:t xml:space="preserve">: framewise displacement (FD), DVARS and three region-wise global signals. FD was computed using two formulations following Power (absolute sum of relative motions, Power et al. (2014)) and Jenkinson (relative root mean square displacement between </w:t>
      </w:r>
      <w:proofErr w:type="spellStart"/>
      <w:r w:rsidRPr="00BD2CB2">
        <w:rPr>
          <w:rFonts w:ascii="Times New Roman" w:eastAsia="Times New Roman" w:hAnsi="Times New Roman" w:cs="Times New Roman"/>
          <w:color w:val="212121"/>
          <w:kern w:val="0"/>
          <w14:ligatures w14:val="none"/>
        </w:rPr>
        <w:t>affines</w:t>
      </w:r>
      <w:proofErr w:type="spellEnd"/>
      <w:r w:rsidRPr="00BD2CB2">
        <w:rPr>
          <w:rFonts w:ascii="Times New Roman" w:eastAsia="Times New Roman" w:hAnsi="Times New Roman" w:cs="Times New Roman"/>
          <w:color w:val="212121"/>
          <w:kern w:val="0"/>
          <w14:ligatures w14:val="none"/>
        </w:rPr>
        <w:t>, Jenkinson et al. (2002)). FD and DVARS are calculated for each functional run, both using their implementations in </w:t>
      </w:r>
      <w:proofErr w:type="spellStart"/>
      <w:r w:rsidRPr="00BD2CB2">
        <w:rPr>
          <w:rFonts w:ascii="Times New Roman" w:eastAsia="Times New Roman" w:hAnsi="Times New Roman" w:cs="Times New Roman"/>
          <w:i/>
          <w:iCs/>
          <w:color w:val="212121"/>
          <w:kern w:val="0"/>
          <w14:ligatures w14:val="none"/>
        </w:rPr>
        <w:t>Nipype</w:t>
      </w:r>
      <w:proofErr w:type="spellEnd"/>
      <w:r w:rsidR="008F319D">
        <w:rPr>
          <w:rFonts w:ascii="Times New Roman" w:eastAsia="Times New Roman" w:hAnsi="Times New Roman" w:cs="Times New Roman"/>
          <w:i/>
          <w:iCs/>
          <w:color w:val="212121"/>
          <w:kern w:val="0"/>
          <w14:ligatures w14:val="none"/>
        </w:rPr>
        <w:t xml:space="preserve"> </w:t>
      </w:r>
      <w:r w:rsidRPr="00BD2CB2">
        <w:rPr>
          <w:rFonts w:ascii="Times New Roman" w:eastAsia="Times New Roman" w:hAnsi="Times New Roman" w:cs="Times New Roman"/>
          <w:color w:val="212121"/>
          <w:kern w:val="0"/>
          <w14:ligatures w14:val="none"/>
        </w:rPr>
        <w:t>(following the definitions by Power et al. 2014). The three global signals are extracted within the CSF, the WM, and the whole-brain masks. Additionally, a set of physiological regressors were extracted to allow for component-based noise correction (</w:t>
      </w:r>
      <w:proofErr w:type="spellStart"/>
      <w:r w:rsidRPr="00BD2CB2">
        <w:rPr>
          <w:rFonts w:ascii="Times New Roman" w:eastAsia="Times New Roman" w:hAnsi="Times New Roman" w:cs="Times New Roman"/>
          <w:i/>
          <w:iCs/>
          <w:color w:val="212121"/>
          <w:kern w:val="0"/>
          <w14:ligatures w14:val="none"/>
        </w:rPr>
        <w:t>CompCor</w:t>
      </w:r>
      <w:proofErr w:type="spellEnd"/>
      <w:r w:rsidRPr="00BD2CB2">
        <w:rPr>
          <w:rFonts w:ascii="Times New Roman" w:eastAsia="Times New Roman" w:hAnsi="Times New Roman" w:cs="Times New Roman"/>
          <w:color w:val="212121"/>
          <w:kern w:val="0"/>
          <w14:ligatures w14:val="none"/>
        </w:rPr>
        <w:t xml:space="preserve">, </w:t>
      </w:r>
      <w:proofErr w:type="spellStart"/>
      <w:r w:rsidRPr="00BD2CB2">
        <w:rPr>
          <w:rFonts w:ascii="Times New Roman" w:eastAsia="Times New Roman" w:hAnsi="Times New Roman" w:cs="Times New Roman"/>
          <w:color w:val="212121"/>
          <w:kern w:val="0"/>
          <w14:ligatures w14:val="none"/>
        </w:rPr>
        <w:t>Behzadi</w:t>
      </w:r>
      <w:proofErr w:type="spellEnd"/>
      <w:r w:rsidRPr="00BD2CB2">
        <w:rPr>
          <w:rFonts w:ascii="Times New Roman" w:eastAsia="Times New Roman" w:hAnsi="Times New Roman" w:cs="Times New Roman"/>
          <w:color w:val="212121"/>
          <w:kern w:val="0"/>
          <w14:ligatures w14:val="none"/>
        </w:rPr>
        <w:t xml:space="preserve"> et al. 2007). Principal components are estimated after high-pass filtering the </w:t>
      </w:r>
      <w:r w:rsidRPr="00BD2CB2">
        <w:rPr>
          <w:rFonts w:ascii="Times New Roman" w:eastAsia="Times New Roman" w:hAnsi="Times New Roman" w:cs="Times New Roman"/>
          <w:i/>
          <w:iCs/>
          <w:color w:val="212121"/>
          <w:kern w:val="0"/>
          <w14:ligatures w14:val="none"/>
        </w:rPr>
        <w:t>preprocessed BOLD</w:t>
      </w:r>
      <w:r w:rsidRPr="00BD2CB2">
        <w:rPr>
          <w:rFonts w:ascii="Times New Roman" w:eastAsia="Times New Roman" w:hAnsi="Times New Roman" w:cs="Times New Roman"/>
          <w:color w:val="212121"/>
          <w:kern w:val="0"/>
          <w14:ligatures w14:val="none"/>
        </w:rPr>
        <w:t> time-series (using a discrete cosine filter with 128s cut-off) for the two </w:t>
      </w:r>
      <w:proofErr w:type="spellStart"/>
      <w:r w:rsidRPr="00BD2CB2">
        <w:rPr>
          <w:rFonts w:ascii="Times New Roman" w:eastAsia="Times New Roman" w:hAnsi="Times New Roman" w:cs="Times New Roman"/>
          <w:i/>
          <w:iCs/>
          <w:color w:val="212121"/>
          <w:kern w:val="0"/>
          <w14:ligatures w14:val="none"/>
        </w:rPr>
        <w:t>CompCor</w:t>
      </w:r>
      <w:proofErr w:type="spellEnd"/>
      <w:r w:rsidRPr="00BD2CB2">
        <w:rPr>
          <w:rFonts w:ascii="Times New Roman" w:eastAsia="Times New Roman" w:hAnsi="Times New Roman" w:cs="Times New Roman"/>
          <w:color w:val="212121"/>
          <w:kern w:val="0"/>
          <w14:ligatures w14:val="none"/>
        </w:rPr>
        <w:t> variants: temporal (</w:t>
      </w:r>
      <w:proofErr w:type="spellStart"/>
      <w:r w:rsidRPr="00BD2CB2">
        <w:rPr>
          <w:rFonts w:ascii="Times New Roman" w:eastAsia="Times New Roman" w:hAnsi="Times New Roman" w:cs="Times New Roman"/>
          <w:color w:val="212121"/>
          <w:kern w:val="0"/>
          <w14:ligatures w14:val="none"/>
        </w:rPr>
        <w:t>tCompCor</w:t>
      </w:r>
      <w:proofErr w:type="spellEnd"/>
      <w:r w:rsidRPr="00BD2CB2">
        <w:rPr>
          <w:rFonts w:ascii="Times New Roman" w:eastAsia="Times New Roman" w:hAnsi="Times New Roman" w:cs="Times New Roman"/>
          <w:color w:val="212121"/>
          <w:kern w:val="0"/>
          <w14:ligatures w14:val="none"/>
        </w:rPr>
        <w:t>) and anatomical (</w:t>
      </w:r>
      <w:proofErr w:type="spellStart"/>
      <w:r w:rsidRPr="00BD2CB2">
        <w:rPr>
          <w:rFonts w:ascii="Times New Roman" w:eastAsia="Times New Roman" w:hAnsi="Times New Roman" w:cs="Times New Roman"/>
          <w:color w:val="212121"/>
          <w:kern w:val="0"/>
          <w14:ligatures w14:val="none"/>
        </w:rPr>
        <w:t>aCompCor</w:t>
      </w:r>
      <w:proofErr w:type="spellEnd"/>
      <w:r w:rsidRPr="00BD2CB2">
        <w:rPr>
          <w:rFonts w:ascii="Times New Roman" w:eastAsia="Times New Roman" w:hAnsi="Times New Roman" w:cs="Times New Roman"/>
          <w:color w:val="212121"/>
          <w:kern w:val="0"/>
          <w14:ligatures w14:val="none"/>
        </w:rPr>
        <w:t xml:space="preserve">). </w:t>
      </w:r>
      <w:proofErr w:type="spellStart"/>
      <w:r w:rsidRPr="00BD2CB2">
        <w:rPr>
          <w:rFonts w:ascii="Times New Roman" w:eastAsia="Times New Roman" w:hAnsi="Times New Roman" w:cs="Times New Roman"/>
          <w:color w:val="212121"/>
          <w:kern w:val="0"/>
          <w14:ligatures w14:val="none"/>
        </w:rPr>
        <w:t>tCompCor</w:t>
      </w:r>
      <w:proofErr w:type="spellEnd"/>
      <w:r w:rsidRPr="00BD2CB2">
        <w:rPr>
          <w:rFonts w:ascii="Times New Roman" w:eastAsia="Times New Roman" w:hAnsi="Times New Roman" w:cs="Times New Roman"/>
          <w:color w:val="212121"/>
          <w:kern w:val="0"/>
          <w14:ligatures w14:val="none"/>
        </w:rPr>
        <w:t xml:space="preserve"> components are then calculated from the top 2% variable voxels within the brain </w:t>
      </w:r>
      <w:r w:rsidRPr="00BD2CB2">
        <w:rPr>
          <w:rFonts w:ascii="Times New Roman" w:eastAsia="Times New Roman" w:hAnsi="Times New Roman" w:cs="Times New Roman"/>
          <w:color w:val="212121"/>
          <w:kern w:val="0"/>
          <w14:ligatures w14:val="none"/>
        </w:rPr>
        <w:lastRenderedPageBreak/>
        <w:t xml:space="preserve">mask. For </w:t>
      </w:r>
      <w:proofErr w:type="spellStart"/>
      <w:r w:rsidRPr="00BD2CB2">
        <w:rPr>
          <w:rFonts w:ascii="Times New Roman" w:eastAsia="Times New Roman" w:hAnsi="Times New Roman" w:cs="Times New Roman"/>
          <w:color w:val="212121"/>
          <w:kern w:val="0"/>
          <w14:ligatures w14:val="none"/>
        </w:rPr>
        <w:t>aCompCor</w:t>
      </w:r>
      <w:proofErr w:type="spellEnd"/>
      <w:r w:rsidRPr="00BD2CB2">
        <w:rPr>
          <w:rFonts w:ascii="Times New Roman" w:eastAsia="Times New Roman" w:hAnsi="Times New Roman" w:cs="Times New Roman"/>
          <w:color w:val="212121"/>
          <w:kern w:val="0"/>
          <w14:ligatures w14:val="none"/>
        </w:rPr>
        <w:t xml:space="preserve">, three probabilistic masks (CSF, WM and combined CSF+WM) are generated in anatomical space. The implementation differs from that of </w:t>
      </w:r>
      <w:proofErr w:type="spellStart"/>
      <w:r w:rsidRPr="00BD2CB2">
        <w:rPr>
          <w:rFonts w:ascii="Times New Roman" w:eastAsia="Times New Roman" w:hAnsi="Times New Roman" w:cs="Times New Roman"/>
          <w:color w:val="212121"/>
          <w:kern w:val="0"/>
          <w14:ligatures w14:val="none"/>
        </w:rPr>
        <w:t>Behzadi</w:t>
      </w:r>
      <w:proofErr w:type="spellEnd"/>
      <w:r w:rsidRPr="00BD2CB2">
        <w:rPr>
          <w:rFonts w:ascii="Times New Roman" w:eastAsia="Times New Roman" w:hAnsi="Times New Roman" w:cs="Times New Roman"/>
          <w:color w:val="212121"/>
          <w:kern w:val="0"/>
          <w14:ligatures w14:val="none"/>
        </w:rPr>
        <w:t xml:space="preserve"> et al. in that instead of eroding the masks by 2 pixels on BOLD space, the </w:t>
      </w:r>
      <w:proofErr w:type="spellStart"/>
      <w:r w:rsidRPr="00BD2CB2">
        <w:rPr>
          <w:rFonts w:ascii="Times New Roman" w:eastAsia="Times New Roman" w:hAnsi="Times New Roman" w:cs="Times New Roman"/>
          <w:color w:val="212121"/>
          <w:kern w:val="0"/>
          <w14:ligatures w14:val="none"/>
        </w:rPr>
        <w:t>aCompCor</w:t>
      </w:r>
      <w:proofErr w:type="spellEnd"/>
      <w:r w:rsidRPr="00BD2CB2">
        <w:rPr>
          <w:rFonts w:ascii="Times New Roman" w:eastAsia="Times New Roman" w:hAnsi="Times New Roman" w:cs="Times New Roman"/>
          <w:color w:val="212121"/>
          <w:kern w:val="0"/>
          <w14:ligatures w14:val="none"/>
        </w:rPr>
        <w:t xml:space="preserve"> masks are subtracted a mask of pixels that likely contain a volume fraction of GM. This mask is obtained by thresholding the corresponding partial volume map at 0.05, and it ensures components are not extracted from voxels containing a minimal fraction of GM. Finally, these masks are resampled into BOLD space and binarized by thresholding at 0.99 (as in the original implementation). Components are also calculated separately within the WM and CSF masks. For each </w:t>
      </w:r>
      <w:proofErr w:type="spellStart"/>
      <w:r w:rsidRPr="00BD2CB2">
        <w:rPr>
          <w:rFonts w:ascii="Times New Roman" w:eastAsia="Times New Roman" w:hAnsi="Times New Roman" w:cs="Times New Roman"/>
          <w:color w:val="212121"/>
          <w:kern w:val="0"/>
          <w14:ligatures w14:val="none"/>
        </w:rPr>
        <w:t>CompCor</w:t>
      </w:r>
      <w:proofErr w:type="spellEnd"/>
      <w:r w:rsidRPr="00BD2CB2">
        <w:rPr>
          <w:rFonts w:ascii="Times New Roman" w:eastAsia="Times New Roman" w:hAnsi="Times New Roman" w:cs="Times New Roman"/>
          <w:color w:val="212121"/>
          <w:kern w:val="0"/>
          <w14:ligatures w14:val="none"/>
        </w:rPr>
        <w:t xml:space="preserve"> decomposition, the </w:t>
      </w:r>
      <w:r w:rsidRPr="00BD2CB2">
        <w:rPr>
          <w:rFonts w:ascii="Times New Roman" w:eastAsia="Times New Roman" w:hAnsi="Times New Roman" w:cs="Times New Roman"/>
          <w:i/>
          <w:iCs/>
          <w:color w:val="212121"/>
          <w:kern w:val="0"/>
          <w14:ligatures w14:val="none"/>
        </w:rPr>
        <w:t>k</w:t>
      </w:r>
      <w:r w:rsidRPr="00BD2CB2">
        <w:rPr>
          <w:rFonts w:ascii="Times New Roman" w:eastAsia="Times New Roman" w:hAnsi="Times New Roman" w:cs="Times New Roman"/>
          <w:color w:val="212121"/>
          <w:kern w:val="0"/>
          <w14:ligatures w14:val="none"/>
        </w:rPr>
        <w:t> components with the largest singular values are retained, such that the retained components’ time series are sufficient to explain 50 percent of variance across the nuisance mask (CSF, WM, combined, or temporal). The remaining components are dropped from consideration. The head-motion estimates calculated in the correction step were also placed within the corresponding confounds file. The confound time series derived from head motion estimates and global signals were expanded with the inclusion of temporal derivatives and quadratic terms for each (Satterthwaite et al. 2013). Frames that exceeded a threshold of 0.5 mm FD or 1.5 standardised DVARS were annotated as motion outliers. The BOLD time-series were resampled into standard space, generating a </w:t>
      </w:r>
      <w:r w:rsidRPr="00BD2CB2">
        <w:rPr>
          <w:rFonts w:ascii="Times New Roman" w:eastAsia="Times New Roman" w:hAnsi="Times New Roman" w:cs="Times New Roman"/>
          <w:i/>
          <w:iCs/>
          <w:color w:val="212121"/>
          <w:kern w:val="0"/>
          <w14:ligatures w14:val="none"/>
        </w:rPr>
        <w:t>preprocessed BOLD run in MNI152NLin2009cAsym space</w:t>
      </w:r>
      <w:r w:rsidRPr="00BD2CB2">
        <w:rPr>
          <w:rFonts w:ascii="Times New Roman" w:eastAsia="Times New Roman" w:hAnsi="Times New Roman" w:cs="Times New Roman"/>
          <w:color w:val="212121"/>
          <w:kern w:val="0"/>
          <w14:ligatures w14:val="none"/>
        </w:rPr>
        <w:t>. First, a reference volume and its skull-stripped version were generated using a custom methodology of </w:t>
      </w:r>
      <w:proofErr w:type="spellStart"/>
      <w:r w:rsidRPr="00BD2CB2">
        <w:rPr>
          <w:rFonts w:ascii="Times New Roman" w:eastAsia="Times New Roman" w:hAnsi="Times New Roman" w:cs="Times New Roman"/>
          <w:i/>
          <w:iCs/>
          <w:color w:val="212121"/>
          <w:kern w:val="0"/>
          <w14:ligatures w14:val="none"/>
        </w:rPr>
        <w:t>fMRIPrep</w:t>
      </w:r>
      <w:proofErr w:type="spellEnd"/>
      <w:r w:rsidRPr="00BD2CB2">
        <w:rPr>
          <w:rFonts w:ascii="Times New Roman" w:eastAsia="Times New Roman" w:hAnsi="Times New Roman" w:cs="Times New Roman"/>
          <w:color w:val="212121"/>
          <w:kern w:val="0"/>
          <w14:ligatures w14:val="none"/>
        </w:rPr>
        <w:t xml:space="preserve">. All </w:t>
      </w:r>
      <w:proofErr w:type="spellStart"/>
      <w:r w:rsidRPr="00BD2CB2">
        <w:rPr>
          <w:rFonts w:ascii="Times New Roman" w:eastAsia="Times New Roman" w:hAnsi="Times New Roman" w:cs="Times New Roman"/>
          <w:color w:val="212121"/>
          <w:kern w:val="0"/>
          <w14:ligatures w14:val="none"/>
        </w:rPr>
        <w:t>resamplings</w:t>
      </w:r>
      <w:proofErr w:type="spellEnd"/>
      <w:r w:rsidRPr="00BD2CB2">
        <w:rPr>
          <w:rFonts w:ascii="Times New Roman" w:eastAsia="Times New Roman" w:hAnsi="Times New Roman" w:cs="Times New Roman"/>
          <w:color w:val="212121"/>
          <w:kern w:val="0"/>
          <w14:ligatures w14:val="none"/>
        </w:rPr>
        <w:t xml:space="preserve"> can be performed with </w:t>
      </w:r>
      <w:r w:rsidRPr="00BD2CB2">
        <w:rPr>
          <w:rFonts w:ascii="Times New Roman" w:eastAsia="Times New Roman" w:hAnsi="Times New Roman" w:cs="Times New Roman"/>
          <w:i/>
          <w:iCs/>
          <w:color w:val="212121"/>
          <w:kern w:val="0"/>
          <w14:ligatures w14:val="none"/>
        </w:rPr>
        <w:t>a single interpolation step</w:t>
      </w:r>
      <w:r w:rsidRPr="00BD2CB2">
        <w:rPr>
          <w:rFonts w:ascii="Times New Roman" w:eastAsia="Times New Roman" w:hAnsi="Times New Roman" w:cs="Times New Roman"/>
          <w:color w:val="212121"/>
          <w:kern w:val="0"/>
          <w14:ligatures w14:val="none"/>
        </w:rPr>
        <w:t xml:space="preserve"> by composing all the pertinent transformations (i.e. head-motion transform matrices, susceptibility distortion correction when available, and co-registrations to anatomical and output spaces). Gridded (volumetric) </w:t>
      </w:r>
      <w:proofErr w:type="spellStart"/>
      <w:r w:rsidRPr="00BD2CB2">
        <w:rPr>
          <w:rFonts w:ascii="Times New Roman" w:eastAsia="Times New Roman" w:hAnsi="Times New Roman" w:cs="Times New Roman"/>
          <w:color w:val="212121"/>
          <w:kern w:val="0"/>
          <w14:ligatures w14:val="none"/>
        </w:rPr>
        <w:t>resamplings</w:t>
      </w:r>
      <w:proofErr w:type="spellEnd"/>
      <w:r w:rsidRPr="00BD2CB2">
        <w:rPr>
          <w:rFonts w:ascii="Times New Roman" w:eastAsia="Times New Roman" w:hAnsi="Times New Roman" w:cs="Times New Roman"/>
          <w:color w:val="212121"/>
          <w:kern w:val="0"/>
          <w14:ligatures w14:val="none"/>
        </w:rPr>
        <w:t xml:space="preserve"> were performed using </w:t>
      </w:r>
      <w:proofErr w:type="spellStart"/>
      <w:r w:rsidRPr="00BD2CB2">
        <w:rPr>
          <w:rFonts w:ascii="Times New Roman" w:eastAsia="Times New Roman" w:hAnsi="Times New Roman" w:cs="Times New Roman"/>
          <w:color w:val="212121"/>
          <w:kern w:val="0"/>
          <w14:ligatures w14:val="none"/>
        </w:rPr>
        <w:t>antsApplyTransforms</w:t>
      </w:r>
      <w:proofErr w:type="spellEnd"/>
      <w:r w:rsidRPr="00BD2CB2">
        <w:rPr>
          <w:rFonts w:ascii="Times New Roman" w:eastAsia="Times New Roman" w:hAnsi="Times New Roman" w:cs="Times New Roman"/>
          <w:color w:val="212121"/>
          <w:kern w:val="0"/>
          <w14:ligatures w14:val="none"/>
        </w:rPr>
        <w:t xml:space="preserve"> (ANTs), configured with </w:t>
      </w:r>
      <w:proofErr w:type="spellStart"/>
      <w:r w:rsidRPr="00BD2CB2">
        <w:rPr>
          <w:rFonts w:ascii="Times New Roman" w:eastAsia="Times New Roman" w:hAnsi="Times New Roman" w:cs="Times New Roman"/>
          <w:color w:val="212121"/>
          <w:kern w:val="0"/>
          <w14:ligatures w14:val="none"/>
        </w:rPr>
        <w:t>Lanczos</w:t>
      </w:r>
      <w:proofErr w:type="spellEnd"/>
      <w:r w:rsidRPr="00BD2CB2">
        <w:rPr>
          <w:rFonts w:ascii="Times New Roman" w:eastAsia="Times New Roman" w:hAnsi="Times New Roman" w:cs="Times New Roman"/>
          <w:color w:val="212121"/>
          <w:kern w:val="0"/>
          <w14:ligatures w14:val="none"/>
        </w:rPr>
        <w:t xml:space="preserve"> interpolation to minimize the smoothing effects of other </w:t>
      </w:r>
      <w:r w:rsidRPr="00BD2CB2">
        <w:rPr>
          <w:rFonts w:ascii="Times New Roman" w:eastAsia="Times New Roman" w:hAnsi="Times New Roman" w:cs="Times New Roman"/>
          <w:color w:val="212121"/>
          <w:kern w:val="0"/>
          <w14:ligatures w14:val="none"/>
        </w:rPr>
        <w:lastRenderedPageBreak/>
        <w:t>kernels (</w:t>
      </w:r>
      <w:proofErr w:type="spellStart"/>
      <w:r w:rsidRPr="00BD2CB2">
        <w:rPr>
          <w:rFonts w:ascii="Times New Roman" w:eastAsia="Times New Roman" w:hAnsi="Times New Roman" w:cs="Times New Roman"/>
          <w:color w:val="212121"/>
          <w:kern w:val="0"/>
          <w14:ligatures w14:val="none"/>
        </w:rPr>
        <w:t>Lanczos</w:t>
      </w:r>
      <w:proofErr w:type="spellEnd"/>
      <w:r w:rsidRPr="00BD2CB2">
        <w:rPr>
          <w:rFonts w:ascii="Times New Roman" w:eastAsia="Times New Roman" w:hAnsi="Times New Roman" w:cs="Times New Roman"/>
          <w:color w:val="212121"/>
          <w:kern w:val="0"/>
          <w14:ligatures w14:val="none"/>
        </w:rPr>
        <w:t xml:space="preserve"> 1964). Non-gridded (surface) </w:t>
      </w:r>
      <w:proofErr w:type="spellStart"/>
      <w:r w:rsidRPr="00BD2CB2">
        <w:rPr>
          <w:rFonts w:ascii="Times New Roman" w:eastAsia="Times New Roman" w:hAnsi="Times New Roman" w:cs="Times New Roman"/>
          <w:color w:val="212121"/>
          <w:kern w:val="0"/>
          <w14:ligatures w14:val="none"/>
        </w:rPr>
        <w:t>resamplings</w:t>
      </w:r>
      <w:proofErr w:type="spellEnd"/>
      <w:r w:rsidRPr="00BD2CB2">
        <w:rPr>
          <w:rFonts w:ascii="Times New Roman" w:eastAsia="Times New Roman" w:hAnsi="Times New Roman" w:cs="Times New Roman"/>
          <w:color w:val="212121"/>
          <w:kern w:val="0"/>
          <w14:ligatures w14:val="none"/>
        </w:rPr>
        <w:t xml:space="preserve"> were performed using mri_vol2surf (</w:t>
      </w:r>
      <w:proofErr w:type="spellStart"/>
      <w:r w:rsidRPr="00BD2CB2">
        <w:rPr>
          <w:rFonts w:ascii="Times New Roman" w:eastAsia="Times New Roman" w:hAnsi="Times New Roman" w:cs="Times New Roman"/>
          <w:color w:val="212121"/>
          <w:kern w:val="0"/>
          <w14:ligatures w14:val="none"/>
        </w:rPr>
        <w:t>FreeSurfer</w:t>
      </w:r>
      <w:proofErr w:type="spellEnd"/>
      <w:r w:rsidRPr="00BD2CB2">
        <w:rPr>
          <w:rFonts w:ascii="Times New Roman" w:eastAsia="Times New Roman" w:hAnsi="Times New Roman" w:cs="Times New Roman"/>
          <w:color w:val="212121"/>
          <w:kern w:val="0"/>
          <w14:ligatures w14:val="none"/>
        </w:rPr>
        <w:t>).</w:t>
      </w:r>
    </w:p>
    <w:p w14:paraId="402E0153" w14:textId="3FF5AFE8" w:rsidR="00BD2CB2" w:rsidRDefault="00BD2CB2" w:rsidP="00BD2CB2">
      <w:pPr>
        <w:jc w:val="center"/>
        <w:rPr>
          <w:rFonts w:ascii="Times New Roman" w:hAnsi="Times New Roman" w:cs="Times New Roman"/>
          <w:b/>
          <w:bCs/>
        </w:rPr>
      </w:pPr>
      <w:r>
        <w:rPr>
          <w:rFonts w:ascii="Times New Roman" w:hAnsi="Times New Roman" w:cs="Times New Roman"/>
          <w:b/>
          <w:bCs/>
        </w:rPr>
        <w:t>Supplementary Materials B</w:t>
      </w:r>
    </w:p>
    <w:p w14:paraId="610AFFFB" w14:textId="77777777" w:rsidR="00755F81" w:rsidRDefault="00755F81" w:rsidP="00755F81">
      <w:pPr>
        <w:jc w:val="center"/>
        <w:rPr>
          <w:rFonts w:ascii="Times New Roman" w:hAnsi="Times New Roman" w:cs="Times New Roman"/>
          <w:b/>
          <w:bCs/>
        </w:rPr>
      </w:pPr>
    </w:p>
    <w:p w14:paraId="01BDFDA8" w14:textId="40A6C3C0" w:rsidR="00755F81" w:rsidRPr="00030605" w:rsidRDefault="00755F81" w:rsidP="00755F81">
      <w:pPr>
        <w:rPr>
          <w:rFonts w:ascii="Times New Roman" w:hAnsi="Times New Roman" w:cs="Times New Roman"/>
          <w:b/>
          <w:bCs/>
          <w:color w:val="000000" w:themeColor="text1"/>
        </w:rPr>
      </w:pPr>
      <w:r w:rsidRPr="00030605">
        <w:rPr>
          <w:rFonts w:ascii="Times New Roman" w:hAnsi="Times New Roman" w:cs="Times New Roman"/>
          <w:b/>
          <w:bCs/>
          <w:color w:val="000000" w:themeColor="text1"/>
        </w:rPr>
        <w:t>Table S1</w:t>
      </w:r>
    </w:p>
    <w:p w14:paraId="07041689" w14:textId="77777777" w:rsidR="00755F81" w:rsidRPr="00030605" w:rsidRDefault="00755F81" w:rsidP="00755F81">
      <w:pPr>
        <w:rPr>
          <w:rFonts w:ascii="Times New Roman" w:hAnsi="Times New Roman" w:cs="Times New Roman"/>
          <w:b/>
          <w:bCs/>
          <w:color w:val="000000" w:themeColor="text1"/>
        </w:rPr>
      </w:pPr>
    </w:p>
    <w:p w14:paraId="57A57D4E" w14:textId="7906E06D" w:rsidR="00755F81" w:rsidRPr="00030605" w:rsidRDefault="00755F81" w:rsidP="00755F81">
      <w:pPr>
        <w:rPr>
          <w:rFonts w:ascii="Times New Roman" w:hAnsi="Times New Roman" w:cs="Times New Roman"/>
          <w:i/>
          <w:iCs/>
          <w:color w:val="000000" w:themeColor="text1"/>
        </w:rPr>
      </w:pPr>
      <w:r w:rsidRPr="00030605">
        <w:rPr>
          <w:rFonts w:ascii="Times New Roman" w:hAnsi="Times New Roman" w:cs="Times New Roman"/>
          <w:i/>
          <w:iCs/>
          <w:color w:val="000000" w:themeColor="text1"/>
        </w:rPr>
        <w:t xml:space="preserve">Coordinates and cluster sizes for higher ISC in the </w:t>
      </w:r>
      <w:r w:rsidR="002B1136" w:rsidRPr="00030605">
        <w:rPr>
          <w:rFonts w:ascii="Times New Roman" w:hAnsi="Times New Roman" w:cs="Times New Roman"/>
          <w:i/>
          <w:iCs/>
          <w:color w:val="000000" w:themeColor="text1"/>
        </w:rPr>
        <w:t xml:space="preserve">probable </w:t>
      </w:r>
      <w:r w:rsidRPr="00030605">
        <w:rPr>
          <w:rFonts w:ascii="Times New Roman" w:hAnsi="Times New Roman" w:cs="Times New Roman"/>
          <w:i/>
          <w:iCs/>
          <w:color w:val="000000" w:themeColor="text1"/>
        </w:rPr>
        <w:t xml:space="preserve">migraine group compared to the control group in response to the </w:t>
      </w:r>
      <w:r w:rsidR="00FB58A8" w:rsidRPr="00030605">
        <w:rPr>
          <w:rFonts w:ascii="Times New Roman" w:hAnsi="Times New Roman" w:cs="Times New Roman"/>
          <w:i/>
          <w:iCs/>
          <w:color w:val="000000" w:themeColor="text1"/>
        </w:rPr>
        <w:t>negative valence, high arousal</w:t>
      </w:r>
      <w:r w:rsidRPr="00030605">
        <w:rPr>
          <w:rFonts w:ascii="Times New Roman" w:hAnsi="Times New Roman" w:cs="Times New Roman"/>
          <w:i/>
          <w:iCs/>
          <w:color w:val="000000" w:themeColor="text1"/>
        </w:rPr>
        <w:t xml:space="preserve"> film. </w:t>
      </w:r>
    </w:p>
    <w:p w14:paraId="0C094107" w14:textId="77777777" w:rsidR="00644BAC" w:rsidRPr="00030605" w:rsidRDefault="00644BAC" w:rsidP="00755F81">
      <w:pPr>
        <w:rPr>
          <w:rFonts w:ascii="Times New Roman" w:hAnsi="Times New Roman" w:cs="Times New Roman"/>
          <w:i/>
          <w:iCs/>
          <w:color w:val="000000" w:themeColor="text1"/>
        </w:rPr>
      </w:pPr>
    </w:p>
    <w:tbl>
      <w:tblPr>
        <w:tblStyle w:val="TableGrid"/>
        <w:tblW w:w="0" w:type="auto"/>
        <w:tblLook w:val="04A0" w:firstRow="1" w:lastRow="0" w:firstColumn="1" w:lastColumn="0" w:noHBand="0" w:noVBand="1"/>
      </w:tblPr>
      <w:tblGrid>
        <w:gridCol w:w="2972"/>
        <w:gridCol w:w="1564"/>
        <w:gridCol w:w="1041"/>
        <w:gridCol w:w="902"/>
        <w:gridCol w:w="957"/>
        <w:gridCol w:w="957"/>
        <w:gridCol w:w="957"/>
      </w:tblGrid>
      <w:tr w:rsidR="00030605" w:rsidRPr="00030605" w14:paraId="08C5AE52" w14:textId="77777777" w:rsidTr="002B1136">
        <w:trPr>
          <w:trHeight w:val="320"/>
        </w:trPr>
        <w:tc>
          <w:tcPr>
            <w:tcW w:w="2972" w:type="dxa"/>
            <w:noWrap/>
            <w:hideMark/>
          </w:tcPr>
          <w:p w14:paraId="342D89EF"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Anatomical Location</w:t>
            </w:r>
          </w:p>
        </w:tc>
        <w:tc>
          <w:tcPr>
            <w:tcW w:w="1564" w:type="dxa"/>
            <w:noWrap/>
            <w:hideMark/>
          </w:tcPr>
          <w:p w14:paraId="52115789"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Hemisphere</w:t>
            </w:r>
          </w:p>
        </w:tc>
        <w:tc>
          <w:tcPr>
            <w:tcW w:w="1041" w:type="dxa"/>
            <w:noWrap/>
            <w:hideMark/>
          </w:tcPr>
          <w:p w14:paraId="7E580812"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 of Voxels</w:t>
            </w:r>
          </w:p>
        </w:tc>
        <w:tc>
          <w:tcPr>
            <w:tcW w:w="902" w:type="dxa"/>
            <w:noWrap/>
            <w:hideMark/>
          </w:tcPr>
          <w:p w14:paraId="123A8A8F"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MAX ISC</w:t>
            </w:r>
          </w:p>
        </w:tc>
        <w:tc>
          <w:tcPr>
            <w:tcW w:w="957" w:type="dxa"/>
            <w:noWrap/>
            <w:hideMark/>
          </w:tcPr>
          <w:p w14:paraId="6AE258B4"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MAX x</w:t>
            </w:r>
          </w:p>
        </w:tc>
        <w:tc>
          <w:tcPr>
            <w:tcW w:w="957" w:type="dxa"/>
            <w:noWrap/>
            <w:hideMark/>
          </w:tcPr>
          <w:p w14:paraId="0871D98B"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MAX y</w:t>
            </w:r>
          </w:p>
        </w:tc>
        <w:tc>
          <w:tcPr>
            <w:tcW w:w="957" w:type="dxa"/>
            <w:noWrap/>
            <w:hideMark/>
          </w:tcPr>
          <w:p w14:paraId="12B36F68"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MAX z</w:t>
            </w:r>
          </w:p>
        </w:tc>
      </w:tr>
      <w:tr w:rsidR="00030605" w:rsidRPr="00030605" w14:paraId="6E900F35" w14:textId="77777777" w:rsidTr="002B1136">
        <w:trPr>
          <w:trHeight w:val="320"/>
        </w:trPr>
        <w:tc>
          <w:tcPr>
            <w:tcW w:w="2972" w:type="dxa"/>
            <w:noWrap/>
            <w:hideMark/>
          </w:tcPr>
          <w:p w14:paraId="22BD227C"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Superior Temporal Gyrus, posterior division</w:t>
            </w:r>
          </w:p>
        </w:tc>
        <w:tc>
          <w:tcPr>
            <w:tcW w:w="1564" w:type="dxa"/>
            <w:noWrap/>
            <w:hideMark/>
          </w:tcPr>
          <w:p w14:paraId="4CE0A658"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615A59C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51</w:t>
            </w:r>
          </w:p>
        </w:tc>
        <w:tc>
          <w:tcPr>
            <w:tcW w:w="902" w:type="dxa"/>
            <w:noWrap/>
            <w:hideMark/>
          </w:tcPr>
          <w:p w14:paraId="62322E82"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0.2</w:t>
            </w:r>
          </w:p>
        </w:tc>
        <w:tc>
          <w:tcPr>
            <w:tcW w:w="957" w:type="dxa"/>
            <w:noWrap/>
            <w:hideMark/>
          </w:tcPr>
          <w:p w14:paraId="3A2F128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58</w:t>
            </w:r>
          </w:p>
        </w:tc>
        <w:tc>
          <w:tcPr>
            <w:tcW w:w="957" w:type="dxa"/>
            <w:noWrap/>
            <w:hideMark/>
          </w:tcPr>
          <w:p w14:paraId="3AE7CFEA"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-32</w:t>
            </w:r>
          </w:p>
        </w:tc>
        <w:tc>
          <w:tcPr>
            <w:tcW w:w="957" w:type="dxa"/>
            <w:noWrap/>
            <w:hideMark/>
          </w:tcPr>
          <w:p w14:paraId="6A202749"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w:t>
            </w:r>
          </w:p>
        </w:tc>
      </w:tr>
      <w:tr w:rsidR="00030605" w:rsidRPr="00030605" w14:paraId="322873E5" w14:textId="77777777" w:rsidTr="002B1136">
        <w:trPr>
          <w:trHeight w:val="320"/>
        </w:trPr>
        <w:tc>
          <w:tcPr>
            <w:tcW w:w="2972" w:type="dxa"/>
            <w:noWrap/>
            <w:hideMark/>
          </w:tcPr>
          <w:p w14:paraId="27A44F7A"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Temporal Occipital Fusiform Cortex</w:t>
            </w:r>
          </w:p>
        </w:tc>
        <w:tc>
          <w:tcPr>
            <w:tcW w:w="1564" w:type="dxa"/>
            <w:noWrap/>
            <w:hideMark/>
          </w:tcPr>
          <w:p w14:paraId="6589D276"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735BDC38"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25</w:t>
            </w:r>
          </w:p>
        </w:tc>
        <w:tc>
          <w:tcPr>
            <w:tcW w:w="902" w:type="dxa"/>
            <w:noWrap/>
            <w:hideMark/>
          </w:tcPr>
          <w:p w14:paraId="261C4B0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0.133</w:t>
            </w:r>
          </w:p>
        </w:tc>
        <w:tc>
          <w:tcPr>
            <w:tcW w:w="957" w:type="dxa"/>
            <w:noWrap/>
            <w:hideMark/>
          </w:tcPr>
          <w:p w14:paraId="2676262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44</w:t>
            </w:r>
          </w:p>
        </w:tc>
        <w:tc>
          <w:tcPr>
            <w:tcW w:w="957" w:type="dxa"/>
            <w:noWrap/>
            <w:hideMark/>
          </w:tcPr>
          <w:p w14:paraId="1DA36AC2"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-40</w:t>
            </w:r>
          </w:p>
        </w:tc>
        <w:tc>
          <w:tcPr>
            <w:tcW w:w="957" w:type="dxa"/>
            <w:noWrap/>
            <w:hideMark/>
          </w:tcPr>
          <w:p w14:paraId="21436939"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-22</w:t>
            </w:r>
          </w:p>
        </w:tc>
      </w:tr>
      <w:tr w:rsidR="00030605" w:rsidRPr="00030605" w14:paraId="66E82825" w14:textId="77777777" w:rsidTr="002B1136">
        <w:trPr>
          <w:trHeight w:val="320"/>
        </w:trPr>
        <w:tc>
          <w:tcPr>
            <w:tcW w:w="2972" w:type="dxa"/>
            <w:noWrap/>
            <w:hideMark/>
          </w:tcPr>
          <w:p w14:paraId="54F2D6E8"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 xml:space="preserve">Planum </w:t>
            </w:r>
            <w:proofErr w:type="spellStart"/>
            <w:r w:rsidRPr="00030605">
              <w:rPr>
                <w:rFonts w:ascii="Times New Roman" w:eastAsia="Times New Roman" w:hAnsi="Times New Roman" w:cs="Times New Roman"/>
                <w:color w:val="000000" w:themeColor="text1"/>
                <w:kern w:val="0"/>
                <w14:ligatures w14:val="none"/>
              </w:rPr>
              <w:t>Polare</w:t>
            </w:r>
            <w:proofErr w:type="spellEnd"/>
          </w:p>
        </w:tc>
        <w:tc>
          <w:tcPr>
            <w:tcW w:w="1564" w:type="dxa"/>
            <w:noWrap/>
            <w:hideMark/>
          </w:tcPr>
          <w:p w14:paraId="032B5D66"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31AAC0BC"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11</w:t>
            </w:r>
          </w:p>
        </w:tc>
        <w:tc>
          <w:tcPr>
            <w:tcW w:w="902" w:type="dxa"/>
            <w:noWrap/>
            <w:hideMark/>
          </w:tcPr>
          <w:p w14:paraId="7EB0CC5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0.117</w:t>
            </w:r>
          </w:p>
        </w:tc>
        <w:tc>
          <w:tcPr>
            <w:tcW w:w="957" w:type="dxa"/>
            <w:noWrap/>
            <w:hideMark/>
          </w:tcPr>
          <w:p w14:paraId="5F9CAAA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50</w:t>
            </w:r>
          </w:p>
        </w:tc>
        <w:tc>
          <w:tcPr>
            <w:tcW w:w="957" w:type="dxa"/>
            <w:noWrap/>
            <w:hideMark/>
          </w:tcPr>
          <w:p w14:paraId="184BC294"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w:t>
            </w:r>
          </w:p>
        </w:tc>
        <w:tc>
          <w:tcPr>
            <w:tcW w:w="957" w:type="dxa"/>
            <w:noWrap/>
            <w:hideMark/>
          </w:tcPr>
          <w:p w14:paraId="2D746F8C"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w:t>
            </w:r>
          </w:p>
        </w:tc>
      </w:tr>
      <w:tr w:rsidR="00030605" w:rsidRPr="00030605" w14:paraId="5C5969B1" w14:textId="77777777" w:rsidTr="002B1136">
        <w:trPr>
          <w:trHeight w:val="320"/>
        </w:trPr>
        <w:tc>
          <w:tcPr>
            <w:tcW w:w="2972" w:type="dxa"/>
            <w:noWrap/>
            <w:hideMark/>
          </w:tcPr>
          <w:p w14:paraId="73590EEC"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Lateral Occipital Cortex, inferior division</w:t>
            </w:r>
          </w:p>
        </w:tc>
        <w:tc>
          <w:tcPr>
            <w:tcW w:w="1564" w:type="dxa"/>
            <w:noWrap/>
            <w:hideMark/>
          </w:tcPr>
          <w:p w14:paraId="3A9E5AC3"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680CBB6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9</w:t>
            </w:r>
          </w:p>
        </w:tc>
        <w:tc>
          <w:tcPr>
            <w:tcW w:w="902" w:type="dxa"/>
            <w:noWrap/>
            <w:hideMark/>
          </w:tcPr>
          <w:p w14:paraId="4B7DA8E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0.166</w:t>
            </w:r>
          </w:p>
        </w:tc>
        <w:tc>
          <w:tcPr>
            <w:tcW w:w="957" w:type="dxa"/>
            <w:noWrap/>
            <w:hideMark/>
          </w:tcPr>
          <w:p w14:paraId="2EC6250D"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54</w:t>
            </w:r>
          </w:p>
        </w:tc>
        <w:tc>
          <w:tcPr>
            <w:tcW w:w="957" w:type="dxa"/>
            <w:noWrap/>
            <w:hideMark/>
          </w:tcPr>
          <w:p w14:paraId="028829DC"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-64</w:t>
            </w:r>
          </w:p>
        </w:tc>
        <w:tc>
          <w:tcPr>
            <w:tcW w:w="957" w:type="dxa"/>
            <w:noWrap/>
            <w:hideMark/>
          </w:tcPr>
          <w:p w14:paraId="3CBA90F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10</w:t>
            </w:r>
          </w:p>
        </w:tc>
      </w:tr>
      <w:tr w:rsidR="00030605" w:rsidRPr="00030605" w14:paraId="3CE66C95" w14:textId="77777777" w:rsidTr="002B1136">
        <w:trPr>
          <w:trHeight w:val="320"/>
        </w:trPr>
        <w:tc>
          <w:tcPr>
            <w:tcW w:w="2972" w:type="dxa"/>
            <w:noWrap/>
            <w:hideMark/>
          </w:tcPr>
          <w:p w14:paraId="6D38A116"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Superior Parietal Lobule</w:t>
            </w:r>
          </w:p>
        </w:tc>
        <w:tc>
          <w:tcPr>
            <w:tcW w:w="1564" w:type="dxa"/>
            <w:noWrap/>
            <w:hideMark/>
          </w:tcPr>
          <w:p w14:paraId="3088B783"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Left</w:t>
            </w:r>
          </w:p>
        </w:tc>
        <w:tc>
          <w:tcPr>
            <w:tcW w:w="1041" w:type="dxa"/>
            <w:noWrap/>
            <w:hideMark/>
          </w:tcPr>
          <w:p w14:paraId="07F4F36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w:t>
            </w:r>
          </w:p>
        </w:tc>
        <w:tc>
          <w:tcPr>
            <w:tcW w:w="902" w:type="dxa"/>
            <w:noWrap/>
            <w:hideMark/>
          </w:tcPr>
          <w:p w14:paraId="5B2BB0C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0.125</w:t>
            </w:r>
          </w:p>
        </w:tc>
        <w:tc>
          <w:tcPr>
            <w:tcW w:w="957" w:type="dxa"/>
            <w:noWrap/>
            <w:hideMark/>
          </w:tcPr>
          <w:p w14:paraId="362AB39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-34</w:t>
            </w:r>
          </w:p>
        </w:tc>
        <w:tc>
          <w:tcPr>
            <w:tcW w:w="957" w:type="dxa"/>
            <w:noWrap/>
            <w:hideMark/>
          </w:tcPr>
          <w:p w14:paraId="1F3973A4"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-58</w:t>
            </w:r>
          </w:p>
        </w:tc>
        <w:tc>
          <w:tcPr>
            <w:tcW w:w="957" w:type="dxa"/>
            <w:noWrap/>
            <w:hideMark/>
          </w:tcPr>
          <w:p w14:paraId="7A1619BD"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66</w:t>
            </w:r>
          </w:p>
        </w:tc>
      </w:tr>
      <w:tr w:rsidR="00030605" w:rsidRPr="00030605" w14:paraId="00461BAE" w14:textId="77777777" w:rsidTr="002B1136">
        <w:trPr>
          <w:trHeight w:val="320"/>
        </w:trPr>
        <w:tc>
          <w:tcPr>
            <w:tcW w:w="2972" w:type="dxa"/>
            <w:noWrap/>
            <w:hideMark/>
          </w:tcPr>
          <w:p w14:paraId="6EE072CF"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Superior Parietal Lobule</w:t>
            </w:r>
          </w:p>
        </w:tc>
        <w:tc>
          <w:tcPr>
            <w:tcW w:w="1564" w:type="dxa"/>
            <w:noWrap/>
            <w:hideMark/>
          </w:tcPr>
          <w:p w14:paraId="33A15182"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4EC0A7B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w:t>
            </w:r>
          </w:p>
        </w:tc>
        <w:tc>
          <w:tcPr>
            <w:tcW w:w="902" w:type="dxa"/>
            <w:noWrap/>
            <w:hideMark/>
          </w:tcPr>
          <w:p w14:paraId="4FEE055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0.119</w:t>
            </w:r>
          </w:p>
        </w:tc>
        <w:tc>
          <w:tcPr>
            <w:tcW w:w="957" w:type="dxa"/>
            <w:noWrap/>
            <w:hideMark/>
          </w:tcPr>
          <w:p w14:paraId="7950DFB4"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30</w:t>
            </w:r>
          </w:p>
        </w:tc>
        <w:tc>
          <w:tcPr>
            <w:tcW w:w="957" w:type="dxa"/>
            <w:noWrap/>
            <w:hideMark/>
          </w:tcPr>
          <w:p w14:paraId="2EA3068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-52</w:t>
            </w:r>
          </w:p>
        </w:tc>
        <w:tc>
          <w:tcPr>
            <w:tcW w:w="957" w:type="dxa"/>
            <w:noWrap/>
            <w:hideMark/>
          </w:tcPr>
          <w:p w14:paraId="3F3F73B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70</w:t>
            </w:r>
          </w:p>
        </w:tc>
      </w:tr>
      <w:tr w:rsidR="00030605" w:rsidRPr="00030605" w14:paraId="6E2702EC" w14:textId="77777777" w:rsidTr="002B1136">
        <w:trPr>
          <w:trHeight w:val="320"/>
        </w:trPr>
        <w:tc>
          <w:tcPr>
            <w:tcW w:w="2972" w:type="dxa"/>
            <w:noWrap/>
            <w:hideMark/>
          </w:tcPr>
          <w:p w14:paraId="1CA0958A"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Superior Temporal Gyrus, posterior division</w:t>
            </w:r>
          </w:p>
        </w:tc>
        <w:tc>
          <w:tcPr>
            <w:tcW w:w="1564" w:type="dxa"/>
            <w:noWrap/>
            <w:hideMark/>
          </w:tcPr>
          <w:p w14:paraId="579592DE"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Left</w:t>
            </w:r>
          </w:p>
        </w:tc>
        <w:tc>
          <w:tcPr>
            <w:tcW w:w="1041" w:type="dxa"/>
            <w:noWrap/>
            <w:hideMark/>
          </w:tcPr>
          <w:p w14:paraId="20303EA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w:t>
            </w:r>
          </w:p>
        </w:tc>
        <w:tc>
          <w:tcPr>
            <w:tcW w:w="902" w:type="dxa"/>
            <w:noWrap/>
            <w:hideMark/>
          </w:tcPr>
          <w:p w14:paraId="75E0EECC"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0.168</w:t>
            </w:r>
          </w:p>
        </w:tc>
        <w:tc>
          <w:tcPr>
            <w:tcW w:w="957" w:type="dxa"/>
            <w:noWrap/>
            <w:hideMark/>
          </w:tcPr>
          <w:p w14:paraId="51360FA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-68</w:t>
            </w:r>
          </w:p>
        </w:tc>
        <w:tc>
          <w:tcPr>
            <w:tcW w:w="957" w:type="dxa"/>
            <w:noWrap/>
            <w:hideMark/>
          </w:tcPr>
          <w:p w14:paraId="22036A2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-24</w:t>
            </w:r>
          </w:p>
        </w:tc>
        <w:tc>
          <w:tcPr>
            <w:tcW w:w="957" w:type="dxa"/>
            <w:noWrap/>
            <w:hideMark/>
          </w:tcPr>
          <w:p w14:paraId="780B8CD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w:t>
            </w:r>
          </w:p>
        </w:tc>
      </w:tr>
      <w:tr w:rsidR="00030605" w:rsidRPr="00030605" w14:paraId="002C5E18" w14:textId="77777777" w:rsidTr="002B1136">
        <w:trPr>
          <w:trHeight w:val="320"/>
        </w:trPr>
        <w:tc>
          <w:tcPr>
            <w:tcW w:w="2972" w:type="dxa"/>
            <w:noWrap/>
            <w:hideMark/>
          </w:tcPr>
          <w:p w14:paraId="69A80A73"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Superior Temporal Gyrus, posterior division</w:t>
            </w:r>
          </w:p>
        </w:tc>
        <w:tc>
          <w:tcPr>
            <w:tcW w:w="1564" w:type="dxa"/>
            <w:noWrap/>
            <w:hideMark/>
          </w:tcPr>
          <w:p w14:paraId="6EA5BB36"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670BF3DC"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w:t>
            </w:r>
          </w:p>
        </w:tc>
        <w:tc>
          <w:tcPr>
            <w:tcW w:w="902" w:type="dxa"/>
            <w:noWrap/>
            <w:hideMark/>
          </w:tcPr>
          <w:p w14:paraId="509738A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0.129</w:t>
            </w:r>
          </w:p>
        </w:tc>
        <w:tc>
          <w:tcPr>
            <w:tcW w:w="957" w:type="dxa"/>
            <w:noWrap/>
            <w:hideMark/>
          </w:tcPr>
          <w:p w14:paraId="54664B6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56</w:t>
            </w:r>
          </w:p>
        </w:tc>
        <w:tc>
          <w:tcPr>
            <w:tcW w:w="957" w:type="dxa"/>
            <w:noWrap/>
            <w:hideMark/>
          </w:tcPr>
          <w:p w14:paraId="73682A66"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-18</w:t>
            </w:r>
          </w:p>
        </w:tc>
        <w:tc>
          <w:tcPr>
            <w:tcW w:w="957" w:type="dxa"/>
            <w:noWrap/>
            <w:hideMark/>
          </w:tcPr>
          <w:p w14:paraId="7E2F85C9"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w:t>
            </w:r>
          </w:p>
        </w:tc>
      </w:tr>
      <w:tr w:rsidR="00030605" w:rsidRPr="00030605" w14:paraId="036F103C" w14:textId="77777777" w:rsidTr="002B1136">
        <w:trPr>
          <w:trHeight w:val="320"/>
        </w:trPr>
        <w:tc>
          <w:tcPr>
            <w:tcW w:w="2972" w:type="dxa"/>
            <w:noWrap/>
            <w:hideMark/>
          </w:tcPr>
          <w:p w14:paraId="41226BC0"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Superior Temporal Gyrus, posterior division</w:t>
            </w:r>
          </w:p>
        </w:tc>
        <w:tc>
          <w:tcPr>
            <w:tcW w:w="1564" w:type="dxa"/>
            <w:noWrap/>
            <w:hideMark/>
          </w:tcPr>
          <w:p w14:paraId="608C84F5"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09D59BED"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w:t>
            </w:r>
          </w:p>
        </w:tc>
        <w:tc>
          <w:tcPr>
            <w:tcW w:w="902" w:type="dxa"/>
            <w:noWrap/>
            <w:hideMark/>
          </w:tcPr>
          <w:p w14:paraId="62CB7C4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0.117</w:t>
            </w:r>
          </w:p>
        </w:tc>
        <w:tc>
          <w:tcPr>
            <w:tcW w:w="957" w:type="dxa"/>
            <w:noWrap/>
            <w:hideMark/>
          </w:tcPr>
          <w:p w14:paraId="336CB8C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48</w:t>
            </w:r>
          </w:p>
        </w:tc>
        <w:tc>
          <w:tcPr>
            <w:tcW w:w="957" w:type="dxa"/>
            <w:noWrap/>
            <w:hideMark/>
          </w:tcPr>
          <w:p w14:paraId="6CFA1245"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-26</w:t>
            </w:r>
          </w:p>
        </w:tc>
        <w:tc>
          <w:tcPr>
            <w:tcW w:w="957" w:type="dxa"/>
            <w:noWrap/>
            <w:hideMark/>
          </w:tcPr>
          <w:p w14:paraId="509BC8B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w:t>
            </w:r>
          </w:p>
        </w:tc>
      </w:tr>
      <w:tr w:rsidR="00030605" w:rsidRPr="00030605" w14:paraId="40BE856F" w14:textId="77777777" w:rsidTr="002B1136">
        <w:trPr>
          <w:trHeight w:val="320"/>
        </w:trPr>
        <w:tc>
          <w:tcPr>
            <w:tcW w:w="2972" w:type="dxa"/>
            <w:noWrap/>
            <w:hideMark/>
          </w:tcPr>
          <w:p w14:paraId="56CE90C8"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Superior Parietal Lobule</w:t>
            </w:r>
          </w:p>
        </w:tc>
        <w:tc>
          <w:tcPr>
            <w:tcW w:w="1564" w:type="dxa"/>
            <w:noWrap/>
            <w:hideMark/>
          </w:tcPr>
          <w:p w14:paraId="4D953155"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Left</w:t>
            </w:r>
          </w:p>
        </w:tc>
        <w:tc>
          <w:tcPr>
            <w:tcW w:w="1041" w:type="dxa"/>
            <w:noWrap/>
            <w:hideMark/>
          </w:tcPr>
          <w:p w14:paraId="6F925A3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w:t>
            </w:r>
          </w:p>
        </w:tc>
        <w:tc>
          <w:tcPr>
            <w:tcW w:w="902" w:type="dxa"/>
            <w:noWrap/>
            <w:hideMark/>
          </w:tcPr>
          <w:p w14:paraId="5C9B4BF0"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0.12</w:t>
            </w:r>
          </w:p>
        </w:tc>
        <w:tc>
          <w:tcPr>
            <w:tcW w:w="957" w:type="dxa"/>
            <w:noWrap/>
            <w:hideMark/>
          </w:tcPr>
          <w:p w14:paraId="4CBD284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-42</w:t>
            </w:r>
          </w:p>
        </w:tc>
        <w:tc>
          <w:tcPr>
            <w:tcW w:w="957" w:type="dxa"/>
            <w:noWrap/>
            <w:hideMark/>
          </w:tcPr>
          <w:p w14:paraId="0FC0045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-50</w:t>
            </w:r>
          </w:p>
        </w:tc>
        <w:tc>
          <w:tcPr>
            <w:tcW w:w="957" w:type="dxa"/>
            <w:noWrap/>
            <w:hideMark/>
          </w:tcPr>
          <w:p w14:paraId="547251F2"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58</w:t>
            </w:r>
          </w:p>
        </w:tc>
      </w:tr>
      <w:tr w:rsidR="00030605" w:rsidRPr="00030605" w14:paraId="45482428" w14:textId="77777777" w:rsidTr="002B1136">
        <w:trPr>
          <w:trHeight w:val="320"/>
        </w:trPr>
        <w:tc>
          <w:tcPr>
            <w:tcW w:w="2972" w:type="dxa"/>
            <w:noWrap/>
            <w:hideMark/>
          </w:tcPr>
          <w:p w14:paraId="6811C8F7"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Precentral Gyrus</w:t>
            </w:r>
          </w:p>
        </w:tc>
        <w:tc>
          <w:tcPr>
            <w:tcW w:w="1564" w:type="dxa"/>
            <w:noWrap/>
            <w:hideMark/>
          </w:tcPr>
          <w:p w14:paraId="0D579D2D"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75357AF8"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w:t>
            </w:r>
          </w:p>
        </w:tc>
        <w:tc>
          <w:tcPr>
            <w:tcW w:w="902" w:type="dxa"/>
            <w:noWrap/>
            <w:hideMark/>
          </w:tcPr>
          <w:p w14:paraId="1FBB821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0.107</w:t>
            </w:r>
          </w:p>
        </w:tc>
        <w:tc>
          <w:tcPr>
            <w:tcW w:w="957" w:type="dxa"/>
            <w:noWrap/>
            <w:hideMark/>
          </w:tcPr>
          <w:p w14:paraId="77799752"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24</w:t>
            </w:r>
          </w:p>
        </w:tc>
        <w:tc>
          <w:tcPr>
            <w:tcW w:w="957" w:type="dxa"/>
            <w:noWrap/>
            <w:hideMark/>
          </w:tcPr>
          <w:p w14:paraId="0EAF1A2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-12</w:t>
            </w:r>
          </w:p>
        </w:tc>
        <w:tc>
          <w:tcPr>
            <w:tcW w:w="957" w:type="dxa"/>
            <w:noWrap/>
            <w:hideMark/>
          </w:tcPr>
          <w:p w14:paraId="6E8A28B2"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70</w:t>
            </w:r>
          </w:p>
        </w:tc>
      </w:tr>
      <w:tr w:rsidR="00030605" w:rsidRPr="00030605" w14:paraId="7751271F" w14:textId="77777777" w:rsidTr="002B1136">
        <w:trPr>
          <w:trHeight w:val="320"/>
        </w:trPr>
        <w:tc>
          <w:tcPr>
            <w:tcW w:w="2972" w:type="dxa"/>
            <w:noWrap/>
            <w:hideMark/>
          </w:tcPr>
          <w:p w14:paraId="7B9FF728"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Temporal Pole</w:t>
            </w:r>
          </w:p>
        </w:tc>
        <w:tc>
          <w:tcPr>
            <w:tcW w:w="1564" w:type="dxa"/>
            <w:noWrap/>
            <w:hideMark/>
          </w:tcPr>
          <w:p w14:paraId="42D9B790"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3563D6B8"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w:t>
            </w:r>
          </w:p>
        </w:tc>
        <w:tc>
          <w:tcPr>
            <w:tcW w:w="902" w:type="dxa"/>
            <w:noWrap/>
            <w:hideMark/>
          </w:tcPr>
          <w:p w14:paraId="52312EA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0.0951</w:t>
            </w:r>
          </w:p>
        </w:tc>
        <w:tc>
          <w:tcPr>
            <w:tcW w:w="957" w:type="dxa"/>
            <w:noWrap/>
            <w:hideMark/>
          </w:tcPr>
          <w:p w14:paraId="43D7A664"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50</w:t>
            </w:r>
          </w:p>
        </w:tc>
        <w:tc>
          <w:tcPr>
            <w:tcW w:w="957" w:type="dxa"/>
            <w:noWrap/>
            <w:hideMark/>
          </w:tcPr>
          <w:p w14:paraId="43172F7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10</w:t>
            </w:r>
          </w:p>
        </w:tc>
        <w:tc>
          <w:tcPr>
            <w:tcW w:w="957" w:type="dxa"/>
            <w:noWrap/>
            <w:hideMark/>
          </w:tcPr>
          <w:p w14:paraId="6B8563C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-10</w:t>
            </w:r>
          </w:p>
        </w:tc>
      </w:tr>
      <w:tr w:rsidR="00030605" w:rsidRPr="00030605" w14:paraId="71C27475" w14:textId="77777777" w:rsidTr="002B1136">
        <w:trPr>
          <w:trHeight w:val="320"/>
        </w:trPr>
        <w:tc>
          <w:tcPr>
            <w:tcW w:w="2972" w:type="dxa"/>
            <w:noWrap/>
            <w:hideMark/>
          </w:tcPr>
          <w:p w14:paraId="7F56D70E"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Lateral Occipital Cortex, inferior division</w:t>
            </w:r>
          </w:p>
        </w:tc>
        <w:tc>
          <w:tcPr>
            <w:tcW w:w="1564" w:type="dxa"/>
            <w:noWrap/>
            <w:hideMark/>
          </w:tcPr>
          <w:p w14:paraId="41852B99"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Left</w:t>
            </w:r>
          </w:p>
        </w:tc>
        <w:tc>
          <w:tcPr>
            <w:tcW w:w="1041" w:type="dxa"/>
            <w:noWrap/>
            <w:hideMark/>
          </w:tcPr>
          <w:p w14:paraId="2CE65BA2"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w:t>
            </w:r>
          </w:p>
        </w:tc>
        <w:tc>
          <w:tcPr>
            <w:tcW w:w="902" w:type="dxa"/>
            <w:noWrap/>
            <w:hideMark/>
          </w:tcPr>
          <w:p w14:paraId="1C562188"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0.134</w:t>
            </w:r>
          </w:p>
        </w:tc>
        <w:tc>
          <w:tcPr>
            <w:tcW w:w="957" w:type="dxa"/>
            <w:noWrap/>
            <w:hideMark/>
          </w:tcPr>
          <w:p w14:paraId="2F51236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-52</w:t>
            </w:r>
          </w:p>
        </w:tc>
        <w:tc>
          <w:tcPr>
            <w:tcW w:w="957" w:type="dxa"/>
            <w:noWrap/>
            <w:hideMark/>
          </w:tcPr>
          <w:p w14:paraId="56C87E8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-64</w:t>
            </w:r>
          </w:p>
        </w:tc>
        <w:tc>
          <w:tcPr>
            <w:tcW w:w="957" w:type="dxa"/>
            <w:noWrap/>
            <w:hideMark/>
          </w:tcPr>
          <w:p w14:paraId="64AA3BB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w:t>
            </w:r>
          </w:p>
        </w:tc>
      </w:tr>
      <w:tr w:rsidR="00030605" w:rsidRPr="00030605" w14:paraId="222A8348" w14:textId="77777777" w:rsidTr="002B1136">
        <w:trPr>
          <w:trHeight w:val="320"/>
        </w:trPr>
        <w:tc>
          <w:tcPr>
            <w:tcW w:w="2972" w:type="dxa"/>
            <w:noWrap/>
            <w:hideMark/>
          </w:tcPr>
          <w:p w14:paraId="4BFAB28D"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Superior Temporal Gyrus, posterior division</w:t>
            </w:r>
          </w:p>
        </w:tc>
        <w:tc>
          <w:tcPr>
            <w:tcW w:w="1564" w:type="dxa"/>
            <w:noWrap/>
            <w:hideMark/>
          </w:tcPr>
          <w:p w14:paraId="6BA0A369"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0CA9EB55"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w:t>
            </w:r>
          </w:p>
        </w:tc>
        <w:tc>
          <w:tcPr>
            <w:tcW w:w="902" w:type="dxa"/>
            <w:noWrap/>
            <w:hideMark/>
          </w:tcPr>
          <w:p w14:paraId="6DB5DCD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0.146</w:t>
            </w:r>
          </w:p>
        </w:tc>
        <w:tc>
          <w:tcPr>
            <w:tcW w:w="957" w:type="dxa"/>
            <w:noWrap/>
            <w:hideMark/>
          </w:tcPr>
          <w:p w14:paraId="74E6107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66</w:t>
            </w:r>
          </w:p>
        </w:tc>
        <w:tc>
          <w:tcPr>
            <w:tcW w:w="957" w:type="dxa"/>
            <w:noWrap/>
            <w:hideMark/>
          </w:tcPr>
          <w:p w14:paraId="3911FEA5"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-28</w:t>
            </w:r>
          </w:p>
        </w:tc>
        <w:tc>
          <w:tcPr>
            <w:tcW w:w="957" w:type="dxa"/>
            <w:noWrap/>
            <w:hideMark/>
          </w:tcPr>
          <w:p w14:paraId="0262C4F4"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8</w:t>
            </w:r>
          </w:p>
        </w:tc>
      </w:tr>
      <w:tr w:rsidR="00030605" w:rsidRPr="00030605" w14:paraId="6C7BCE95" w14:textId="77777777" w:rsidTr="002B1136">
        <w:trPr>
          <w:trHeight w:val="320"/>
        </w:trPr>
        <w:tc>
          <w:tcPr>
            <w:tcW w:w="2972" w:type="dxa"/>
            <w:noWrap/>
            <w:hideMark/>
          </w:tcPr>
          <w:p w14:paraId="53FB354D"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 xml:space="preserve">Planum </w:t>
            </w:r>
            <w:proofErr w:type="spellStart"/>
            <w:r w:rsidRPr="00030605">
              <w:rPr>
                <w:rFonts w:ascii="Times New Roman" w:eastAsia="Times New Roman" w:hAnsi="Times New Roman" w:cs="Times New Roman"/>
                <w:color w:val="000000" w:themeColor="text1"/>
                <w:kern w:val="0"/>
                <w14:ligatures w14:val="none"/>
              </w:rPr>
              <w:t>Temporale</w:t>
            </w:r>
            <w:proofErr w:type="spellEnd"/>
          </w:p>
        </w:tc>
        <w:tc>
          <w:tcPr>
            <w:tcW w:w="1564" w:type="dxa"/>
            <w:noWrap/>
            <w:hideMark/>
          </w:tcPr>
          <w:p w14:paraId="6738BB23"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Left</w:t>
            </w:r>
          </w:p>
        </w:tc>
        <w:tc>
          <w:tcPr>
            <w:tcW w:w="1041" w:type="dxa"/>
            <w:noWrap/>
            <w:hideMark/>
          </w:tcPr>
          <w:p w14:paraId="06702AB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w:t>
            </w:r>
          </w:p>
        </w:tc>
        <w:tc>
          <w:tcPr>
            <w:tcW w:w="902" w:type="dxa"/>
            <w:noWrap/>
            <w:hideMark/>
          </w:tcPr>
          <w:p w14:paraId="1822C79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0.143</w:t>
            </w:r>
          </w:p>
        </w:tc>
        <w:tc>
          <w:tcPr>
            <w:tcW w:w="957" w:type="dxa"/>
            <w:noWrap/>
            <w:hideMark/>
          </w:tcPr>
          <w:p w14:paraId="0950501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-60</w:t>
            </w:r>
          </w:p>
        </w:tc>
        <w:tc>
          <w:tcPr>
            <w:tcW w:w="957" w:type="dxa"/>
            <w:noWrap/>
            <w:hideMark/>
          </w:tcPr>
          <w:p w14:paraId="691D4078"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-30</w:t>
            </w:r>
          </w:p>
        </w:tc>
        <w:tc>
          <w:tcPr>
            <w:tcW w:w="957" w:type="dxa"/>
            <w:noWrap/>
            <w:hideMark/>
          </w:tcPr>
          <w:p w14:paraId="223F2BB0"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10</w:t>
            </w:r>
          </w:p>
        </w:tc>
      </w:tr>
      <w:tr w:rsidR="00030605" w:rsidRPr="00030605" w14:paraId="2EF73D47" w14:textId="77777777" w:rsidTr="002B1136">
        <w:trPr>
          <w:trHeight w:val="320"/>
        </w:trPr>
        <w:tc>
          <w:tcPr>
            <w:tcW w:w="2972" w:type="dxa"/>
            <w:noWrap/>
            <w:hideMark/>
          </w:tcPr>
          <w:p w14:paraId="64B12D8D"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Temporal Pole</w:t>
            </w:r>
          </w:p>
        </w:tc>
        <w:tc>
          <w:tcPr>
            <w:tcW w:w="1564" w:type="dxa"/>
            <w:noWrap/>
            <w:hideMark/>
          </w:tcPr>
          <w:p w14:paraId="7C2D6AFD"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756E53E8"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w:t>
            </w:r>
          </w:p>
        </w:tc>
        <w:tc>
          <w:tcPr>
            <w:tcW w:w="902" w:type="dxa"/>
            <w:noWrap/>
            <w:hideMark/>
          </w:tcPr>
          <w:p w14:paraId="2495EFF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0.109</w:t>
            </w:r>
          </w:p>
        </w:tc>
        <w:tc>
          <w:tcPr>
            <w:tcW w:w="957" w:type="dxa"/>
            <w:noWrap/>
            <w:hideMark/>
          </w:tcPr>
          <w:p w14:paraId="27243E09"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58</w:t>
            </w:r>
          </w:p>
        </w:tc>
        <w:tc>
          <w:tcPr>
            <w:tcW w:w="957" w:type="dxa"/>
            <w:noWrap/>
            <w:hideMark/>
          </w:tcPr>
          <w:p w14:paraId="346CAE8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10</w:t>
            </w:r>
          </w:p>
        </w:tc>
        <w:tc>
          <w:tcPr>
            <w:tcW w:w="957" w:type="dxa"/>
            <w:noWrap/>
            <w:hideMark/>
          </w:tcPr>
          <w:p w14:paraId="4870EB14"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w:t>
            </w:r>
          </w:p>
        </w:tc>
      </w:tr>
      <w:tr w:rsidR="00030605" w:rsidRPr="00030605" w14:paraId="6648C587" w14:textId="77777777" w:rsidTr="002B1136">
        <w:trPr>
          <w:trHeight w:val="320"/>
        </w:trPr>
        <w:tc>
          <w:tcPr>
            <w:tcW w:w="2972" w:type="dxa"/>
            <w:noWrap/>
            <w:hideMark/>
          </w:tcPr>
          <w:p w14:paraId="5DF68C8E"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Middle Temporal Gyrus, temporooccipital part</w:t>
            </w:r>
          </w:p>
        </w:tc>
        <w:tc>
          <w:tcPr>
            <w:tcW w:w="1564" w:type="dxa"/>
            <w:noWrap/>
            <w:hideMark/>
          </w:tcPr>
          <w:p w14:paraId="567B1387"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Left</w:t>
            </w:r>
          </w:p>
        </w:tc>
        <w:tc>
          <w:tcPr>
            <w:tcW w:w="1041" w:type="dxa"/>
            <w:noWrap/>
            <w:hideMark/>
          </w:tcPr>
          <w:p w14:paraId="4AA90A1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w:t>
            </w:r>
          </w:p>
        </w:tc>
        <w:tc>
          <w:tcPr>
            <w:tcW w:w="902" w:type="dxa"/>
            <w:noWrap/>
            <w:hideMark/>
          </w:tcPr>
          <w:p w14:paraId="51F6063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0.108</w:t>
            </w:r>
          </w:p>
        </w:tc>
        <w:tc>
          <w:tcPr>
            <w:tcW w:w="957" w:type="dxa"/>
            <w:noWrap/>
            <w:hideMark/>
          </w:tcPr>
          <w:p w14:paraId="6658C28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-46</w:t>
            </w:r>
          </w:p>
        </w:tc>
        <w:tc>
          <w:tcPr>
            <w:tcW w:w="957" w:type="dxa"/>
            <w:noWrap/>
            <w:hideMark/>
          </w:tcPr>
          <w:p w14:paraId="762C3D89"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-60</w:t>
            </w:r>
          </w:p>
        </w:tc>
        <w:tc>
          <w:tcPr>
            <w:tcW w:w="957" w:type="dxa"/>
            <w:noWrap/>
            <w:hideMark/>
          </w:tcPr>
          <w:p w14:paraId="1A41B85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w:t>
            </w:r>
          </w:p>
        </w:tc>
      </w:tr>
      <w:tr w:rsidR="00030605" w:rsidRPr="00030605" w14:paraId="1D8612DA" w14:textId="77777777" w:rsidTr="002B1136">
        <w:trPr>
          <w:trHeight w:val="320"/>
        </w:trPr>
        <w:tc>
          <w:tcPr>
            <w:tcW w:w="2972" w:type="dxa"/>
            <w:noWrap/>
            <w:hideMark/>
          </w:tcPr>
          <w:p w14:paraId="10CEBE89"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Lateral Occipital Cortex, inferior division</w:t>
            </w:r>
          </w:p>
        </w:tc>
        <w:tc>
          <w:tcPr>
            <w:tcW w:w="1564" w:type="dxa"/>
            <w:noWrap/>
            <w:hideMark/>
          </w:tcPr>
          <w:p w14:paraId="66705639"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7EA8BB58"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w:t>
            </w:r>
          </w:p>
        </w:tc>
        <w:tc>
          <w:tcPr>
            <w:tcW w:w="902" w:type="dxa"/>
            <w:noWrap/>
            <w:hideMark/>
          </w:tcPr>
          <w:p w14:paraId="2A281BBA"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0.142</w:t>
            </w:r>
          </w:p>
        </w:tc>
        <w:tc>
          <w:tcPr>
            <w:tcW w:w="957" w:type="dxa"/>
            <w:noWrap/>
            <w:hideMark/>
          </w:tcPr>
          <w:p w14:paraId="5FBC72A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48</w:t>
            </w:r>
          </w:p>
        </w:tc>
        <w:tc>
          <w:tcPr>
            <w:tcW w:w="957" w:type="dxa"/>
            <w:noWrap/>
            <w:hideMark/>
          </w:tcPr>
          <w:p w14:paraId="5B885B52"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-60</w:t>
            </w:r>
          </w:p>
        </w:tc>
        <w:tc>
          <w:tcPr>
            <w:tcW w:w="957" w:type="dxa"/>
            <w:noWrap/>
            <w:hideMark/>
          </w:tcPr>
          <w:p w14:paraId="1924380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14</w:t>
            </w:r>
          </w:p>
        </w:tc>
      </w:tr>
      <w:tr w:rsidR="00030605" w:rsidRPr="00030605" w14:paraId="07572786" w14:textId="77777777" w:rsidTr="002B1136">
        <w:trPr>
          <w:trHeight w:val="320"/>
        </w:trPr>
        <w:tc>
          <w:tcPr>
            <w:tcW w:w="2972" w:type="dxa"/>
            <w:noWrap/>
            <w:hideMark/>
          </w:tcPr>
          <w:p w14:paraId="3B8DF26A"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Temporal Fusiform Cortex, posterior division</w:t>
            </w:r>
          </w:p>
        </w:tc>
        <w:tc>
          <w:tcPr>
            <w:tcW w:w="1564" w:type="dxa"/>
            <w:noWrap/>
            <w:hideMark/>
          </w:tcPr>
          <w:p w14:paraId="4F998F58"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041" w:type="dxa"/>
            <w:noWrap/>
            <w:hideMark/>
          </w:tcPr>
          <w:p w14:paraId="511CFDB5"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w:t>
            </w:r>
          </w:p>
        </w:tc>
        <w:tc>
          <w:tcPr>
            <w:tcW w:w="902" w:type="dxa"/>
            <w:noWrap/>
            <w:hideMark/>
          </w:tcPr>
          <w:p w14:paraId="603DE15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0.0755</w:t>
            </w:r>
          </w:p>
        </w:tc>
        <w:tc>
          <w:tcPr>
            <w:tcW w:w="957" w:type="dxa"/>
            <w:noWrap/>
            <w:hideMark/>
          </w:tcPr>
          <w:p w14:paraId="40F9D51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32</w:t>
            </w:r>
          </w:p>
        </w:tc>
        <w:tc>
          <w:tcPr>
            <w:tcW w:w="957" w:type="dxa"/>
            <w:noWrap/>
            <w:hideMark/>
          </w:tcPr>
          <w:p w14:paraId="4B70A61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-26</w:t>
            </w:r>
          </w:p>
        </w:tc>
        <w:tc>
          <w:tcPr>
            <w:tcW w:w="957" w:type="dxa"/>
            <w:noWrap/>
            <w:hideMark/>
          </w:tcPr>
          <w:p w14:paraId="3BA0151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-28</w:t>
            </w:r>
          </w:p>
        </w:tc>
      </w:tr>
      <w:tr w:rsidR="00030605" w:rsidRPr="00030605" w14:paraId="49E2C2C3" w14:textId="77777777" w:rsidTr="002B1136">
        <w:trPr>
          <w:trHeight w:val="320"/>
        </w:trPr>
        <w:tc>
          <w:tcPr>
            <w:tcW w:w="2972" w:type="dxa"/>
            <w:noWrap/>
            <w:hideMark/>
          </w:tcPr>
          <w:p w14:paraId="3593EA51"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 xml:space="preserve">Left </w:t>
            </w:r>
            <w:proofErr w:type="spellStart"/>
            <w:r w:rsidRPr="00030605">
              <w:rPr>
                <w:rFonts w:ascii="Times New Roman" w:eastAsia="Times New Roman" w:hAnsi="Times New Roman" w:cs="Times New Roman"/>
                <w:color w:val="000000" w:themeColor="text1"/>
                <w:kern w:val="0"/>
                <w14:ligatures w14:val="none"/>
              </w:rPr>
              <w:t>VIIb</w:t>
            </w:r>
            <w:proofErr w:type="spellEnd"/>
          </w:p>
        </w:tc>
        <w:tc>
          <w:tcPr>
            <w:tcW w:w="1564" w:type="dxa"/>
            <w:noWrap/>
            <w:hideMark/>
          </w:tcPr>
          <w:p w14:paraId="0690E678"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Left</w:t>
            </w:r>
          </w:p>
        </w:tc>
        <w:tc>
          <w:tcPr>
            <w:tcW w:w="1041" w:type="dxa"/>
            <w:noWrap/>
            <w:hideMark/>
          </w:tcPr>
          <w:p w14:paraId="7FE6302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w:t>
            </w:r>
          </w:p>
        </w:tc>
        <w:tc>
          <w:tcPr>
            <w:tcW w:w="902" w:type="dxa"/>
            <w:noWrap/>
            <w:hideMark/>
          </w:tcPr>
          <w:p w14:paraId="3CD34375"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0.0774</w:t>
            </w:r>
          </w:p>
        </w:tc>
        <w:tc>
          <w:tcPr>
            <w:tcW w:w="957" w:type="dxa"/>
            <w:noWrap/>
            <w:hideMark/>
          </w:tcPr>
          <w:p w14:paraId="0FCFA4D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-38</w:t>
            </w:r>
          </w:p>
        </w:tc>
        <w:tc>
          <w:tcPr>
            <w:tcW w:w="957" w:type="dxa"/>
            <w:noWrap/>
            <w:hideMark/>
          </w:tcPr>
          <w:p w14:paraId="2BF29A14"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-42</w:t>
            </w:r>
          </w:p>
        </w:tc>
        <w:tc>
          <w:tcPr>
            <w:tcW w:w="957" w:type="dxa"/>
            <w:noWrap/>
            <w:hideMark/>
          </w:tcPr>
          <w:p w14:paraId="150DB4E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-50</w:t>
            </w:r>
          </w:p>
        </w:tc>
      </w:tr>
    </w:tbl>
    <w:p w14:paraId="6D194DC4" w14:textId="77777777" w:rsidR="00755F81" w:rsidRPr="00030605" w:rsidRDefault="00755F81" w:rsidP="00755F81">
      <w:pPr>
        <w:jc w:val="center"/>
        <w:rPr>
          <w:rFonts w:ascii="Times New Roman" w:hAnsi="Times New Roman" w:cs="Times New Roman"/>
          <w:b/>
          <w:bCs/>
          <w:color w:val="000000" w:themeColor="text1"/>
        </w:rPr>
      </w:pPr>
    </w:p>
    <w:p w14:paraId="2D2CC9DE" w14:textId="51AC786B" w:rsidR="00755F81" w:rsidRPr="00030605" w:rsidRDefault="00755F81" w:rsidP="00755F81">
      <w:pPr>
        <w:rPr>
          <w:rFonts w:ascii="Times New Roman" w:hAnsi="Times New Roman" w:cs="Times New Roman"/>
          <w:b/>
          <w:bCs/>
          <w:color w:val="000000" w:themeColor="text1"/>
        </w:rPr>
      </w:pPr>
      <w:r w:rsidRPr="00030605">
        <w:rPr>
          <w:rFonts w:ascii="Times New Roman" w:hAnsi="Times New Roman" w:cs="Times New Roman"/>
          <w:b/>
          <w:bCs/>
          <w:color w:val="000000" w:themeColor="text1"/>
        </w:rPr>
        <w:t>Table S2</w:t>
      </w:r>
    </w:p>
    <w:p w14:paraId="6E76D98E" w14:textId="77777777" w:rsidR="00755F81" w:rsidRPr="00030605" w:rsidRDefault="00755F81" w:rsidP="00755F81">
      <w:pPr>
        <w:rPr>
          <w:rFonts w:ascii="Times New Roman" w:hAnsi="Times New Roman" w:cs="Times New Roman"/>
          <w:b/>
          <w:bCs/>
          <w:color w:val="000000" w:themeColor="text1"/>
        </w:rPr>
      </w:pPr>
    </w:p>
    <w:p w14:paraId="579DABBE" w14:textId="62CEA655" w:rsidR="00755F81" w:rsidRPr="00030605" w:rsidRDefault="00755F81" w:rsidP="00755F81">
      <w:pPr>
        <w:rPr>
          <w:rFonts w:ascii="Times New Roman" w:hAnsi="Times New Roman" w:cs="Times New Roman"/>
          <w:i/>
          <w:iCs/>
          <w:color w:val="000000" w:themeColor="text1"/>
        </w:rPr>
      </w:pPr>
      <w:r w:rsidRPr="00030605">
        <w:rPr>
          <w:rFonts w:ascii="Times New Roman" w:hAnsi="Times New Roman" w:cs="Times New Roman"/>
          <w:i/>
          <w:iCs/>
          <w:color w:val="000000" w:themeColor="text1"/>
        </w:rPr>
        <w:t xml:space="preserve">Coordinates and cluster sizes for higher ISC in the control group compared to the </w:t>
      </w:r>
      <w:r w:rsidR="002B1136" w:rsidRPr="00030605">
        <w:rPr>
          <w:rFonts w:ascii="Times New Roman" w:hAnsi="Times New Roman" w:cs="Times New Roman"/>
          <w:i/>
          <w:iCs/>
          <w:color w:val="000000" w:themeColor="text1"/>
        </w:rPr>
        <w:t xml:space="preserve">probable </w:t>
      </w:r>
      <w:r w:rsidRPr="00030605">
        <w:rPr>
          <w:rFonts w:ascii="Times New Roman" w:hAnsi="Times New Roman" w:cs="Times New Roman"/>
          <w:i/>
          <w:iCs/>
          <w:color w:val="000000" w:themeColor="text1"/>
        </w:rPr>
        <w:t xml:space="preserve">migraine group in response to the </w:t>
      </w:r>
      <w:r w:rsidR="00FB58A8" w:rsidRPr="00030605">
        <w:rPr>
          <w:rFonts w:ascii="Times New Roman" w:hAnsi="Times New Roman" w:cs="Times New Roman"/>
          <w:i/>
          <w:iCs/>
          <w:color w:val="000000" w:themeColor="text1"/>
        </w:rPr>
        <w:t>negative valence, high arousal</w:t>
      </w:r>
      <w:r w:rsidRPr="00030605">
        <w:rPr>
          <w:rFonts w:ascii="Times New Roman" w:hAnsi="Times New Roman" w:cs="Times New Roman"/>
          <w:i/>
          <w:iCs/>
          <w:color w:val="000000" w:themeColor="text1"/>
        </w:rPr>
        <w:t xml:space="preserve"> film. </w:t>
      </w:r>
    </w:p>
    <w:p w14:paraId="1D5A87AF" w14:textId="77777777" w:rsidR="00644BAC" w:rsidRPr="00030605" w:rsidRDefault="00644BAC" w:rsidP="00755F81">
      <w:pPr>
        <w:rPr>
          <w:rFonts w:ascii="Times New Roman" w:hAnsi="Times New Roman" w:cs="Times New Roman"/>
          <w:i/>
          <w:iCs/>
          <w:color w:val="000000" w:themeColor="text1"/>
        </w:rPr>
      </w:pPr>
    </w:p>
    <w:tbl>
      <w:tblPr>
        <w:tblStyle w:val="TableGrid"/>
        <w:tblW w:w="0" w:type="auto"/>
        <w:tblLook w:val="04A0" w:firstRow="1" w:lastRow="0" w:firstColumn="1" w:lastColumn="0" w:noHBand="0" w:noVBand="1"/>
      </w:tblPr>
      <w:tblGrid>
        <w:gridCol w:w="2957"/>
        <w:gridCol w:w="1580"/>
        <w:gridCol w:w="1108"/>
        <w:gridCol w:w="876"/>
        <w:gridCol w:w="943"/>
        <w:gridCol w:w="943"/>
        <w:gridCol w:w="943"/>
      </w:tblGrid>
      <w:tr w:rsidR="00030605" w:rsidRPr="00030605" w14:paraId="259D4F01" w14:textId="77777777" w:rsidTr="002B1136">
        <w:trPr>
          <w:trHeight w:val="320"/>
        </w:trPr>
        <w:tc>
          <w:tcPr>
            <w:tcW w:w="2959" w:type="dxa"/>
            <w:noWrap/>
            <w:hideMark/>
          </w:tcPr>
          <w:p w14:paraId="399C002D"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Anatomical Location</w:t>
            </w:r>
          </w:p>
        </w:tc>
        <w:tc>
          <w:tcPr>
            <w:tcW w:w="1581" w:type="dxa"/>
            <w:noWrap/>
            <w:hideMark/>
          </w:tcPr>
          <w:p w14:paraId="30BF8D8C"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Hemisphere</w:t>
            </w:r>
          </w:p>
        </w:tc>
        <w:tc>
          <w:tcPr>
            <w:tcW w:w="1108" w:type="dxa"/>
            <w:noWrap/>
            <w:hideMark/>
          </w:tcPr>
          <w:p w14:paraId="3FA60D79"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 of Voxels</w:t>
            </w:r>
          </w:p>
        </w:tc>
        <w:tc>
          <w:tcPr>
            <w:tcW w:w="873" w:type="dxa"/>
            <w:noWrap/>
            <w:hideMark/>
          </w:tcPr>
          <w:p w14:paraId="605FBE16"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MAX ISC</w:t>
            </w:r>
          </w:p>
        </w:tc>
        <w:tc>
          <w:tcPr>
            <w:tcW w:w="943" w:type="dxa"/>
            <w:noWrap/>
            <w:hideMark/>
          </w:tcPr>
          <w:p w14:paraId="540C37BE"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MAX x</w:t>
            </w:r>
          </w:p>
        </w:tc>
        <w:tc>
          <w:tcPr>
            <w:tcW w:w="943" w:type="dxa"/>
            <w:noWrap/>
            <w:hideMark/>
          </w:tcPr>
          <w:p w14:paraId="73C3677C"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MAX y</w:t>
            </w:r>
          </w:p>
        </w:tc>
        <w:tc>
          <w:tcPr>
            <w:tcW w:w="943" w:type="dxa"/>
            <w:noWrap/>
            <w:hideMark/>
          </w:tcPr>
          <w:p w14:paraId="2A65FCBB" w14:textId="77777777" w:rsidR="002B1136" w:rsidRPr="00030605" w:rsidRDefault="002B1136" w:rsidP="002B1136">
            <w:pPr>
              <w:rPr>
                <w:rFonts w:ascii="Times New Roman" w:eastAsia="Times New Roman" w:hAnsi="Times New Roman" w:cs="Times New Roman"/>
                <w:b/>
                <w:bCs/>
                <w:color w:val="000000" w:themeColor="text1"/>
                <w:kern w:val="0"/>
                <w14:ligatures w14:val="none"/>
              </w:rPr>
            </w:pPr>
            <w:r w:rsidRPr="00030605">
              <w:rPr>
                <w:rFonts w:ascii="Times New Roman" w:eastAsia="Times New Roman" w:hAnsi="Times New Roman" w:cs="Times New Roman"/>
                <w:b/>
                <w:bCs/>
                <w:color w:val="000000" w:themeColor="text1"/>
                <w:kern w:val="0"/>
                <w14:ligatures w14:val="none"/>
              </w:rPr>
              <w:t>MAX z</w:t>
            </w:r>
          </w:p>
        </w:tc>
      </w:tr>
      <w:tr w:rsidR="00030605" w:rsidRPr="00030605" w14:paraId="4F77E995" w14:textId="77777777" w:rsidTr="002B1136">
        <w:trPr>
          <w:trHeight w:val="320"/>
        </w:trPr>
        <w:tc>
          <w:tcPr>
            <w:tcW w:w="2959" w:type="dxa"/>
            <w:noWrap/>
            <w:hideMark/>
          </w:tcPr>
          <w:p w14:paraId="1EEC8E44"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Precuneus</w:t>
            </w:r>
          </w:p>
        </w:tc>
        <w:tc>
          <w:tcPr>
            <w:tcW w:w="1581" w:type="dxa"/>
            <w:noWrap/>
            <w:hideMark/>
          </w:tcPr>
          <w:p w14:paraId="741A8351"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108" w:type="dxa"/>
            <w:noWrap/>
            <w:hideMark/>
          </w:tcPr>
          <w:p w14:paraId="382CB89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12</w:t>
            </w:r>
          </w:p>
        </w:tc>
        <w:tc>
          <w:tcPr>
            <w:tcW w:w="873" w:type="dxa"/>
            <w:noWrap/>
            <w:hideMark/>
          </w:tcPr>
          <w:p w14:paraId="26B2E7A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0.124</w:t>
            </w:r>
          </w:p>
        </w:tc>
        <w:tc>
          <w:tcPr>
            <w:tcW w:w="943" w:type="dxa"/>
            <w:noWrap/>
            <w:hideMark/>
          </w:tcPr>
          <w:p w14:paraId="386DC73D"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20</w:t>
            </w:r>
          </w:p>
        </w:tc>
        <w:tc>
          <w:tcPr>
            <w:tcW w:w="943" w:type="dxa"/>
            <w:noWrap/>
            <w:hideMark/>
          </w:tcPr>
          <w:p w14:paraId="66813345"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-74</w:t>
            </w:r>
          </w:p>
        </w:tc>
        <w:tc>
          <w:tcPr>
            <w:tcW w:w="943" w:type="dxa"/>
            <w:noWrap/>
            <w:hideMark/>
          </w:tcPr>
          <w:p w14:paraId="0598BC2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34</w:t>
            </w:r>
          </w:p>
        </w:tc>
      </w:tr>
      <w:tr w:rsidR="00030605" w:rsidRPr="00030605" w14:paraId="0FCA680F" w14:textId="77777777" w:rsidTr="002B1136">
        <w:trPr>
          <w:trHeight w:val="320"/>
        </w:trPr>
        <w:tc>
          <w:tcPr>
            <w:tcW w:w="2959" w:type="dxa"/>
            <w:noWrap/>
            <w:hideMark/>
          </w:tcPr>
          <w:p w14:paraId="4648CDCC"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 xml:space="preserve">Planum </w:t>
            </w:r>
            <w:proofErr w:type="spellStart"/>
            <w:r w:rsidRPr="00030605">
              <w:rPr>
                <w:rFonts w:ascii="Times New Roman" w:eastAsia="Times New Roman" w:hAnsi="Times New Roman" w:cs="Times New Roman"/>
                <w:color w:val="000000" w:themeColor="text1"/>
                <w:kern w:val="0"/>
                <w14:ligatures w14:val="none"/>
              </w:rPr>
              <w:t>Temporale</w:t>
            </w:r>
            <w:proofErr w:type="spellEnd"/>
          </w:p>
        </w:tc>
        <w:tc>
          <w:tcPr>
            <w:tcW w:w="1581" w:type="dxa"/>
            <w:noWrap/>
            <w:hideMark/>
          </w:tcPr>
          <w:p w14:paraId="720BEEB0"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Left</w:t>
            </w:r>
          </w:p>
        </w:tc>
        <w:tc>
          <w:tcPr>
            <w:tcW w:w="1108" w:type="dxa"/>
            <w:noWrap/>
            <w:hideMark/>
          </w:tcPr>
          <w:p w14:paraId="4ED0BF2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8</w:t>
            </w:r>
          </w:p>
        </w:tc>
        <w:tc>
          <w:tcPr>
            <w:tcW w:w="873" w:type="dxa"/>
            <w:noWrap/>
            <w:hideMark/>
          </w:tcPr>
          <w:p w14:paraId="39417C74"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0.144</w:t>
            </w:r>
          </w:p>
        </w:tc>
        <w:tc>
          <w:tcPr>
            <w:tcW w:w="943" w:type="dxa"/>
            <w:noWrap/>
            <w:hideMark/>
          </w:tcPr>
          <w:p w14:paraId="205046B5"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-48</w:t>
            </w:r>
          </w:p>
        </w:tc>
        <w:tc>
          <w:tcPr>
            <w:tcW w:w="943" w:type="dxa"/>
            <w:noWrap/>
            <w:hideMark/>
          </w:tcPr>
          <w:p w14:paraId="42B55C0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-38</w:t>
            </w:r>
          </w:p>
        </w:tc>
        <w:tc>
          <w:tcPr>
            <w:tcW w:w="943" w:type="dxa"/>
            <w:noWrap/>
            <w:hideMark/>
          </w:tcPr>
          <w:p w14:paraId="429957C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16</w:t>
            </w:r>
          </w:p>
        </w:tc>
      </w:tr>
      <w:tr w:rsidR="00030605" w:rsidRPr="00030605" w14:paraId="7FBC853B" w14:textId="77777777" w:rsidTr="002B1136">
        <w:trPr>
          <w:trHeight w:val="320"/>
        </w:trPr>
        <w:tc>
          <w:tcPr>
            <w:tcW w:w="2959" w:type="dxa"/>
            <w:noWrap/>
            <w:hideMark/>
          </w:tcPr>
          <w:p w14:paraId="6306C257"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Occipital Pole</w:t>
            </w:r>
          </w:p>
        </w:tc>
        <w:tc>
          <w:tcPr>
            <w:tcW w:w="1581" w:type="dxa"/>
            <w:noWrap/>
            <w:hideMark/>
          </w:tcPr>
          <w:p w14:paraId="155A7AF8"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108" w:type="dxa"/>
            <w:noWrap/>
            <w:hideMark/>
          </w:tcPr>
          <w:p w14:paraId="4B2C3D22"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w:t>
            </w:r>
          </w:p>
        </w:tc>
        <w:tc>
          <w:tcPr>
            <w:tcW w:w="873" w:type="dxa"/>
            <w:noWrap/>
            <w:hideMark/>
          </w:tcPr>
          <w:p w14:paraId="7B320E4D"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0.134</w:t>
            </w:r>
          </w:p>
        </w:tc>
        <w:tc>
          <w:tcPr>
            <w:tcW w:w="943" w:type="dxa"/>
            <w:noWrap/>
            <w:hideMark/>
          </w:tcPr>
          <w:p w14:paraId="4A5B8EB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10</w:t>
            </w:r>
          </w:p>
        </w:tc>
        <w:tc>
          <w:tcPr>
            <w:tcW w:w="943" w:type="dxa"/>
            <w:noWrap/>
            <w:hideMark/>
          </w:tcPr>
          <w:p w14:paraId="357EEE27"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-98</w:t>
            </w:r>
          </w:p>
        </w:tc>
        <w:tc>
          <w:tcPr>
            <w:tcW w:w="943" w:type="dxa"/>
            <w:noWrap/>
            <w:hideMark/>
          </w:tcPr>
          <w:p w14:paraId="618328AE"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w:t>
            </w:r>
          </w:p>
        </w:tc>
      </w:tr>
      <w:tr w:rsidR="00030605" w:rsidRPr="00030605" w14:paraId="61A080D6" w14:textId="77777777" w:rsidTr="002B1136">
        <w:trPr>
          <w:trHeight w:val="320"/>
        </w:trPr>
        <w:tc>
          <w:tcPr>
            <w:tcW w:w="2959" w:type="dxa"/>
            <w:noWrap/>
            <w:hideMark/>
          </w:tcPr>
          <w:p w14:paraId="7E502975"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Postcentral Gyrus</w:t>
            </w:r>
          </w:p>
        </w:tc>
        <w:tc>
          <w:tcPr>
            <w:tcW w:w="1581" w:type="dxa"/>
            <w:noWrap/>
            <w:hideMark/>
          </w:tcPr>
          <w:p w14:paraId="64536576"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Left</w:t>
            </w:r>
          </w:p>
        </w:tc>
        <w:tc>
          <w:tcPr>
            <w:tcW w:w="1108" w:type="dxa"/>
            <w:noWrap/>
            <w:hideMark/>
          </w:tcPr>
          <w:p w14:paraId="6E6858B9"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3</w:t>
            </w:r>
          </w:p>
        </w:tc>
        <w:tc>
          <w:tcPr>
            <w:tcW w:w="873" w:type="dxa"/>
            <w:noWrap/>
            <w:hideMark/>
          </w:tcPr>
          <w:p w14:paraId="3420B0E3"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0.0974</w:t>
            </w:r>
          </w:p>
        </w:tc>
        <w:tc>
          <w:tcPr>
            <w:tcW w:w="943" w:type="dxa"/>
            <w:noWrap/>
            <w:hideMark/>
          </w:tcPr>
          <w:p w14:paraId="652EBBB8"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-10</w:t>
            </w:r>
          </w:p>
        </w:tc>
        <w:tc>
          <w:tcPr>
            <w:tcW w:w="943" w:type="dxa"/>
            <w:noWrap/>
            <w:hideMark/>
          </w:tcPr>
          <w:p w14:paraId="4CE47815"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-44</w:t>
            </w:r>
          </w:p>
        </w:tc>
        <w:tc>
          <w:tcPr>
            <w:tcW w:w="943" w:type="dxa"/>
            <w:noWrap/>
            <w:hideMark/>
          </w:tcPr>
          <w:p w14:paraId="73DF893B"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78</w:t>
            </w:r>
          </w:p>
        </w:tc>
      </w:tr>
      <w:tr w:rsidR="00030605" w:rsidRPr="00030605" w14:paraId="3B40C7F1" w14:textId="77777777" w:rsidTr="002B1136">
        <w:trPr>
          <w:trHeight w:val="320"/>
        </w:trPr>
        <w:tc>
          <w:tcPr>
            <w:tcW w:w="2959" w:type="dxa"/>
            <w:noWrap/>
            <w:hideMark/>
          </w:tcPr>
          <w:p w14:paraId="657B7ADD"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Temporal Pole</w:t>
            </w:r>
          </w:p>
        </w:tc>
        <w:tc>
          <w:tcPr>
            <w:tcW w:w="1581" w:type="dxa"/>
            <w:noWrap/>
            <w:hideMark/>
          </w:tcPr>
          <w:p w14:paraId="4D256A6B"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108" w:type="dxa"/>
            <w:noWrap/>
            <w:hideMark/>
          </w:tcPr>
          <w:p w14:paraId="2F70678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w:t>
            </w:r>
          </w:p>
        </w:tc>
        <w:tc>
          <w:tcPr>
            <w:tcW w:w="873" w:type="dxa"/>
            <w:noWrap/>
            <w:hideMark/>
          </w:tcPr>
          <w:p w14:paraId="0641A6E1"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0.0803</w:t>
            </w:r>
          </w:p>
        </w:tc>
        <w:tc>
          <w:tcPr>
            <w:tcW w:w="943" w:type="dxa"/>
            <w:noWrap/>
            <w:hideMark/>
          </w:tcPr>
          <w:p w14:paraId="1FABB59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42</w:t>
            </w:r>
          </w:p>
        </w:tc>
        <w:tc>
          <w:tcPr>
            <w:tcW w:w="943" w:type="dxa"/>
            <w:noWrap/>
            <w:hideMark/>
          </w:tcPr>
          <w:p w14:paraId="19634ADD"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w:t>
            </w:r>
          </w:p>
        </w:tc>
        <w:tc>
          <w:tcPr>
            <w:tcW w:w="943" w:type="dxa"/>
            <w:noWrap/>
            <w:hideMark/>
          </w:tcPr>
          <w:p w14:paraId="113BB94F"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-42</w:t>
            </w:r>
          </w:p>
        </w:tc>
      </w:tr>
      <w:tr w:rsidR="00030605" w:rsidRPr="00030605" w14:paraId="5F2AFE25" w14:textId="77777777" w:rsidTr="002B1136">
        <w:trPr>
          <w:trHeight w:val="320"/>
        </w:trPr>
        <w:tc>
          <w:tcPr>
            <w:tcW w:w="2959" w:type="dxa"/>
            <w:noWrap/>
            <w:hideMark/>
          </w:tcPr>
          <w:p w14:paraId="3F4343E4"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Lateral Occipital Cortex, superior division</w:t>
            </w:r>
          </w:p>
        </w:tc>
        <w:tc>
          <w:tcPr>
            <w:tcW w:w="1581" w:type="dxa"/>
            <w:noWrap/>
            <w:hideMark/>
          </w:tcPr>
          <w:p w14:paraId="1290456B" w14:textId="77777777" w:rsidR="002B1136" w:rsidRPr="00030605" w:rsidRDefault="002B1136" w:rsidP="002B1136">
            <w:pPr>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Right</w:t>
            </w:r>
          </w:p>
        </w:tc>
        <w:tc>
          <w:tcPr>
            <w:tcW w:w="1108" w:type="dxa"/>
            <w:noWrap/>
            <w:hideMark/>
          </w:tcPr>
          <w:p w14:paraId="43C3C734"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w:t>
            </w:r>
          </w:p>
        </w:tc>
        <w:tc>
          <w:tcPr>
            <w:tcW w:w="873" w:type="dxa"/>
            <w:noWrap/>
            <w:hideMark/>
          </w:tcPr>
          <w:p w14:paraId="48BDEB9C"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0.107</w:t>
            </w:r>
          </w:p>
        </w:tc>
        <w:tc>
          <w:tcPr>
            <w:tcW w:w="943" w:type="dxa"/>
            <w:noWrap/>
            <w:hideMark/>
          </w:tcPr>
          <w:p w14:paraId="390491B8"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16</w:t>
            </w:r>
          </w:p>
        </w:tc>
        <w:tc>
          <w:tcPr>
            <w:tcW w:w="943" w:type="dxa"/>
            <w:noWrap/>
            <w:hideMark/>
          </w:tcPr>
          <w:p w14:paraId="7F5715B5"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-72</w:t>
            </w:r>
          </w:p>
        </w:tc>
        <w:tc>
          <w:tcPr>
            <w:tcW w:w="943" w:type="dxa"/>
            <w:noWrap/>
            <w:hideMark/>
          </w:tcPr>
          <w:p w14:paraId="4AE8C71A" w14:textId="77777777" w:rsidR="002B1136" w:rsidRPr="00030605" w:rsidRDefault="002B1136" w:rsidP="002B1136">
            <w:pPr>
              <w:jc w:val="right"/>
              <w:rPr>
                <w:rFonts w:ascii="Times New Roman" w:eastAsia="Times New Roman" w:hAnsi="Times New Roman" w:cs="Times New Roman"/>
                <w:color w:val="000000" w:themeColor="text1"/>
                <w:kern w:val="0"/>
                <w14:ligatures w14:val="none"/>
              </w:rPr>
            </w:pPr>
            <w:r w:rsidRPr="00030605">
              <w:rPr>
                <w:rFonts w:ascii="Times New Roman" w:eastAsia="Times New Roman" w:hAnsi="Times New Roman" w:cs="Times New Roman"/>
                <w:color w:val="000000" w:themeColor="text1"/>
                <w:kern w:val="0"/>
                <w14:ligatures w14:val="none"/>
              </w:rPr>
              <w:t>42</w:t>
            </w:r>
          </w:p>
        </w:tc>
      </w:tr>
    </w:tbl>
    <w:p w14:paraId="5A425AD7" w14:textId="77777777" w:rsidR="00644BAC" w:rsidRPr="00030605" w:rsidRDefault="00644BAC" w:rsidP="00755F81">
      <w:pPr>
        <w:rPr>
          <w:rFonts w:ascii="Times New Roman" w:hAnsi="Times New Roman" w:cs="Times New Roman"/>
          <w:i/>
          <w:iCs/>
          <w:color w:val="000000" w:themeColor="text1"/>
        </w:rPr>
      </w:pPr>
    </w:p>
    <w:p w14:paraId="0458120B" w14:textId="77777777" w:rsidR="00755F81" w:rsidRPr="00030605" w:rsidRDefault="00755F81" w:rsidP="00755F81">
      <w:pPr>
        <w:rPr>
          <w:rFonts w:ascii="Times New Roman" w:hAnsi="Times New Roman" w:cs="Times New Roman"/>
          <w:b/>
          <w:bCs/>
          <w:color w:val="000000" w:themeColor="text1"/>
        </w:rPr>
      </w:pPr>
    </w:p>
    <w:sectPr w:rsidR="00755F81" w:rsidRPr="000306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F81"/>
    <w:rsid w:val="00030605"/>
    <w:rsid w:val="002B1136"/>
    <w:rsid w:val="00340063"/>
    <w:rsid w:val="00517DCC"/>
    <w:rsid w:val="00533422"/>
    <w:rsid w:val="00644BAC"/>
    <w:rsid w:val="00755F81"/>
    <w:rsid w:val="008F319D"/>
    <w:rsid w:val="00A8012E"/>
    <w:rsid w:val="00AC6D71"/>
    <w:rsid w:val="00BD2CB2"/>
    <w:rsid w:val="00FB58A8"/>
    <w:rsid w:val="00FB63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1F292"/>
  <w15:chartTrackingRefBased/>
  <w15:docId w15:val="{A0382098-44E1-7E40-956E-24581AE5E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5F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5F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5F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F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F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F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F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F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F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F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F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F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F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F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F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F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F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F81"/>
    <w:rPr>
      <w:rFonts w:eastAsiaTheme="majorEastAsia" w:cstheme="majorBidi"/>
      <w:color w:val="272727" w:themeColor="text1" w:themeTint="D8"/>
    </w:rPr>
  </w:style>
  <w:style w:type="paragraph" w:styleId="Title">
    <w:name w:val="Title"/>
    <w:basedOn w:val="Normal"/>
    <w:next w:val="Normal"/>
    <w:link w:val="TitleChar"/>
    <w:uiPriority w:val="10"/>
    <w:qFormat/>
    <w:rsid w:val="00755F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F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F8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F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F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5F81"/>
    <w:rPr>
      <w:i/>
      <w:iCs/>
      <w:color w:val="404040" w:themeColor="text1" w:themeTint="BF"/>
    </w:rPr>
  </w:style>
  <w:style w:type="paragraph" w:styleId="ListParagraph">
    <w:name w:val="List Paragraph"/>
    <w:basedOn w:val="Normal"/>
    <w:uiPriority w:val="34"/>
    <w:qFormat/>
    <w:rsid w:val="00755F81"/>
    <w:pPr>
      <w:ind w:left="720"/>
      <w:contextualSpacing/>
    </w:pPr>
  </w:style>
  <w:style w:type="character" w:styleId="IntenseEmphasis">
    <w:name w:val="Intense Emphasis"/>
    <w:basedOn w:val="DefaultParagraphFont"/>
    <w:uiPriority w:val="21"/>
    <w:qFormat/>
    <w:rsid w:val="00755F81"/>
    <w:rPr>
      <w:i/>
      <w:iCs/>
      <w:color w:val="0F4761" w:themeColor="accent1" w:themeShade="BF"/>
    </w:rPr>
  </w:style>
  <w:style w:type="paragraph" w:styleId="IntenseQuote">
    <w:name w:val="Intense Quote"/>
    <w:basedOn w:val="Normal"/>
    <w:next w:val="Normal"/>
    <w:link w:val="IntenseQuoteChar"/>
    <w:uiPriority w:val="30"/>
    <w:qFormat/>
    <w:rsid w:val="00755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F81"/>
    <w:rPr>
      <w:i/>
      <w:iCs/>
      <w:color w:val="0F4761" w:themeColor="accent1" w:themeShade="BF"/>
    </w:rPr>
  </w:style>
  <w:style w:type="character" w:styleId="IntenseReference">
    <w:name w:val="Intense Reference"/>
    <w:basedOn w:val="DefaultParagraphFont"/>
    <w:uiPriority w:val="32"/>
    <w:qFormat/>
    <w:rsid w:val="00755F81"/>
    <w:rPr>
      <w:b/>
      <w:bCs/>
      <w:smallCaps/>
      <w:color w:val="0F4761" w:themeColor="accent1" w:themeShade="BF"/>
      <w:spacing w:val="5"/>
    </w:rPr>
  </w:style>
  <w:style w:type="table" w:styleId="TableGrid">
    <w:name w:val="Table Grid"/>
    <w:basedOn w:val="TableNormal"/>
    <w:uiPriority w:val="39"/>
    <w:rsid w:val="00755F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D2CB2"/>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BD2CB2"/>
  </w:style>
  <w:style w:type="character" w:styleId="Emphasis">
    <w:name w:val="Emphasis"/>
    <w:basedOn w:val="DefaultParagraphFont"/>
    <w:uiPriority w:val="20"/>
    <w:qFormat/>
    <w:rsid w:val="00BD2CB2"/>
    <w:rPr>
      <w:i/>
      <w:iCs/>
    </w:rPr>
  </w:style>
  <w:style w:type="character" w:customStyle="1" w:styleId="gmail-citation">
    <w:name w:val="gmail-citation"/>
    <w:basedOn w:val="DefaultParagraphFont"/>
    <w:rsid w:val="00BD2CB2"/>
  </w:style>
  <w:style w:type="character" w:styleId="HTMLCode">
    <w:name w:val="HTML Code"/>
    <w:basedOn w:val="DefaultParagraphFont"/>
    <w:uiPriority w:val="99"/>
    <w:semiHidden/>
    <w:unhideWhenUsed/>
    <w:rsid w:val="00BD2CB2"/>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8F319D"/>
    <w:rPr>
      <w:sz w:val="16"/>
      <w:szCs w:val="16"/>
    </w:rPr>
  </w:style>
  <w:style w:type="paragraph" w:styleId="CommentText">
    <w:name w:val="annotation text"/>
    <w:basedOn w:val="Normal"/>
    <w:link w:val="CommentTextChar"/>
    <w:uiPriority w:val="99"/>
    <w:semiHidden/>
    <w:unhideWhenUsed/>
    <w:rsid w:val="008F319D"/>
    <w:rPr>
      <w:sz w:val="20"/>
      <w:szCs w:val="20"/>
    </w:rPr>
  </w:style>
  <w:style w:type="character" w:customStyle="1" w:styleId="CommentTextChar">
    <w:name w:val="Comment Text Char"/>
    <w:basedOn w:val="DefaultParagraphFont"/>
    <w:link w:val="CommentText"/>
    <w:uiPriority w:val="99"/>
    <w:semiHidden/>
    <w:rsid w:val="008F319D"/>
    <w:rPr>
      <w:sz w:val="20"/>
      <w:szCs w:val="20"/>
    </w:rPr>
  </w:style>
  <w:style w:type="paragraph" w:styleId="CommentSubject">
    <w:name w:val="annotation subject"/>
    <w:basedOn w:val="CommentText"/>
    <w:next w:val="CommentText"/>
    <w:link w:val="CommentSubjectChar"/>
    <w:uiPriority w:val="99"/>
    <w:semiHidden/>
    <w:unhideWhenUsed/>
    <w:rsid w:val="008F319D"/>
    <w:rPr>
      <w:b/>
      <w:bCs/>
    </w:rPr>
  </w:style>
  <w:style w:type="character" w:customStyle="1" w:styleId="CommentSubjectChar">
    <w:name w:val="Comment Subject Char"/>
    <w:basedOn w:val="CommentTextChar"/>
    <w:link w:val="CommentSubject"/>
    <w:uiPriority w:val="99"/>
    <w:semiHidden/>
    <w:rsid w:val="008F319D"/>
    <w:rPr>
      <w:b/>
      <w:bCs/>
      <w:sz w:val="20"/>
      <w:szCs w:val="20"/>
    </w:rPr>
  </w:style>
  <w:style w:type="paragraph" w:styleId="BalloonText">
    <w:name w:val="Balloon Text"/>
    <w:basedOn w:val="Normal"/>
    <w:link w:val="BalloonTextChar"/>
    <w:uiPriority w:val="99"/>
    <w:semiHidden/>
    <w:unhideWhenUsed/>
    <w:rsid w:val="008F31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19D"/>
    <w:rPr>
      <w:rFonts w:ascii="Segoe UI" w:hAnsi="Segoe UI" w:cs="Segoe UI"/>
      <w:sz w:val="18"/>
      <w:szCs w:val="18"/>
    </w:rPr>
  </w:style>
  <w:style w:type="paragraph" w:styleId="Revision">
    <w:name w:val="Revision"/>
    <w:hidden/>
    <w:uiPriority w:val="99"/>
    <w:semiHidden/>
    <w:rsid w:val="00AC6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96832">
      <w:bodyDiv w:val="1"/>
      <w:marLeft w:val="0"/>
      <w:marRight w:val="0"/>
      <w:marTop w:val="0"/>
      <w:marBottom w:val="0"/>
      <w:divBdr>
        <w:top w:val="none" w:sz="0" w:space="0" w:color="auto"/>
        <w:left w:val="none" w:sz="0" w:space="0" w:color="auto"/>
        <w:bottom w:val="none" w:sz="0" w:space="0" w:color="auto"/>
        <w:right w:val="none" w:sz="0" w:space="0" w:color="auto"/>
      </w:divBdr>
    </w:div>
    <w:div w:id="80881355">
      <w:bodyDiv w:val="1"/>
      <w:marLeft w:val="0"/>
      <w:marRight w:val="0"/>
      <w:marTop w:val="0"/>
      <w:marBottom w:val="0"/>
      <w:divBdr>
        <w:top w:val="none" w:sz="0" w:space="0" w:color="auto"/>
        <w:left w:val="none" w:sz="0" w:space="0" w:color="auto"/>
        <w:bottom w:val="none" w:sz="0" w:space="0" w:color="auto"/>
        <w:right w:val="none" w:sz="0" w:space="0" w:color="auto"/>
      </w:divBdr>
    </w:div>
    <w:div w:id="257375011">
      <w:bodyDiv w:val="1"/>
      <w:marLeft w:val="0"/>
      <w:marRight w:val="0"/>
      <w:marTop w:val="0"/>
      <w:marBottom w:val="0"/>
      <w:divBdr>
        <w:top w:val="none" w:sz="0" w:space="0" w:color="auto"/>
        <w:left w:val="none" w:sz="0" w:space="0" w:color="auto"/>
        <w:bottom w:val="none" w:sz="0" w:space="0" w:color="auto"/>
        <w:right w:val="none" w:sz="0" w:space="0" w:color="auto"/>
      </w:divBdr>
    </w:div>
    <w:div w:id="260526958">
      <w:bodyDiv w:val="1"/>
      <w:marLeft w:val="0"/>
      <w:marRight w:val="0"/>
      <w:marTop w:val="0"/>
      <w:marBottom w:val="0"/>
      <w:divBdr>
        <w:top w:val="none" w:sz="0" w:space="0" w:color="auto"/>
        <w:left w:val="none" w:sz="0" w:space="0" w:color="auto"/>
        <w:bottom w:val="none" w:sz="0" w:space="0" w:color="auto"/>
        <w:right w:val="none" w:sz="0" w:space="0" w:color="auto"/>
      </w:divBdr>
    </w:div>
    <w:div w:id="292490075">
      <w:bodyDiv w:val="1"/>
      <w:marLeft w:val="0"/>
      <w:marRight w:val="0"/>
      <w:marTop w:val="0"/>
      <w:marBottom w:val="0"/>
      <w:divBdr>
        <w:top w:val="none" w:sz="0" w:space="0" w:color="auto"/>
        <w:left w:val="none" w:sz="0" w:space="0" w:color="auto"/>
        <w:bottom w:val="none" w:sz="0" w:space="0" w:color="auto"/>
        <w:right w:val="none" w:sz="0" w:space="0" w:color="auto"/>
      </w:divBdr>
    </w:div>
    <w:div w:id="335428577">
      <w:bodyDiv w:val="1"/>
      <w:marLeft w:val="0"/>
      <w:marRight w:val="0"/>
      <w:marTop w:val="0"/>
      <w:marBottom w:val="0"/>
      <w:divBdr>
        <w:top w:val="none" w:sz="0" w:space="0" w:color="auto"/>
        <w:left w:val="none" w:sz="0" w:space="0" w:color="auto"/>
        <w:bottom w:val="none" w:sz="0" w:space="0" w:color="auto"/>
        <w:right w:val="none" w:sz="0" w:space="0" w:color="auto"/>
      </w:divBdr>
    </w:div>
    <w:div w:id="345056035">
      <w:bodyDiv w:val="1"/>
      <w:marLeft w:val="0"/>
      <w:marRight w:val="0"/>
      <w:marTop w:val="0"/>
      <w:marBottom w:val="0"/>
      <w:divBdr>
        <w:top w:val="none" w:sz="0" w:space="0" w:color="auto"/>
        <w:left w:val="none" w:sz="0" w:space="0" w:color="auto"/>
        <w:bottom w:val="none" w:sz="0" w:space="0" w:color="auto"/>
        <w:right w:val="none" w:sz="0" w:space="0" w:color="auto"/>
      </w:divBdr>
    </w:div>
    <w:div w:id="377897234">
      <w:bodyDiv w:val="1"/>
      <w:marLeft w:val="0"/>
      <w:marRight w:val="0"/>
      <w:marTop w:val="0"/>
      <w:marBottom w:val="0"/>
      <w:divBdr>
        <w:top w:val="none" w:sz="0" w:space="0" w:color="auto"/>
        <w:left w:val="none" w:sz="0" w:space="0" w:color="auto"/>
        <w:bottom w:val="none" w:sz="0" w:space="0" w:color="auto"/>
        <w:right w:val="none" w:sz="0" w:space="0" w:color="auto"/>
      </w:divBdr>
    </w:div>
    <w:div w:id="461775780">
      <w:bodyDiv w:val="1"/>
      <w:marLeft w:val="0"/>
      <w:marRight w:val="0"/>
      <w:marTop w:val="0"/>
      <w:marBottom w:val="0"/>
      <w:divBdr>
        <w:top w:val="none" w:sz="0" w:space="0" w:color="auto"/>
        <w:left w:val="none" w:sz="0" w:space="0" w:color="auto"/>
        <w:bottom w:val="none" w:sz="0" w:space="0" w:color="auto"/>
        <w:right w:val="none" w:sz="0" w:space="0" w:color="auto"/>
      </w:divBdr>
    </w:div>
    <w:div w:id="464466804">
      <w:bodyDiv w:val="1"/>
      <w:marLeft w:val="0"/>
      <w:marRight w:val="0"/>
      <w:marTop w:val="0"/>
      <w:marBottom w:val="0"/>
      <w:divBdr>
        <w:top w:val="none" w:sz="0" w:space="0" w:color="auto"/>
        <w:left w:val="none" w:sz="0" w:space="0" w:color="auto"/>
        <w:bottom w:val="none" w:sz="0" w:space="0" w:color="auto"/>
        <w:right w:val="none" w:sz="0" w:space="0" w:color="auto"/>
      </w:divBdr>
    </w:div>
    <w:div w:id="468980274">
      <w:bodyDiv w:val="1"/>
      <w:marLeft w:val="0"/>
      <w:marRight w:val="0"/>
      <w:marTop w:val="0"/>
      <w:marBottom w:val="0"/>
      <w:divBdr>
        <w:top w:val="none" w:sz="0" w:space="0" w:color="auto"/>
        <w:left w:val="none" w:sz="0" w:space="0" w:color="auto"/>
        <w:bottom w:val="none" w:sz="0" w:space="0" w:color="auto"/>
        <w:right w:val="none" w:sz="0" w:space="0" w:color="auto"/>
      </w:divBdr>
    </w:div>
    <w:div w:id="713697411">
      <w:bodyDiv w:val="1"/>
      <w:marLeft w:val="0"/>
      <w:marRight w:val="0"/>
      <w:marTop w:val="0"/>
      <w:marBottom w:val="0"/>
      <w:divBdr>
        <w:top w:val="none" w:sz="0" w:space="0" w:color="auto"/>
        <w:left w:val="none" w:sz="0" w:space="0" w:color="auto"/>
        <w:bottom w:val="none" w:sz="0" w:space="0" w:color="auto"/>
        <w:right w:val="none" w:sz="0" w:space="0" w:color="auto"/>
      </w:divBdr>
    </w:div>
    <w:div w:id="1098866442">
      <w:bodyDiv w:val="1"/>
      <w:marLeft w:val="0"/>
      <w:marRight w:val="0"/>
      <w:marTop w:val="0"/>
      <w:marBottom w:val="0"/>
      <w:divBdr>
        <w:top w:val="none" w:sz="0" w:space="0" w:color="auto"/>
        <w:left w:val="none" w:sz="0" w:space="0" w:color="auto"/>
        <w:bottom w:val="none" w:sz="0" w:space="0" w:color="auto"/>
        <w:right w:val="none" w:sz="0" w:space="0" w:color="auto"/>
      </w:divBdr>
    </w:div>
    <w:div w:id="1142969127">
      <w:bodyDiv w:val="1"/>
      <w:marLeft w:val="0"/>
      <w:marRight w:val="0"/>
      <w:marTop w:val="0"/>
      <w:marBottom w:val="0"/>
      <w:divBdr>
        <w:top w:val="none" w:sz="0" w:space="0" w:color="auto"/>
        <w:left w:val="none" w:sz="0" w:space="0" w:color="auto"/>
        <w:bottom w:val="none" w:sz="0" w:space="0" w:color="auto"/>
        <w:right w:val="none" w:sz="0" w:space="0" w:color="auto"/>
      </w:divBdr>
    </w:div>
    <w:div w:id="1152914185">
      <w:bodyDiv w:val="1"/>
      <w:marLeft w:val="0"/>
      <w:marRight w:val="0"/>
      <w:marTop w:val="0"/>
      <w:marBottom w:val="0"/>
      <w:divBdr>
        <w:top w:val="none" w:sz="0" w:space="0" w:color="auto"/>
        <w:left w:val="none" w:sz="0" w:space="0" w:color="auto"/>
        <w:bottom w:val="none" w:sz="0" w:space="0" w:color="auto"/>
        <w:right w:val="none" w:sz="0" w:space="0" w:color="auto"/>
      </w:divBdr>
    </w:div>
    <w:div w:id="1196042150">
      <w:bodyDiv w:val="1"/>
      <w:marLeft w:val="0"/>
      <w:marRight w:val="0"/>
      <w:marTop w:val="0"/>
      <w:marBottom w:val="0"/>
      <w:divBdr>
        <w:top w:val="none" w:sz="0" w:space="0" w:color="auto"/>
        <w:left w:val="none" w:sz="0" w:space="0" w:color="auto"/>
        <w:bottom w:val="none" w:sz="0" w:space="0" w:color="auto"/>
        <w:right w:val="none" w:sz="0" w:space="0" w:color="auto"/>
      </w:divBdr>
    </w:div>
    <w:div w:id="1223952390">
      <w:bodyDiv w:val="1"/>
      <w:marLeft w:val="0"/>
      <w:marRight w:val="0"/>
      <w:marTop w:val="0"/>
      <w:marBottom w:val="0"/>
      <w:divBdr>
        <w:top w:val="none" w:sz="0" w:space="0" w:color="auto"/>
        <w:left w:val="none" w:sz="0" w:space="0" w:color="auto"/>
        <w:bottom w:val="none" w:sz="0" w:space="0" w:color="auto"/>
        <w:right w:val="none" w:sz="0" w:space="0" w:color="auto"/>
      </w:divBdr>
    </w:div>
    <w:div w:id="1239824776">
      <w:bodyDiv w:val="1"/>
      <w:marLeft w:val="0"/>
      <w:marRight w:val="0"/>
      <w:marTop w:val="0"/>
      <w:marBottom w:val="0"/>
      <w:divBdr>
        <w:top w:val="none" w:sz="0" w:space="0" w:color="auto"/>
        <w:left w:val="none" w:sz="0" w:space="0" w:color="auto"/>
        <w:bottom w:val="none" w:sz="0" w:space="0" w:color="auto"/>
        <w:right w:val="none" w:sz="0" w:space="0" w:color="auto"/>
      </w:divBdr>
    </w:div>
    <w:div w:id="1277105954">
      <w:bodyDiv w:val="1"/>
      <w:marLeft w:val="0"/>
      <w:marRight w:val="0"/>
      <w:marTop w:val="0"/>
      <w:marBottom w:val="0"/>
      <w:divBdr>
        <w:top w:val="none" w:sz="0" w:space="0" w:color="auto"/>
        <w:left w:val="none" w:sz="0" w:space="0" w:color="auto"/>
        <w:bottom w:val="none" w:sz="0" w:space="0" w:color="auto"/>
        <w:right w:val="none" w:sz="0" w:space="0" w:color="auto"/>
      </w:divBdr>
    </w:div>
    <w:div w:id="1411193099">
      <w:bodyDiv w:val="1"/>
      <w:marLeft w:val="0"/>
      <w:marRight w:val="0"/>
      <w:marTop w:val="0"/>
      <w:marBottom w:val="0"/>
      <w:divBdr>
        <w:top w:val="none" w:sz="0" w:space="0" w:color="auto"/>
        <w:left w:val="none" w:sz="0" w:space="0" w:color="auto"/>
        <w:bottom w:val="none" w:sz="0" w:space="0" w:color="auto"/>
        <w:right w:val="none" w:sz="0" w:space="0" w:color="auto"/>
      </w:divBdr>
    </w:div>
    <w:div w:id="1427191460">
      <w:bodyDiv w:val="1"/>
      <w:marLeft w:val="0"/>
      <w:marRight w:val="0"/>
      <w:marTop w:val="0"/>
      <w:marBottom w:val="0"/>
      <w:divBdr>
        <w:top w:val="none" w:sz="0" w:space="0" w:color="auto"/>
        <w:left w:val="none" w:sz="0" w:space="0" w:color="auto"/>
        <w:bottom w:val="none" w:sz="0" w:space="0" w:color="auto"/>
        <w:right w:val="none" w:sz="0" w:space="0" w:color="auto"/>
      </w:divBdr>
    </w:div>
    <w:div w:id="1510021287">
      <w:bodyDiv w:val="1"/>
      <w:marLeft w:val="0"/>
      <w:marRight w:val="0"/>
      <w:marTop w:val="0"/>
      <w:marBottom w:val="0"/>
      <w:divBdr>
        <w:top w:val="none" w:sz="0" w:space="0" w:color="auto"/>
        <w:left w:val="none" w:sz="0" w:space="0" w:color="auto"/>
        <w:bottom w:val="none" w:sz="0" w:space="0" w:color="auto"/>
        <w:right w:val="none" w:sz="0" w:space="0" w:color="auto"/>
      </w:divBdr>
    </w:div>
    <w:div w:id="1711612186">
      <w:bodyDiv w:val="1"/>
      <w:marLeft w:val="0"/>
      <w:marRight w:val="0"/>
      <w:marTop w:val="0"/>
      <w:marBottom w:val="0"/>
      <w:divBdr>
        <w:top w:val="none" w:sz="0" w:space="0" w:color="auto"/>
        <w:left w:val="none" w:sz="0" w:space="0" w:color="auto"/>
        <w:bottom w:val="none" w:sz="0" w:space="0" w:color="auto"/>
        <w:right w:val="none" w:sz="0" w:space="0" w:color="auto"/>
      </w:divBdr>
    </w:div>
    <w:div w:id="1873615031">
      <w:bodyDiv w:val="1"/>
      <w:marLeft w:val="0"/>
      <w:marRight w:val="0"/>
      <w:marTop w:val="0"/>
      <w:marBottom w:val="0"/>
      <w:divBdr>
        <w:top w:val="none" w:sz="0" w:space="0" w:color="auto"/>
        <w:left w:val="none" w:sz="0" w:space="0" w:color="auto"/>
        <w:bottom w:val="none" w:sz="0" w:space="0" w:color="auto"/>
        <w:right w:val="none" w:sz="0" w:space="0" w:color="auto"/>
      </w:divBdr>
    </w:div>
    <w:div w:id="199564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DB249-63A5-A947-818E-098776105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6736</Characters>
  <Application>Microsoft Office Word</Application>
  <DocSecurity>0</DocSecurity>
  <Lines>56</Lines>
  <Paragraphs>15</Paragraphs>
  <ScaleCrop>false</ScaleCrop>
  <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Klamer, Keva</dc:creator>
  <cp:keywords/>
  <dc:description/>
  <cp:lastModifiedBy>Klamer, Keva</cp:lastModifiedBy>
  <cp:revision>2</cp:revision>
  <dcterms:created xsi:type="dcterms:W3CDTF">2025-02-20T19:22:00Z</dcterms:created>
  <dcterms:modified xsi:type="dcterms:W3CDTF">2025-02-20T19:22:00Z</dcterms:modified>
</cp:coreProperties>
</file>