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document.xml" ContentType="application/vnd.openxmlformats-officedocument.wordprocessingml.document.main+xml"/>
  <Override PartName="/word/media/image6.jpeg" ContentType="image/jpeg"/>
  <Override PartName="/word/media/image2.jpeg" ContentType="image/jpeg"/>
  <Override PartName="/word/media/image7.jpeg" ContentType="image/jpeg"/>
  <Override PartName="/word/media/image1.jpeg" ContentType="image/jpeg"/>
  <Override PartName="/word/media/image3.jpeg" ContentType="image/jpeg"/>
  <Override PartName="/word/media/image5.png" ContentType="image/png"/>
  <Override PartName="/word/media/image4.png" ContentType="image/png"/>
  <Override PartName="/word/header1.xml" ContentType="application/vnd.openxmlformats-officedocument.wordprocessingml.header+xml"/>
  <Override PartName="/customXml/_rels/item2.xml.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customXml/itemProps2.xml" ContentType="application/vnd.openxmlformats-officedocument.customXmlProperties+xml"/>
  <Override PartName="/customXml/item2.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spacing w:lineRule="auto" w:line="360"/>
        <w:jc w:val="center"/>
        <w:rPr>
          <w:rFonts w:ascii="Times New Roman" w:hAnsi="Times New Roman"/>
          <w:sz w:val="22"/>
          <w:szCs w:val="22"/>
        </w:rPr>
      </w:pPr>
      <w:r>
        <w:rPr>
          <w:rFonts w:eastAsia="Times New Roman" w:cs="Times New Roman" w:ascii="Times New Roman" w:hAnsi="Times New Roman"/>
          <w:b/>
          <w:sz w:val="22"/>
          <w:szCs w:val="22"/>
          <w:lang w:val="en-US"/>
        </w:rPr>
        <w:t>Supplementary Information</w:t>
      </w:r>
    </w:p>
    <w:p>
      <w:pPr>
        <w:pStyle w:val="Normal"/>
        <w:spacing w:lineRule="auto" w:line="360"/>
        <w:jc w:val="center"/>
        <w:rPr>
          <w:rFonts w:ascii="Times New Roman" w:hAnsi="Times New Roman"/>
          <w:sz w:val="22"/>
          <w:szCs w:val="22"/>
        </w:rPr>
      </w:pPr>
      <w:r>
        <w:rPr>
          <w:rFonts w:cs="Times New Roman" w:ascii="Times New Roman" w:hAnsi="Times New Roman"/>
          <w:sz w:val="22"/>
          <w:szCs w:val="22"/>
        </w:rPr>
        <w:t>The interictal transcriptomic map of migraine without aura</w:t>
      </w:r>
    </w:p>
    <w:p>
      <w:pPr>
        <w:pStyle w:val="Teaser"/>
        <w:spacing w:lineRule="auto" w:line="360"/>
        <w:jc w:val="center"/>
        <w:rPr>
          <w:rFonts w:ascii="Times New Roman" w:hAnsi="Times New Roman"/>
          <w:sz w:val="18"/>
          <w:szCs w:val="18"/>
        </w:rPr>
      </w:pPr>
      <w:r>
        <w:rPr>
          <w:rFonts w:cs="Times New Roman"/>
          <w:sz w:val="18"/>
          <w:szCs w:val="18"/>
        </w:rPr>
        <w:t>Peter Petschner†</w:t>
      </w:r>
      <w:r>
        <w:rPr>
          <w:rFonts w:cs="Times New Roman"/>
          <w:sz w:val="18"/>
          <w:szCs w:val="18"/>
          <w:vertAlign w:val="superscript"/>
        </w:rPr>
        <w:t>1,2,3,4</w:t>
      </w:r>
      <w:r>
        <w:rPr>
          <w:rFonts w:cs="Times New Roman"/>
          <w:sz w:val="18"/>
          <w:szCs w:val="18"/>
        </w:rPr>
        <w:t>, Sahel Kumar†</w:t>
      </w:r>
      <w:r>
        <w:rPr>
          <w:rFonts w:cs="Times New Roman"/>
          <w:sz w:val="18"/>
          <w:szCs w:val="18"/>
          <w:vertAlign w:val="superscript"/>
        </w:rPr>
        <w:t>2</w:t>
      </w:r>
      <w:r>
        <w:rPr>
          <w:rFonts w:cs="Times New Roman"/>
          <w:sz w:val="18"/>
          <w:szCs w:val="18"/>
        </w:rPr>
        <w:t>, Duc Anh Nguyen</w:t>
      </w:r>
      <w:r>
        <w:rPr>
          <w:rFonts w:cs="Times New Roman"/>
          <w:sz w:val="18"/>
          <w:szCs w:val="18"/>
          <w:vertAlign w:val="superscript"/>
        </w:rPr>
        <w:t>1,5</w:t>
      </w:r>
      <w:r>
        <w:rPr>
          <w:rFonts w:cs="Times New Roman"/>
          <w:sz w:val="18"/>
          <w:szCs w:val="18"/>
        </w:rPr>
        <w:t>, Dora Torok</w:t>
      </w:r>
      <w:r>
        <w:rPr>
          <w:rFonts w:cs="Times New Roman"/>
          <w:sz w:val="18"/>
          <w:szCs w:val="18"/>
          <w:vertAlign w:val="superscript"/>
        </w:rPr>
        <w:t>2,3</w:t>
      </w:r>
      <w:r>
        <w:rPr>
          <w:rFonts w:cs="Times New Roman"/>
          <w:sz w:val="18"/>
          <w:szCs w:val="18"/>
        </w:rPr>
        <w:t>, Zsofia Gal</w:t>
      </w:r>
      <w:r>
        <w:rPr>
          <w:rFonts w:cs="Times New Roman"/>
          <w:sz w:val="18"/>
          <w:szCs w:val="18"/>
          <w:vertAlign w:val="superscript"/>
        </w:rPr>
        <w:t>2,3</w:t>
      </w:r>
      <w:r>
        <w:rPr>
          <w:rFonts w:cs="Times New Roman"/>
          <w:sz w:val="18"/>
          <w:szCs w:val="18"/>
        </w:rPr>
        <w:t>, Daniel Baksa</w:t>
      </w:r>
      <w:r>
        <w:rPr>
          <w:rFonts w:cs="Times New Roman"/>
          <w:sz w:val="18"/>
          <w:szCs w:val="18"/>
          <w:vertAlign w:val="superscript"/>
        </w:rPr>
        <w:t>2,3,6</w:t>
      </w:r>
      <w:r>
        <w:rPr>
          <w:rFonts w:cs="Times New Roman"/>
          <w:sz w:val="18"/>
          <w:szCs w:val="18"/>
        </w:rPr>
        <w:t>, Kinga Gecse</w:t>
      </w:r>
      <w:r>
        <w:rPr>
          <w:rFonts w:cs="Times New Roman"/>
          <w:sz w:val="18"/>
          <w:szCs w:val="18"/>
          <w:vertAlign w:val="superscript"/>
        </w:rPr>
        <w:t>2,3</w:t>
      </w:r>
      <w:r>
        <w:rPr>
          <w:rFonts w:cs="Times New Roman"/>
          <w:sz w:val="18"/>
          <w:szCs w:val="18"/>
        </w:rPr>
        <w:t>, Gyongyi Kokonyei</w:t>
      </w:r>
      <w:r>
        <w:rPr>
          <w:rFonts w:cs="Times New Roman"/>
          <w:sz w:val="18"/>
          <w:szCs w:val="18"/>
          <w:vertAlign w:val="superscript"/>
        </w:rPr>
        <w:t>2,3,7</w:t>
      </w:r>
      <w:r>
        <w:rPr>
          <w:rFonts w:cs="Times New Roman"/>
          <w:sz w:val="18"/>
          <w:szCs w:val="18"/>
        </w:rPr>
        <w:t>, Hiroshi Mamitsuka</w:t>
      </w:r>
      <w:r>
        <w:rPr>
          <w:rFonts w:cs="Times New Roman"/>
          <w:sz w:val="18"/>
          <w:szCs w:val="18"/>
          <w:vertAlign w:val="superscript"/>
        </w:rPr>
        <w:t>1</w:t>
      </w:r>
      <w:r>
        <w:rPr>
          <w:rFonts w:cs="Times New Roman"/>
          <w:sz w:val="18"/>
          <w:szCs w:val="18"/>
        </w:rPr>
        <w:t>, Gabriella Juhasz*</w:t>
      </w:r>
      <w:r>
        <w:rPr>
          <w:rFonts w:cs="Times New Roman"/>
          <w:sz w:val="18"/>
          <w:szCs w:val="18"/>
          <w:vertAlign w:val="superscript"/>
        </w:rPr>
        <w:t>2,3</w:t>
      </w:r>
      <w:r>
        <w:rPr>
          <w:rFonts w:cs="Times New Roman"/>
          <w:position w:val="0"/>
          <w:sz w:val="18"/>
          <w:sz w:val="18"/>
          <w:szCs w:val="18"/>
          <w:vertAlign w:val="baseline"/>
        </w:rPr>
        <w:t xml:space="preserve"> </w:t>
      </w:r>
    </w:p>
    <w:p>
      <w:pPr>
        <w:pStyle w:val="NoSpacing"/>
        <w:spacing w:lineRule="auto" w:line="360"/>
        <w:rPr>
          <w:rFonts w:ascii="Times New Roman" w:hAnsi="Times New Roman" w:cs="Times New Roman"/>
          <w:sz w:val="18"/>
          <w:szCs w:val="18"/>
        </w:rPr>
      </w:pPr>
      <w:r>
        <w:rPr>
          <w:rFonts w:cs="Times New Roman" w:ascii="Times New Roman" w:hAnsi="Times New Roman"/>
          <w:sz w:val="18"/>
          <w:szCs w:val="18"/>
        </w:rPr>
      </w:r>
    </w:p>
    <w:p>
      <w:pPr>
        <w:pStyle w:val="Paragraph"/>
        <w:spacing w:lineRule="auto" w:line="360"/>
        <w:ind w:hanging="0" w:left="0" w:right="0"/>
        <w:rPr>
          <w:rFonts w:ascii="Times New Roman" w:hAnsi="Times New Roman"/>
          <w:sz w:val="18"/>
          <w:szCs w:val="18"/>
        </w:rPr>
      </w:pPr>
      <w:r>
        <w:rPr>
          <w:sz w:val="18"/>
          <w:szCs w:val="18"/>
          <w:vertAlign w:val="superscript"/>
        </w:rPr>
        <w:t>1</w:t>
      </w:r>
      <w:r>
        <w:rPr>
          <w:position w:val="0"/>
          <w:sz w:val="18"/>
          <w:sz w:val="18"/>
          <w:szCs w:val="18"/>
          <w:vertAlign w:val="baseline"/>
        </w:rPr>
        <w:t>Bioinformatics Center, Institute of Chemical Research, Kyoto University; Uji, Kyoto, Japan.</w:t>
      </w:r>
    </w:p>
    <w:p>
      <w:pPr>
        <w:pStyle w:val="Paragraph"/>
        <w:spacing w:lineRule="auto" w:line="360"/>
        <w:ind w:hanging="0" w:left="0" w:right="0"/>
        <w:rPr>
          <w:rFonts w:ascii="Times New Roman" w:hAnsi="Times New Roman"/>
          <w:sz w:val="18"/>
          <w:szCs w:val="18"/>
        </w:rPr>
      </w:pPr>
      <w:r>
        <w:rPr>
          <w:sz w:val="18"/>
          <w:szCs w:val="18"/>
          <w:vertAlign w:val="superscript"/>
        </w:rPr>
        <w:t>2</w:t>
      </w:r>
      <w:r>
        <w:rPr>
          <w:position w:val="0"/>
          <w:sz w:val="18"/>
          <w:sz w:val="18"/>
          <w:szCs w:val="18"/>
          <w:vertAlign w:val="baseline"/>
        </w:rPr>
        <w:t>Department of Pharmacodynamics, Faculty of Pharmaceutical Sciences, Semmelweis University; Budapest, Hungary.</w:t>
      </w:r>
    </w:p>
    <w:p>
      <w:pPr>
        <w:pStyle w:val="Paragraph"/>
        <w:spacing w:lineRule="auto" w:line="360"/>
        <w:ind w:hanging="0" w:left="0" w:right="0"/>
        <w:rPr>
          <w:rFonts w:ascii="Times New Roman" w:hAnsi="Times New Roman"/>
          <w:sz w:val="18"/>
          <w:szCs w:val="18"/>
        </w:rPr>
      </w:pPr>
      <w:r>
        <w:rPr>
          <w:sz w:val="18"/>
          <w:szCs w:val="18"/>
          <w:vertAlign w:val="superscript"/>
        </w:rPr>
        <w:t>3</w:t>
      </w:r>
      <w:r>
        <w:rPr>
          <w:position w:val="0"/>
          <w:sz w:val="18"/>
          <w:sz w:val="18"/>
          <w:szCs w:val="18"/>
          <w:vertAlign w:val="baseline"/>
        </w:rPr>
        <w:t>NAP3.0-SE Neuropsychopharmacology Research Group, Hungarian Brain Research Program, Semmelweis University; Budapest, Hungary.</w:t>
      </w:r>
    </w:p>
    <w:p>
      <w:pPr>
        <w:pStyle w:val="Paragraph"/>
        <w:spacing w:lineRule="auto" w:line="360"/>
        <w:ind w:hanging="0" w:left="0" w:right="0"/>
        <w:rPr>
          <w:rFonts w:ascii="Times New Roman" w:hAnsi="Times New Roman"/>
          <w:sz w:val="18"/>
          <w:szCs w:val="18"/>
        </w:rPr>
      </w:pPr>
      <w:r>
        <w:rPr>
          <w:sz w:val="18"/>
          <w:szCs w:val="18"/>
          <w:vertAlign w:val="superscript"/>
        </w:rPr>
        <w:t>4</w:t>
      </w:r>
      <w:r>
        <w:rPr>
          <w:sz w:val="18"/>
          <w:szCs w:val="18"/>
        </w:rPr>
        <w:t>Research Unit for Realization of Sustainable Society, Kyoto University; Uji, Kyoto, Japan.</w:t>
      </w:r>
    </w:p>
    <w:p>
      <w:pPr>
        <w:pStyle w:val="Paragraph"/>
        <w:spacing w:lineRule="auto" w:line="360"/>
        <w:ind w:hanging="0" w:left="0" w:right="0"/>
        <w:rPr>
          <w:rFonts w:ascii="Times New Roman" w:hAnsi="Times New Roman"/>
          <w:sz w:val="18"/>
          <w:szCs w:val="18"/>
        </w:rPr>
      </w:pPr>
      <w:r>
        <w:rPr>
          <w:sz w:val="18"/>
          <w:szCs w:val="18"/>
          <w:vertAlign w:val="superscript"/>
        </w:rPr>
        <w:t>5</w:t>
      </w:r>
      <w:r>
        <w:rPr>
          <w:sz w:val="18"/>
          <w:szCs w:val="18"/>
        </w:rPr>
        <w:t>Hanoi University of Science and Technology; Hanoi, Vietnam.</w:t>
      </w:r>
    </w:p>
    <w:p>
      <w:pPr>
        <w:pStyle w:val="Paragraph"/>
        <w:spacing w:lineRule="auto" w:line="360"/>
        <w:ind w:hanging="0" w:left="0" w:right="0"/>
        <w:rPr>
          <w:rFonts w:ascii="Times New Roman" w:hAnsi="Times New Roman"/>
          <w:sz w:val="18"/>
          <w:szCs w:val="18"/>
        </w:rPr>
      </w:pPr>
      <w:r>
        <w:rPr>
          <w:sz w:val="18"/>
          <w:szCs w:val="18"/>
          <w:vertAlign w:val="superscript"/>
        </w:rPr>
        <w:t>6</w:t>
      </w:r>
      <w:r>
        <w:rPr>
          <w:sz w:val="18"/>
          <w:szCs w:val="18"/>
        </w:rPr>
        <w:t>Department of Personality and Clinical Psychology, Institute of Psychology, Pazmany Peter Catholic University; Budapest, Hungary.</w:t>
      </w:r>
    </w:p>
    <w:p>
      <w:pPr>
        <w:pStyle w:val="Paragraph"/>
        <w:spacing w:lineRule="auto" w:line="360"/>
        <w:ind w:hanging="0" w:left="0" w:right="0"/>
        <w:rPr>
          <w:rFonts w:ascii="Times New Roman" w:hAnsi="Times New Roman"/>
          <w:sz w:val="18"/>
          <w:szCs w:val="18"/>
        </w:rPr>
      </w:pPr>
      <w:r>
        <w:rPr>
          <w:rFonts w:eastAsia="Times New Roman"/>
          <w:sz w:val="18"/>
          <w:szCs w:val="18"/>
          <w:vertAlign w:val="superscript"/>
        </w:rPr>
        <w:t>7</w:t>
      </w:r>
      <w:r>
        <w:rPr>
          <w:sz w:val="18"/>
          <w:szCs w:val="18"/>
        </w:rPr>
        <w:t>Institute of Psychology, ELTE Eötvös Loránd University; Budapest, Hungary.</w:t>
      </w:r>
    </w:p>
    <w:p>
      <w:pPr>
        <w:pStyle w:val="Paragraph"/>
        <w:spacing w:lineRule="auto" w:line="360"/>
        <w:ind w:hanging="0" w:left="0" w:right="0"/>
        <w:rPr>
          <w:rFonts w:ascii="Times New Roman" w:hAnsi="Times New Roman"/>
          <w:sz w:val="18"/>
          <w:szCs w:val="18"/>
        </w:rPr>
      </w:pPr>
      <w:r>
        <w:rPr>
          <w:sz w:val="18"/>
          <w:szCs w:val="18"/>
        </w:rPr>
      </w:r>
    </w:p>
    <w:p>
      <w:pPr>
        <w:pStyle w:val="Paragraph"/>
        <w:spacing w:lineRule="auto" w:line="360"/>
        <w:ind w:hanging="0" w:left="0" w:right="0"/>
        <w:rPr/>
      </w:pPr>
      <w:r>
        <w:rPr>
          <w:sz w:val="18"/>
          <w:szCs w:val="18"/>
        </w:rPr>
        <w:t xml:space="preserve">*Corresponding author: </w:t>
      </w:r>
      <w:r>
        <w:rPr>
          <w:rFonts w:cs="Times New Roman"/>
          <w:sz w:val="18"/>
          <w:szCs w:val="18"/>
        </w:rPr>
        <w:t xml:space="preserve">Gabriella Juhasz, Nagyvarad ter 4, 1089, Budapest, Hungary, +36-1-210-4411,  </w:t>
      </w:r>
      <w:hyperlink r:id="rId2">
        <w:r>
          <w:rPr>
            <w:rStyle w:val="Hyperlink"/>
            <w:rFonts w:cs="Times New Roman"/>
            <w:sz w:val="18"/>
            <w:szCs w:val="18"/>
          </w:rPr>
          <w:t>juhasz.gabriella@semmelweis.hu</w:t>
        </w:r>
      </w:hyperlink>
      <w:r>
        <w:rPr>
          <w:rFonts w:cs="Times New Roman"/>
          <w:sz w:val="18"/>
          <w:szCs w:val="18"/>
        </w:rPr>
        <w:t xml:space="preserve"> </w:t>
      </w:r>
    </w:p>
    <w:p>
      <w:pPr>
        <w:pStyle w:val="Paragraph"/>
        <w:spacing w:lineRule="auto" w:line="360"/>
        <w:ind w:hanging="0" w:left="0" w:right="0"/>
        <w:rPr>
          <w:rFonts w:ascii="Times New Roman" w:hAnsi="Times New Roman"/>
          <w:sz w:val="18"/>
          <w:szCs w:val="18"/>
        </w:rPr>
      </w:pPr>
      <w:r>
        <w:rPr>
          <w:rFonts w:cs="Times New Roman"/>
          <w:sz w:val="18"/>
          <w:szCs w:val="18"/>
        </w:rPr>
        <w:t>†</w:t>
      </w:r>
      <w:r>
        <w:rPr>
          <w:rFonts w:eastAsia="Times New Roman" w:cs="Times New Roman"/>
          <w:sz w:val="18"/>
          <w:szCs w:val="18"/>
        </w:rPr>
        <w:t xml:space="preserve"> </w:t>
      </w:r>
      <w:r>
        <w:rPr>
          <w:rFonts w:cs="Times New Roman"/>
          <w:sz w:val="18"/>
          <w:szCs w:val="18"/>
        </w:rPr>
        <w:t>these authors contributed equally to the present work</w:t>
      </w:r>
    </w:p>
    <w:p>
      <w:pPr>
        <w:pStyle w:val="NoSpacing"/>
        <w:spacing w:lineRule="auto" w:line="360"/>
        <w:rPr>
          <w:rFonts w:ascii="Times New Roman" w:hAnsi="Times New Roman" w:eastAsia="Times New Roman" w:cs="Times New Roman"/>
          <w:b w:val="false"/>
          <w:bCs w:val="false"/>
          <w:sz w:val="18"/>
          <w:szCs w:val="18"/>
          <w:lang w:val="en-US"/>
        </w:rPr>
      </w:pPr>
      <w:r>
        <w:rPr>
          <w:rFonts w:eastAsia="Times New Roman" w:cs="Times New Roman" w:ascii="Times New Roman" w:hAnsi="Times New Roman"/>
          <w:b w:val="false"/>
          <w:bCs w:val="false"/>
          <w:sz w:val="18"/>
          <w:szCs w:val="18"/>
          <w:lang w:val="en-US"/>
        </w:rPr>
      </w:r>
    </w:p>
    <w:p>
      <w:pPr>
        <w:pStyle w:val="LO-normal"/>
        <w:spacing w:lineRule="auto" w:line="360"/>
        <w:rPr>
          <w:rFonts w:ascii="Times New Roman" w:hAnsi="Times New Roman" w:eastAsia="Times New Roman" w:cs="Times New Roman"/>
          <w:sz w:val="18"/>
          <w:szCs w:val="18"/>
          <w:u w:val="single"/>
          <w:lang w:val="en-US"/>
        </w:rPr>
      </w:pPr>
      <w:r>
        <w:rPr>
          <w:rFonts w:eastAsia="Times New Roman" w:cs="Times New Roman" w:ascii="Times New Roman" w:hAnsi="Times New Roman"/>
          <w:sz w:val="18"/>
          <w:szCs w:val="18"/>
          <w:u w:val="single"/>
          <w:lang w:val="en-US"/>
        </w:rPr>
      </w:r>
      <w:r>
        <w:br w:type="page"/>
      </w:r>
    </w:p>
    <w:p>
      <w:pPr>
        <w:pStyle w:val="LO-normal"/>
        <w:spacing w:lineRule="auto" w:line="360" w:before="0" w:after="0"/>
        <w:rPr>
          <w:rFonts w:ascii="Times New Roman" w:hAnsi="Times New Roman" w:eastAsia="Times New Roman" w:cs="Times New Roman"/>
          <w:sz w:val="24"/>
          <w:szCs w:val="24"/>
          <w:u w:val="single"/>
          <w:lang w:val="en-US"/>
        </w:rPr>
      </w:pPr>
      <w:r>
        <w:rPr>
          <w:rFonts w:eastAsia="Times New Roman" w:cs="Times New Roman" w:ascii="Times New Roman" w:hAnsi="Times New Roman"/>
          <w:sz w:val="24"/>
          <w:szCs w:val="24"/>
          <w:u w:val="single"/>
          <w:lang w:val="en-US"/>
        </w:rPr>
      </w:r>
    </w:p>
    <w:p>
      <w:pPr>
        <w:pStyle w:val="LO-normal"/>
        <w:spacing w:lineRule="auto" w:line="360"/>
        <w:rPr>
          <w:rFonts w:ascii="Times New Roman" w:hAnsi="Times New Roman"/>
          <w:sz w:val="26"/>
          <w:szCs w:val="26"/>
        </w:rPr>
      </w:pPr>
      <w:r>
        <w:rPr>
          <w:rFonts w:eastAsia="Times New Roman" w:cs="Times New Roman" w:ascii="Times New Roman" w:hAnsi="Times New Roman"/>
          <w:b/>
          <w:sz w:val="26"/>
          <w:szCs w:val="26"/>
          <w:lang w:val="en-US"/>
        </w:rPr>
        <w:t>Contents</w:t>
      </w:r>
    </w:p>
    <w:p>
      <w:pPr>
        <w:pStyle w:val="LO-normal"/>
        <w:numPr>
          <w:ilvl w:val="0"/>
          <w:numId w:val="1"/>
        </w:numPr>
        <w:spacing w:lineRule="auto" w:line="360"/>
        <w:rPr>
          <w:rFonts w:ascii="Times New Roman" w:hAnsi="Times New Roman"/>
          <w:sz w:val="22"/>
          <w:szCs w:val="22"/>
        </w:rPr>
      </w:pPr>
      <w:r>
        <w:rPr>
          <w:rFonts w:eastAsia="Times New Roman" w:cs="Times New Roman" w:ascii="Times New Roman" w:hAnsi="Times New Roman"/>
          <w:b/>
          <w:color w:val="auto"/>
          <w:kern w:val="0"/>
          <w:sz w:val="22"/>
          <w:szCs w:val="22"/>
          <w:lang w:val="en-US" w:eastAsia="zh-CN" w:bidi="hi-IN"/>
        </w:rPr>
        <w:t>Supplementary results</w:t>
      </w:r>
    </w:p>
    <w:p>
      <w:pPr>
        <w:pStyle w:val="LO-normal"/>
        <w:numPr>
          <w:ilvl w:val="1"/>
          <w:numId w:val="1"/>
        </w:numPr>
        <w:spacing w:lineRule="auto" w:line="360"/>
        <w:rPr>
          <w:rFonts w:ascii="Times New Roman" w:hAnsi="Times New Roman"/>
          <w:sz w:val="22"/>
          <w:szCs w:val="22"/>
        </w:rPr>
      </w:pPr>
      <w:r>
        <w:rPr>
          <w:rFonts w:eastAsia="Times New Roman" w:cs="Times New Roman" w:ascii="Times New Roman" w:hAnsi="Times New Roman"/>
          <w:b/>
          <w:color w:val="auto"/>
          <w:kern w:val="0"/>
          <w:sz w:val="22"/>
          <w:szCs w:val="22"/>
          <w:lang w:val="en-US" w:eastAsia="zh-CN" w:bidi="hi-IN"/>
        </w:rPr>
        <w:t>Biological coefficient of variation plots</w:t>
      </w:r>
    </w:p>
    <w:p>
      <w:pPr>
        <w:pStyle w:val="LO-normal"/>
        <w:numPr>
          <w:ilvl w:val="2"/>
          <w:numId w:val="1"/>
        </w:numPr>
        <w:spacing w:lineRule="auto" w:line="360"/>
        <w:rPr>
          <w:rFonts w:ascii="Times New Roman" w:hAnsi="Times New Roman"/>
          <w:sz w:val="22"/>
          <w:szCs w:val="22"/>
        </w:rPr>
      </w:pPr>
      <w:r>
        <w:rPr>
          <w:rFonts w:eastAsia="Times New Roman" w:cs="Times New Roman" w:ascii="Times New Roman" w:hAnsi="Times New Roman"/>
          <w:b w:val="false"/>
          <w:bCs w:val="false"/>
          <w:color w:val="auto"/>
          <w:kern w:val="0"/>
          <w:sz w:val="22"/>
          <w:szCs w:val="22"/>
          <w:lang w:val="en-US" w:eastAsia="zh-CN" w:bidi="hi-IN"/>
        </w:rPr>
        <w:t>Figure 1. BCV plot at S1 of migraine vs control comparisons</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color w:val="auto"/>
          <w:kern w:val="0"/>
          <w:sz w:val="22"/>
          <w:szCs w:val="22"/>
          <w:lang w:val="en-US" w:eastAsia="zh-CN" w:bidi="hi-IN"/>
        </w:rPr>
        <w:t>Figure 2. BCV plot at S1 of male migraineur vs male control comparison</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color w:val="auto"/>
          <w:kern w:val="0"/>
          <w:sz w:val="22"/>
          <w:szCs w:val="22"/>
          <w:lang w:val="en-US" w:eastAsia="zh-CN" w:bidi="hi-IN"/>
        </w:rPr>
        <w:t>Figure 3. BCV plot at S1 of female migraineur vs female control comparison</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color w:val="auto"/>
          <w:kern w:val="0"/>
          <w:sz w:val="22"/>
          <w:szCs w:val="22"/>
          <w:lang w:val="en-US" w:eastAsia="zh-CN" w:bidi="hi-IN"/>
        </w:rPr>
        <w:t>Figure 4. BCV plot at S1 of female migraineur vs male migraineur comparison</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color w:val="auto"/>
          <w:kern w:val="0"/>
          <w:sz w:val="22"/>
          <w:szCs w:val="22"/>
          <w:lang w:val="en-US" w:eastAsia="zh-CN" w:bidi="hi-IN"/>
        </w:rPr>
        <w:t>Figure 5. BCV plot at S2 of migraineur vs control comparison</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color w:val="auto"/>
          <w:kern w:val="0"/>
          <w:sz w:val="22"/>
          <w:szCs w:val="22"/>
          <w:lang w:val="en-US" w:eastAsia="zh-CN" w:bidi="hi-IN"/>
        </w:rPr>
        <w:t>Figure 6. BCV plot at S2 of male migraineur vs male control comparison</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color w:val="auto"/>
          <w:kern w:val="0"/>
          <w:sz w:val="22"/>
          <w:szCs w:val="22"/>
          <w:lang w:val="en-US" w:eastAsia="zh-CN" w:bidi="hi-IN"/>
        </w:rPr>
        <w:t>Figure 7. BCV plot at S2 of female migraineur vs female control comparison</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color w:val="auto"/>
          <w:kern w:val="0"/>
          <w:sz w:val="22"/>
          <w:szCs w:val="22"/>
          <w:lang w:val="en-US" w:eastAsia="zh-CN" w:bidi="hi-IN"/>
        </w:rPr>
        <w:t>Figure 8. BCV plot at S2 of female migraineur vs male migraineur comparison</w:t>
      </w:r>
    </w:p>
    <w:p>
      <w:pPr>
        <w:pStyle w:val="LO-normal"/>
        <w:widowControl/>
        <w:numPr>
          <w:ilvl w:val="1"/>
          <w:numId w:val="1"/>
        </w:numPr>
        <w:suppressAutoHyphens w:val="true"/>
        <w:bidi w:val="0"/>
        <w:spacing w:lineRule="auto" w:line="360" w:before="0" w:after="0"/>
        <w:ind w:hanging="720" w:left="1440" w:right="0"/>
        <w:jc w:val="left"/>
        <w:rPr>
          <w:rFonts w:ascii="Times New Roman" w:hAnsi="Times New Roman"/>
          <w:sz w:val="22"/>
          <w:szCs w:val="22"/>
        </w:rPr>
      </w:pPr>
      <w:r>
        <w:rPr>
          <w:rFonts w:eastAsia="Times New Roman" w:cs="Times New Roman" w:ascii="Times New Roman" w:hAnsi="Times New Roman"/>
          <w:b/>
          <w:bCs w:val="false"/>
          <w:color w:val="auto"/>
          <w:kern w:val="0"/>
          <w:sz w:val="22"/>
          <w:szCs w:val="22"/>
          <w:lang w:val="en-US" w:eastAsia="zh-CN" w:bidi="hi-IN"/>
        </w:rPr>
        <w:t>Descriptive statistics of the migraine transcriptomic cohort</w:t>
      </w:r>
    </w:p>
    <w:p>
      <w:pPr>
        <w:pStyle w:val="LO-normal"/>
        <w:widowControl/>
        <w:numPr>
          <w:ilvl w:val="2"/>
          <w:numId w:val="1"/>
        </w:numPr>
        <w:suppressAutoHyphens w:val="true"/>
        <w:bidi w:val="0"/>
        <w:spacing w:lineRule="auto" w:line="360" w:before="0" w:after="0"/>
        <w:ind w:hanging="360" w:left="1440" w:right="0"/>
        <w:jc w:val="left"/>
        <w:rPr>
          <w:rFonts w:ascii="Times New Roman" w:hAnsi="Times New Roman"/>
          <w:sz w:val="22"/>
          <w:szCs w:val="22"/>
        </w:rPr>
      </w:pPr>
      <w:r>
        <w:rPr>
          <w:rFonts w:eastAsia="Times New Roman" w:cs="Times New Roman" w:ascii="Times New Roman" w:hAnsi="Times New Roman"/>
          <w:b w:val="false"/>
          <w:bCs w:val="false"/>
          <w:sz w:val="22"/>
          <w:szCs w:val="22"/>
          <w:lang w:val="en-US"/>
        </w:rPr>
        <w:t>Table</w:t>
      </w:r>
      <w:r>
        <w:rPr>
          <w:rFonts w:ascii="Times New Roman" w:hAnsi="Times New Roman"/>
          <w:b w:val="false"/>
          <w:bCs w:val="false"/>
          <w:sz w:val="22"/>
          <w:szCs w:val="22"/>
          <w:lang w:val="en-US"/>
        </w:rPr>
        <w:t xml:space="preserve"> </w:t>
      </w:r>
      <w:r>
        <w:rPr>
          <w:rFonts w:eastAsia="Times New Roman" w:cs="Times New Roman" w:ascii="Times New Roman" w:hAnsi="Times New Roman"/>
          <w:b w:val="false"/>
          <w:bCs w:val="false"/>
          <w:sz w:val="22"/>
          <w:szCs w:val="22"/>
          <w:lang w:val="en-US"/>
        </w:rPr>
        <w:t xml:space="preserve">1. Population descriptors of transcriptomic cohort – sleep </w:t>
        <w:tab/>
        <w:t xml:space="preserve">quality/chronotype, diet, and exercise </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sz w:val="22"/>
          <w:szCs w:val="22"/>
          <w:lang w:val="en-US"/>
        </w:rPr>
        <w:t>Table 2. Population descriptors of transcriptomic cohort - history of allergy</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sz w:val="22"/>
          <w:szCs w:val="22"/>
          <w:lang w:val="en-US"/>
        </w:rPr>
        <w:t xml:space="preserve">Table 3. Population descriptors of transcriptomic cohort - smoking status </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sz w:val="22"/>
          <w:szCs w:val="22"/>
          <w:lang w:val="en-US"/>
        </w:rPr>
        <w:t>Table 4. Population descriptors of transcriptomic cohort - supplement intake</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sz w:val="22"/>
          <w:szCs w:val="22"/>
          <w:lang w:val="en-US"/>
        </w:rPr>
        <w:t>Table 5. Population descriptors of transcriptomic cohort - contraceptive use</w:t>
      </w:r>
    </w:p>
    <w:p>
      <w:pPr>
        <w:pStyle w:val="LO-normal"/>
        <w:widowControl/>
        <w:numPr>
          <w:ilvl w:val="1"/>
          <w:numId w:val="1"/>
        </w:numPr>
        <w:suppressAutoHyphens w:val="true"/>
        <w:bidi w:val="0"/>
        <w:spacing w:lineRule="auto" w:line="360" w:before="0" w:after="0"/>
        <w:ind w:hanging="720" w:left="1440" w:right="0"/>
        <w:jc w:val="left"/>
        <w:rPr>
          <w:rFonts w:ascii="Times New Roman" w:hAnsi="Times New Roman"/>
          <w:sz w:val="22"/>
          <w:szCs w:val="22"/>
        </w:rPr>
      </w:pPr>
      <w:r>
        <w:rPr>
          <w:rFonts w:eastAsia="Times New Roman" w:cs="Times New Roman" w:ascii="Times New Roman" w:hAnsi="Times New Roman"/>
          <w:b/>
          <w:bCs w:val="false"/>
          <w:color w:val="auto"/>
          <w:kern w:val="0"/>
          <w:sz w:val="22"/>
          <w:szCs w:val="22"/>
          <w:lang w:val="en-US" w:eastAsia="zh-CN" w:bidi="hi-IN"/>
        </w:rPr>
        <w:t xml:space="preserve">Descriptive statistics of the additional cohorts used in the study </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sz w:val="22"/>
          <w:szCs w:val="22"/>
          <w:lang w:val="en-US"/>
        </w:rPr>
        <w:t>Table 6. UK Biobank sample characteristics</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sz w:val="22"/>
          <w:szCs w:val="22"/>
          <w:lang w:val="en-US"/>
        </w:rPr>
        <w:t>Table 7. Migraine transcriptomic cohort sample characteristics</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b w:val="false"/>
          <w:bCs w:val="false"/>
          <w:sz w:val="22"/>
          <w:szCs w:val="22"/>
          <w:lang w:val="en-US"/>
        </w:rPr>
        <w:t>Table 8. Results of the comparison of retinol and vitamin A retinol equivalent intake between migraine and control group</w:t>
      </w:r>
    </w:p>
    <w:p>
      <w:pPr>
        <w:pStyle w:val="LO-normal"/>
        <w:widowControl/>
        <w:numPr>
          <w:ilvl w:val="1"/>
          <w:numId w:val="1"/>
        </w:numPr>
        <w:suppressAutoHyphens w:val="true"/>
        <w:bidi w:val="0"/>
        <w:spacing w:lineRule="auto" w:line="360" w:before="0" w:after="0"/>
        <w:ind w:hanging="720" w:left="1440" w:right="0"/>
        <w:jc w:val="left"/>
        <w:rPr>
          <w:rFonts w:ascii="Times New Roman" w:hAnsi="Times New Roman"/>
          <w:sz w:val="22"/>
          <w:szCs w:val="22"/>
        </w:rPr>
      </w:pPr>
      <w:r>
        <w:rPr>
          <w:rFonts w:eastAsia="Times New Roman" w:cs="Times New Roman" w:ascii="Times New Roman" w:hAnsi="Times New Roman"/>
          <w:b/>
          <w:bCs w:val="false"/>
          <w:sz w:val="22"/>
          <w:szCs w:val="22"/>
          <w:lang w:val="en-US"/>
        </w:rPr>
        <w:t>Results of allergy- and sex dependent analyses</w:t>
      </w:r>
    </w:p>
    <w:p>
      <w:pPr>
        <w:pStyle w:val="LO-normal"/>
        <w:numPr>
          <w:ilvl w:val="0"/>
          <w:numId w:val="1"/>
        </w:numPr>
        <w:spacing w:lineRule="auto" w:line="360"/>
        <w:rPr>
          <w:rFonts w:ascii="Times New Roman" w:hAnsi="Times New Roman"/>
          <w:sz w:val="22"/>
          <w:szCs w:val="22"/>
        </w:rPr>
      </w:pPr>
      <w:r>
        <w:rPr>
          <w:rFonts w:eastAsia="Times New Roman" w:cs="Times New Roman" w:ascii="Times New Roman" w:hAnsi="Times New Roman"/>
          <w:b/>
          <w:sz w:val="22"/>
          <w:szCs w:val="22"/>
          <w:lang w:val="en-US"/>
        </w:rPr>
        <w:t>Supplementary methods</w:t>
      </w:r>
    </w:p>
    <w:p>
      <w:pPr>
        <w:pStyle w:val="LO-normal"/>
        <w:numPr>
          <w:ilvl w:val="1"/>
          <w:numId w:val="1"/>
        </w:numPr>
        <w:spacing w:lineRule="auto" w:line="360"/>
        <w:rPr>
          <w:rFonts w:ascii="Times New Roman" w:hAnsi="Times New Roman"/>
          <w:sz w:val="22"/>
          <w:szCs w:val="22"/>
        </w:rPr>
      </w:pPr>
      <w:r>
        <w:rPr>
          <w:rFonts w:eastAsia="Times New Roman" w:cs="Times New Roman" w:ascii="Times New Roman" w:hAnsi="Times New Roman"/>
          <w:b/>
          <w:i w:val="false"/>
          <w:iCs w:val="false"/>
          <w:color w:val="auto"/>
          <w:kern w:val="0"/>
          <w:sz w:val="22"/>
          <w:szCs w:val="22"/>
          <w:lang w:val="en-US" w:eastAsia="zh-CN" w:bidi="hi-IN"/>
        </w:rPr>
        <w:t>Phenotypic characterization of the transcriptomic and migraine cohort</w:t>
      </w:r>
    </w:p>
    <w:p>
      <w:pPr>
        <w:pStyle w:val="LO-normal"/>
        <w:numPr>
          <w:ilvl w:val="1"/>
          <w:numId w:val="1"/>
        </w:numPr>
        <w:spacing w:lineRule="auto" w:line="360"/>
        <w:rPr>
          <w:rFonts w:ascii="Times New Roman" w:hAnsi="Times New Roman"/>
          <w:sz w:val="22"/>
          <w:szCs w:val="22"/>
        </w:rPr>
      </w:pPr>
      <w:r>
        <w:rPr>
          <w:rFonts w:eastAsia="Times New Roman" w:cs="Times New Roman" w:ascii="Times New Roman" w:hAnsi="Times New Roman"/>
          <w:b/>
          <w:i w:val="false"/>
          <w:iCs w:val="false"/>
          <w:color w:val="auto"/>
          <w:kern w:val="0"/>
          <w:sz w:val="22"/>
          <w:szCs w:val="22"/>
          <w:lang w:val="en-US" w:eastAsia="zh-CN" w:bidi="hi-IN"/>
        </w:rPr>
        <w:t>Power Calculations</w:t>
      </w:r>
    </w:p>
    <w:p>
      <w:pPr>
        <w:pStyle w:val="LO-normal"/>
        <w:numPr>
          <w:ilvl w:val="2"/>
          <w:numId w:val="1"/>
        </w:numPr>
        <w:spacing w:lineRule="auto" w:line="360"/>
        <w:rPr>
          <w:rFonts w:ascii="Times New Roman" w:hAnsi="Times New Roman"/>
          <w:sz w:val="22"/>
          <w:szCs w:val="22"/>
        </w:rPr>
      </w:pPr>
      <w:r>
        <w:rPr>
          <w:rFonts w:ascii="Times New Roman" w:hAnsi="Times New Roman"/>
          <w:sz w:val="22"/>
          <w:szCs w:val="22"/>
        </w:rPr>
        <w:t>Figure 9. Power estimate versus mean count plot</w:t>
      </w:r>
    </w:p>
    <w:p>
      <w:pPr>
        <w:pStyle w:val="LO-normal"/>
        <w:numPr>
          <w:ilvl w:val="1"/>
          <w:numId w:val="1"/>
        </w:numPr>
        <w:spacing w:lineRule="auto" w:line="360"/>
        <w:rPr>
          <w:rFonts w:ascii="Times New Roman" w:hAnsi="Times New Roman"/>
          <w:sz w:val="22"/>
          <w:szCs w:val="22"/>
        </w:rPr>
      </w:pPr>
      <w:r>
        <w:rPr>
          <w:rFonts w:eastAsia="Times New Roman" w:cs="Times New Roman" w:ascii="Times New Roman" w:hAnsi="Times New Roman"/>
          <w:b/>
          <w:i w:val="false"/>
          <w:iCs w:val="false"/>
          <w:color w:val="auto"/>
          <w:kern w:val="0"/>
          <w:sz w:val="22"/>
          <w:szCs w:val="22"/>
          <w:lang w:val="en-US" w:eastAsia="zh-CN" w:bidi="hi-IN"/>
        </w:rPr>
        <w:t>Sequencing and sequencing data analysis</w:t>
      </w:r>
    </w:p>
    <w:p>
      <w:pPr>
        <w:pStyle w:val="LO-normal"/>
        <w:numPr>
          <w:ilvl w:val="1"/>
          <w:numId w:val="1"/>
        </w:numPr>
        <w:spacing w:lineRule="auto" w:line="360"/>
        <w:rPr>
          <w:rFonts w:ascii="Times New Roman" w:hAnsi="Times New Roman"/>
          <w:sz w:val="22"/>
          <w:szCs w:val="22"/>
        </w:rPr>
      </w:pPr>
      <w:r>
        <w:rPr>
          <w:rFonts w:eastAsia="Times New Roman" w:cs="Times New Roman" w:ascii="Times New Roman" w:hAnsi="Times New Roman"/>
          <w:b/>
          <w:i w:val="false"/>
          <w:iCs w:val="false"/>
          <w:color w:val="auto"/>
          <w:kern w:val="0"/>
          <w:sz w:val="22"/>
          <w:szCs w:val="22"/>
          <w:lang w:val="en-US" w:eastAsia="zh-CN" w:bidi="hi-IN"/>
        </w:rPr>
        <w:t>Genomic data analysis</w:t>
      </w:r>
    </w:p>
    <w:p>
      <w:pPr>
        <w:pStyle w:val="LO-normal"/>
        <w:numPr>
          <w:ilvl w:val="1"/>
          <w:numId w:val="1"/>
        </w:numPr>
        <w:spacing w:lineRule="auto" w:line="360"/>
        <w:rPr>
          <w:rFonts w:ascii="Times New Roman" w:hAnsi="Times New Roman"/>
          <w:sz w:val="22"/>
          <w:szCs w:val="22"/>
        </w:rPr>
      </w:pPr>
      <w:r>
        <w:rPr>
          <w:rFonts w:eastAsia="Times New Roman" w:cs="Times New Roman" w:ascii="Times New Roman" w:hAnsi="Times New Roman"/>
          <w:b/>
          <w:i w:val="false"/>
          <w:iCs w:val="false"/>
          <w:color w:val="auto"/>
          <w:kern w:val="0"/>
          <w:sz w:val="22"/>
          <w:szCs w:val="22"/>
          <w:lang w:val="en-US" w:eastAsia="zh-CN" w:bidi="hi-IN"/>
        </w:rPr>
        <w:t>AutoDock Vina and machine learning-based predictions</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sz w:val="22"/>
          <w:szCs w:val="22"/>
          <w:lang w:val="en-US"/>
        </w:rPr>
        <w:t>Figure 10. Schematic workflow of AutoDock Vina binding calculations between drugs and genes</w:t>
      </w:r>
    </w:p>
    <w:p>
      <w:pPr>
        <w:pStyle w:val="LO-normal"/>
        <w:widowControl/>
        <w:numPr>
          <w:ilvl w:val="2"/>
          <w:numId w:val="1"/>
        </w:numPr>
        <w:suppressAutoHyphens w:val="true"/>
        <w:bidi w:val="0"/>
        <w:spacing w:lineRule="auto" w:line="360" w:before="0" w:after="0"/>
        <w:ind w:hanging="1080" w:left="2160" w:right="0"/>
        <w:jc w:val="left"/>
        <w:rPr>
          <w:rFonts w:ascii="Times New Roman" w:hAnsi="Times New Roman"/>
          <w:sz w:val="22"/>
          <w:szCs w:val="22"/>
        </w:rPr>
      </w:pPr>
      <w:r>
        <w:rPr>
          <w:rFonts w:eastAsia="Times New Roman" w:cs="Times New Roman" w:ascii="Times New Roman" w:hAnsi="Times New Roman"/>
          <w:sz w:val="22"/>
          <w:szCs w:val="22"/>
          <w:lang w:val="en-US"/>
        </w:rPr>
        <w:t>Figure 11. Schematic workflow of machine learning based drug-protein binding predictions</w:t>
      </w:r>
    </w:p>
    <w:p>
      <w:pPr>
        <w:pStyle w:val="LO-normal"/>
        <w:numPr>
          <w:ilvl w:val="0"/>
          <w:numId w:val="1"/>
        </w:numPr>
        <w:spacing w:lineRule="auto" w:line="360"/>
        <w:rPr>
          <w:rFonts w:ascii="Times New Roman" w:hAnsi="Times New Roman"/>
          <w:sz w:val="22"/>
          <w:szCs w:val="22"/>
        </w:rPr>
      </w:pPr>
      <w:r>
        <w:rPr>
          <w:rFonts w:eastAsia="Times New Roman" w:cs="Times New Roman" w:ascii="Times New Roman" w:hAnsi="Times New Roman"/>
          <w:b/>
          <w:sz w:val="22"/>
          <w:szCs w:val="22"/>
          <w:lang w:val="en-US"/>
        </w:rPr>
        <w:t>Supplementary References</w:t>
      </w:r>
    </w:p>
    <w:p>
      <w:pPr>
        <w:pStyle w:val="LO-normal"/>
        <w:spacing w:lineRule="auto" w:line="360"/>
        <w:rPr>
          <w:rFonts w:ascii="Times New Roman" w:hAnsi="Times New Roman" w:eastAsia="Times New Roman" w:cs="Times New Roman"/>
          <w:b/>
          <w:sz w:val="22"/>
          <w:szCs w:val="22"/>
          <w:lang w:val="en-US"/>
        </w:rPr>
      </w:pPr>
      <w:r>
        <w:rPr>
          <w:rFonts w:eastAsia="Times New Roman" w:cs="Times New Roman" w:ascii="Times New Roman" w:hAnsi="Times New Roman"/>
          <w:b/>
          <w:sz w:val="22"/>
          <w:szCs w:val="22"/>
          <w:lang w:val="en-US"/>
        </w:rPr>
      </w:r>
      <w:r>
        <w:br w:type="page"/>
      </w:r>
    </w:p>
    <w:p>
      <w:pPr>
        <w:pStyle w:val="LO-normal"/>
        <w:spacing w:lineRule="auto" w:line="360" w:before="0" w:after="0"/>
        <w:rPr>
          <w:rFonts w:ascii="Times New Roman" w:hAnsi="Times New Roman"/>
        </w:rPr>
      </w:pPr>
      <w:r>
        <w:rPr>
          <w:rFonts w:eastAsia="Times New Roman" w:cs="Times New Roman" w:ascii="Times New Roman" w:hAnsi="Times New Roman"/>
          <w:b/>
          <w:sz w:val="20"/>
          <w:szCs w:val="20"/>
          <w:lang w:val="en-US"/>
        </w:rPr>
        <w:t>Biological coefficient of variation plots</w:t>
      </w:r>
    </w:p>
    <w:p>
      <w:pPr>
        <w:pStyle w:val="LO-normal"/>
        <w:spacing w:lineRule="auto" w:line="360"/>
        <w:jc w:val="both"/>
        <w:rPr>
          <w:rFonts w:ascii="Times New Roman" w:hAnsi="Times New Roman"/>
        </w:rPr>
      </w:pPr>
      <w:r>
        <w:rPr>
          <w:rFonts w:eastAsia="Times New Roman" w:cs="Times New Roman" w:ascii="Times New Roman" w:hAnsi="Times New Roman"/>
          <w:sz w:val="20"/>
          <w:szCs w:val="20"/>
          <w:lang w:val="en-US"/>
        </w:rPr>
        <w:t xml:space="preserve">In RNA sequencing (RNASeq) experiments, the biological coefficient of variation (BCV) is a statistical measure used to assess the variability in gene expression levels between biological replicates. It quantifies the extent of biological variability, which refers to the natural differences that occur among individual samples or organisms. </w:t>
      </w:r>
    </w:p>
    <w:p>
      <w:pPr>
        <w:pStyle w:val="LO-normal"/>
        <w:spacing w:lineRule="auto" w:line="360"/>
        <w:ind w:firstLine="720"/>
        <w:jc w:val="both"/>
        <w:rPr>
          <w:rFonts w:ascii="Times New Roman" w:hAnsi="Times New Roman"/>
        </w:rPr>
      </w:pPr>
      <w:r>
        <w:rPr>
          <w:rFonts w:eastAsia="Times New Roman" w:cs="Times New Roman" w:ascii="Times New Roman" w:hAnsi="Times New Roman"/>
          <w:sz w:val="20"/>
          <w:szCs w:val="20"/>
          <w:lang w:val="en-US"/>
        </w:rPr>
        <w:t xml:space="preserve">Plots in </w:t>
      </w:r>
      <w:r>
        <w:rPr>
          <w:rFonts w:eastAsia="Times New Roman" w:cs="Times New Roman" w:ascii="Times New Roman" w:hAnsi="Times New Roman"/>
          <w:b/>
          <w:sz w:val="20"/>
          <w:szCs w:val="20"/>
          <w:lang w:val="en-US"/>
        </w:rPr>
        <w:t>Figures 1-8</w:t>
      </w:r>
      <w:r>
        <w:rPr>
          <w:rFonts w:eastAsia="Times New Roman" w:cs="Times New Roman" w:ascii="Times New Roman" w:hAnsi="Times New Roman"/>
          <w:sz w:val="20"/>
          <w:szCs w:val="20"/>
          <w:lang w:val="en-US"/>
        </w:rPr>
        <w:t xml:space="preserve">  show levels of BCV and were not considered outliers by visual inspection.</w:t>
      </w:r>
    </w:p>
    <w:p>
      <w:pPr>
        <w:pStyle w:val="LO-normal"/>
        <w:spacing w:lineRule="auto" w:line="360"/>
        <w:jc w:val="both"/>
        <w:rPr>
          <w:rFonts w:ascii="Times New Roman" w:hAnsi="Times New Roman" w:eastAsia="Times New Roman" w:cs="Times New Roman"/>
          <w:sz w:val="20"/>
          <w:szCs w:val="20"/>
          <w:lang w:val="en-US"/>
        </w:rPr>
      </w:pPr>
      <w:r>
        <w:rPr>
          <w:rFonts w:eastAsia="Times New Roman" w:cs="Times New Roman" w:ascii="Times New Roman" w:hAnsi="Times New Roman"/>
          <w:sz w:val="20"/>
          <w:szCs w:val="20"/>
          <w:lang w:val="en-US"/>
        </w:rPr>
      </w:r>
    </w:p>
    <w:p>
      <w:pPr>
        <w:pStyle w:val="LO-normal"/>
        <w:spacing w:lineRule="auto" w:line="360"/>
        <w:rPr>
          <w:rFonts w:ascii="Times New Roman" w:hAnsi="Times New Roman" w:eastAsia="Times New Roman" w:cs="Times New Roman"/>
          <w:sz w:val="20"/>
          <w:szCs w:val="20"/>
          <w:lang w:val="en-US"/>
        </w:rPr>
      </w:pPr>
      <w:r>
        <w:rPr>
          <w:rFonts w:eastAsia="Times New Roman" w:cs="Times New Roman" w:ascii="Times New Roman" w:hAnsi="Times New Roman"/>
          <w:sz w:val="20"/>
          <w:szCs w:val="20"/>
          <w:lang w:val="en-US"/>
        </w:rPr>
      </w:r>
      <w:r>
        <w:br w:type="page"/>
      </w:r>
    </w:p>
    <w:p>
      <w:pPr>
        <w:pStyle w:val="LO-normal"/>
        <w:spacing w:lineRule="auto" w:line="360" w:before="0" w:after="0"/>
        <w:rPr>
          <w:rFonts w:ascii="Times New Roman" w:hAnsi="Times New Roman"/>
        </w:rPr>
      </w:pPr>
      <w:r>
        <w:rPr/>
        <w:drawing>
          <wp:inline distT="0" distB="0" distL="0" distR="0">
            <wp:extent cx="5731510" cy="5727700"/>
            <wp:effectExtent l="0" t="0" r="0" b="0"/>
            <wp:docPr id="1" name="image5.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jpg" descr=""/>
                    <pic:cNvPicPr>
                      <a:picLocks noChangeAspect="1" noChangeArrowheads="1"/>
                    </pic:cNvPicPr>
                  </pic:nvPicPr>
                  <pic:blipFill>
                    <a:blip r:embed="rId3"/>
                    <a:srcRect l="0" t="30" r="0" b="30"/>
                    <a:stretch>
                      <a:fillRect/>
                    </a:stretch>
                  </pic:blipFill>
                  <pic:spPr bwMode="auto">
                    <a:xfrm>
                      <a:off x="0" y="0"/>
                      <a:ext cx="5731510" cy="572770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Figure 1. BCV plot at S1 of migraine vs control comparisons</w:t>
      </w:r>
    </w:p>
    <w:p>
      <w:pPr>
        <w:pStyle w:val="LO-normal"/>
        <w:spacing w:lineRule="auto" w:line="360"/>
        <w:rPr>
          <w:rFonts w:ascii="Times New Roman" w:hAnsi="Times New Roman"/>
          <w:sz w:val="18"/>
          <w:szCs w:val="18"/>
        </w:rPr>
      </w:pPr>
      <w:r>
        <w:rPr>
          <w:rFonts w:eastAsia="Times New Roman" w:cs="Times New Roman" w:ascii="Times New Roman" w:hAnsi="Times New Roman"/>
          <w:i/>
          <w:sz w:val="18"/>
          <w:szCs w:val="18"/>
          <w:lang w:val="en-US"/>
        </w:rPr>
        <w:t>Upper left</w:t>
      </w:r>
      <w:r>
        <w:rPr>
          <w:rFonts w:eastAsia="Times New Roman" w:cs="Times New Roman" w:ascii="Times New Roman" w:hAnsi="Times New Roman"/>
          <w:sz w:val="18"/>
          <w:szCs w:val="18"/>
          <w:lang w:val="en-US"/>
        </w:rPr>
        <w:t xml:space="preserve"> figure represents data just for Age+Sex correction, </w:t>
      </w:r>
      <w:r>
        <w:rPr>
          <w:rFonts w:eastAsia="Times New Roman" w:cs="Times New Roman" w:ascii="Times New Roman" w:hAnsi="Times New Roman"/>
          <w:i/>
          <w:sz w:val="18"/>
          <w:szCs w:val="18"/>
          <w:lang w:val="en-US"/>
        </w:rPr>
        <w:t>upper right</w:t>
      </w:r>
      <w:r>
        <w:rPr>
          <w:rFonts w:eastAsia="Times New Roman" w:cs="Times New Roman" w:ascii="Times New Roman" w:hAnsi="Times New Roman"/>
          <w:sz w:val="18"/>
          <w:szCs w:val="18"/>
          <w:lang w:val="en-US"/>
        </w:rPr>
        <w:t xml:space="preserve"> figure shows Age+Sex+Allergy correction, </w:t>
      </w:r>
      <w:r>
        <w:rPr>
          <w:rFonts w:eastAsia="Times New Roman" w:cs="Times New Roman" w:ascii="Times New Roman" w:hAnsi="Times New Roman"/>
          <w:i/>
          <w:sz w:val="18"/>
          <w:szCs w:val="18"/>
          <w:lang w:val="en-US"/>
        </w:rPr>
        <w:t>lower left</w:t>
      </w:r>
      <w:r>
        <w:rPr>
          <w:rFonts w:eastAsia="Times New Roman" w:cs="Times New Roman" w:ascii="Times New Roman" w:hAnsi="Times New Roman"/>
          <w:sz w:val="18"/>
          <w:szCs w:val="18"/>
          <w:lang w:val="en-US"/>
        </w:rPr>
        <w:t xml:space="preserve"> figure has the Age+Sex+Smoking correction and </w:t>
      </w:r>
      <w:r>
        <w:rPr>
          <w:rFonts w:eastAsia="Times New Roman" w:cs="Times New Roman" w:ascii="Times New Roman" w:hAnsi="Times New Roman"/>
          <w:i/>
          <w:sz w:val="18"/>
          <w:szCs w:val="18"/>
          <w:lang w:val="en-US"/>
        </w:rPr>
        <w:t>lower right</w:t>
      </w:r>
      <w:r>
        <w:rPr>
          <w:rFonts w:eastAsia="Times New Roman" w:cs="Times New Roman" w:ascii="Times New Roman" w:hAnsi="Times New Roman"/>
          <w:sz w:val="18"/>
          <w:szCs w:val="18"/>
          <w:lang w:val="en-US"/>
        </w:rPr>
        <w:t xml:space="preserve"> corner highlights the Age+Sex+Allergy+Smoking correction. Naming conventions correspond to main text. </w:t>
      </w:r>
      <w:r>
        <w:br w:type="page"/>
      </w:r>
    </w:p>
    <w:p>
      <w:pPr>
        <w:pStyle w:val="LO-normal"/>
        <w:spacing w:lineRule="auto" w:line="360" w:before="0" w:after="0"/>
        <w:rPr>
          <w:rFonts w:ascii="Times New Roman" w:hAnsi="Times New Roman"/>
          <w:sz w:val="18"/>
          <w:szCs w:val="18"/>
        </w:rPr>
      </w:pPr>
      <w:r>
        <w:rPr/>
        <w:drawing>
          <wp:inline distT="0" distB="0" distL="0" distR="0">
            <wp:extent cx="5731510" cy="5727700"/>
            <wp:effectExtent l="0" t="0" r="0" b="0"/>
            <wp:docPr id="2" name="image2.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descr=""/>
                    <pic:cNvPicPr>
                      <a:picLocks noChangeAspect="1" noChangeArrowheads="1"/>
                    </pic:cNvPicPr>
                  </pic:nvPicPr>
                  <pic:blipFill>
                    <a:blip r:embed="rId4"/>
                    <a:stretch>
                      <a:fillRect/>
                    </a:stretch>
                  </pic:blipFill>
                  <pic:spPr bwMode="auto">
                    <a:xfrm>
                      <a:off x="0" y="0"/>
                      <a:ext cx="5731510" cy="572770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Figure 2. BCV plot at S1 of male migraine</w:t>
      </w:r>
      <w:sdt>
        <w:sdtPr>
          <w:id w:val="1161161414"/>
        </w:sdtPr>
        <w:sdtContent>
          <w:r>
            <w:rPr>
              <w:rFonts w:eastAsia="Times New Roman" w:cs="Times New Roman" w:ascii="Times New Roman" w:hAnsi="Times New Roman"/>
              <w:b/>
              <w:sz w:val="18"/>
              <w:szCs w:val="18"/>
              <w:lang w:val="en-US"/>
            </w:rPr>
          </w:r>
          <w:r>
            <w:rPr>
              <w:rFonts w:ascii="Times New Roman" w:hAnsi="Times New Roman"/>
              <w:sz w:val="18"/>
              <w:szCs w:val="18"/>
            </w:rPr>
            <w:t xml:space="preserve"> </w:t>
          </w:r>
        </w:sdtContent>
      </w:sdt>
      <w:r>
        <w:rPr>
          <w:rFonts w:eastAsia="Times New Roman" w:cs="Times New Roman" w:ascii="Times New Roman" w:hAnsi="Times New Roman"/>
          <w:b/>
          <w:sz w:val="18"/>
          <w:szCs w:val="18"/>
          <w:lang w:val="en-US"/>
        </w:rPr>
        <w:t>vs male control comparison</w:t>
      </w:r>
    </w:p>
    <w:p>
      <w:pPr>
        <w:pStyle w:val="LO-normal"/>
        <w:spacing w:lineRule="auto" w:line="360"/>
        <w:rPr>
          <w:rFonts w:ascii="Times New Roman" w:hAnsi="Times New Roman"/>
          <w:sz w:val="18"/>
          <w:szCs w:val="18"/>
        </w:rPr>
      </w:pPr>
      <w:r>
        <w:rPr>
          <w:rFonts w:eastAsia="Times New Roman" w:cs="Times New Roman" w:ascii="Times New Roman" w:hAnsi="Times New Roman"/>
          <w:i/>
          <w:sz w:val="18"/>
          <w:szCs w:val="18"/>
          <w:lang w:val="en-US"/>
        </w:rPr>
        <w:t>Upper left</w:t>
      </w:r>
      <w:r>
        <w:rPr>
          <w:rFonts w:eastAsia="Times New Roman" w:cs="Times New Roman" w:ascii="Times New Roman" w:hAnsi="Times New Roman"/>
          <w:sz w:val="18"/>
          <w:szCs w:val="18"/>
          <w:lang w:val="en-US"/>
        </w:rPr>
        <w:t xml:space="preserve"> figure represents data just for Age correction, </w:t>
      </w:r>
      <w:r>
        <w:rPr>
          <w:rFonts w:eastAsia="Times New Roman" w:cs="Times New Roman" w:ascii="Times New Roman" w:hAnsi="Times New Roman"/>
          <w:i/>
          <w:sz w:val="18"/>
          <w:szCs w:val="18"/>
          <w:lang w:val="en-US"/>
        </w:rPr>
        <w:t>upper right</w:t>
      </w:r>
      <w:r>
        <w:rPr>
          <w:rFonts w:eastAsia="Times New Roman" w:cs="Times New Roman" w:ascii="Times New Roman" w:hAnsi="Times New Roman"/>
          <w:sz w:val="18"/>
          <w:szCs w:val="18"/>
          <w:lang w:val="en-US"/>
        </w:rPr>
        <w:t xml:space="preserve"> figure shows Age+Allergy correction, </w:t>
      </w:r>
      <w:r>
        <w:rPr>
          <w:rFonts w:eastAsia="Times New Roman" w:cs="Times New Roman" w:ascii="Times New Roman" w:hAnsi="Times New Roman"/>
          <w:i/>
          <w:sz w:val="18"/>
          <w:szCs w:val="18"/>
          <w:lang w:val="en-US"/>
        </w:rPr>
        <w:t>lower left</w:t>
      </w:r>
      <w:r>
        <w:rPr>
          <w:rFonts w:eastAsia="Times New Roman" w:cs="Times New Roman" w:ascii="Times New Roman" w:hAnsi="Times New Roman"/>
          <w:sz w:val="18"/>
          <w:szCs w:val="18"/>
          <w:lang w:val="en-US"/>
        </w:rPr>
        <w:t xml:space="preserve"> figure has the Age+Smoking correction and </w:t>
      </w:r>
      <w:r>
        <w:rPr>
          <w:rFonts w:eastAsia="Times New Roman" w:cs="Times New Roman" w:ascii="Times New Roman" w:hAnsi="Times New Roman"/>
          <w:i/>
          <w:sz w:val="18"/>
          <w:szCs w:val="18"/>
          <w:lang w:val="en-US"/>
        </w:rPr>
        <w:t>lower right</w:t>
      </w:r>
      <w:r>
        <w:rPr>
          <w:rFonts w:eastAsia="Times New Roman" w:cs="Times New Roman" w:ascii="Times New Roman" w:hAnsi="Times New Roman"/>
          <w:sz w:val="18"/>
          <w:szCs w:val="18"/>
          <w:lang w:val="en-US"/>
        </w:rPr>
        <w:t xml:space="preserve"> corner highlights the Age+Allergy+Smoking correction.</w:t>
      </w:r>
      <w:r>
        <w:br w:type="page"/>
      </w:r>
    </w:p>
    <w:p>
      <w:pPr>
        <w:pStyle w:val="LO-normal"/>
        <w:spacing w:lineRule="auto" w:line="360" w:before="0" w:after="0"/>
        <w:rPr>
          <w:rFonts w:ascii="Times New Roman" w:hAnsi="Times New Roman"/>
          <w:sz w:val="18"/>
          <w:szCs w:val="18"/>
        </w:rPr>
      </w:pPr>
      <w:r>
        <w:rPr/>
        <w:drawing>
          <wp:inline distT="0" distB="0" distL="0" distR="0">
            <wp:extent cx="5731510" cy="572770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tretch>
                      <a:fillRect/>
                    </a:stretch>
                  </pic:blipFill>
                  <pic:spPr bwMode="auto">
                    <a:xfrm>
                      <a:off x="0" y="0"/>
                      <a:ext cx="5731510" cy="572770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Figure 3. BCV plot at S1 of female migraine vs female control comparison</w:t>
      </w:r>
    </w:p>
    <w:p>
      <w:pPr>
        <w:pStyle w:val="LO-normal"/>
        <w:spacing w:lineRule="auto" w:line="360"/>
        <w:rPr>
          <w:rFonts w:ascii="Times New Roman" w:hAnsi="Times New Roman"/>
          <w:sz w:val="18"/>
          <w:szCs w:val="18"/>
        </w:rPr>
      </w:pPr>
      <w:r>
        <w:rPr>
          <w:rFonts w:eastAsia="Times New Roman" w:cs="Times New Roman" w:ascii="Times New Roman" w:hAnsi="Times New Roman"/>
          <w:i/>
          <w:sz w:val="18"/>
          <w:szCs w:val="18"/>
          <w:lang w:val="en-US"/>
        </w:rPr>
        <w:t>Upper left</w:t>
      </w:r>
      <w:r>
        <w:rPr>
          <w:rFonts w:eastAsia="Times New Roman" w:cs="Times New Roman" w:ascii="Times New Roman" w:hAnsi="Times New Roman"/>
          <w:sz w:val="18"/>
          <w:szCs w:val="18"/>
          <w:lang w:val="en-US"/>
        </w:rPr>
        <w:t xml:space="preserve"> figure represents data just for Age correction, </w:t>
      </w:r>
      <w:r>
        <w:rPr>
          <w:rFonts w:eastAsia="Times New Roman" w:cs="Times New Roman" w:ascii="Times New Roman" w:hAnsi="Times New Roman"/>
          <w:i/>
          <w:sz w:val="18"/>
          <w:szCs w:val="18"/>
          <w:lang w:val="en-US"/>
        </w:rPr>
        <w:t>upper right</w:t>
      </w:r>
      <w:r>
        <w:rPr>
          <w:rFonts w:eastAsia="Times New Roman" w:cs="Times New Roman" w:ascii="Times New Roman" w:hAnsi="Times New Roman"/>
          <w:sz w:val="18"/>
          <w:szCs w:val="18"/>
          <w:lang w:val="en-US"/>
        </w:rPr>
        <w:t xml:space="preserve"> figure shows Age+Allergy correction, </w:t>
      </w:r>
      <w:r>
        <w:rPr>
          <w:rFonts w:eastAsia="Times New Roman" w:cs="Times New Roman" w:ascii="Times New Roman" w:hAnsi="Times New Roman"/>
          <w:i/>
          <w:sz w:val="18"/>
          <w:szCs w:val="18"/>
          <w:lang w:val="en-US"/>
        </w:rPr>
        <w:t>lower left</w:t>
      </w:r>
      <w:r>
        <w:rPr>
          <w:rFonts w:eastAsia="Times New Roman" w:cs="Times New Roman" w:ascii="Times New Roman" w:hAnsi="Times New Roman"/>
          <w:sz w:val="18"/>
          <w:szCs w:val="18"/>
          <w:lang w:val="en-US"/>
        </w:rPr>
        <w:t xml:space="preserve"> figure has the Age+Smoking correction and </w:t>
      </w:r>
      <w:r>
        <w:rPr>
          <w:rFonts w:eastAsia="Times New Roman" w:cs="Times New Roman" w:ascii="Times New Roman" w:hAnsi="Times New Roman"/>
          <w:i/>
          <w:sz w:val="18"/>
          <w:szCs w:val="18"/>
          <w:lang w:val="en-US"/>
        </w:rPr>
        <w:t>lower right</w:t>
      </w:r>
      <w:r>
        <w:rPr>
          <w:rFonts w:eastAsia="Times New Roman" w:cs="Times New Roman" w:ascii="Times New Roman" w:hAnsi="Times New Roman"/>
          <w:sz w:val="18"/>
          <w:szCs w:val="18"/>
          <w:lang w:val="en-US"/>
        </w:rPr>
        <w:t xml:space="preserve"> corner highlights the Age+Allergy+Smoking correction.</w:t>
      </w:r>
      <w:r>
        <w:br w:type="page"/>
      </w:r>
    </w:p>
    <w:p>
      <w:pPr>
        <w:pStyle w:val="LO-normal"/>
        <w:spacing w:lineRule="auto" w:line="360" w:before="0" w:after="0"/>
        <w:rPr>
          <w:rFonts w:ascii="Times New Roman" w:hAnsi="Times New Roman"/>
          <w:sz w:val="18"/>
          <w:szCs w:val="18"/>
        </w:rPr>
      </w:pPr>
      <w:r>
        <w:rPr/>
        <w:drawing>
          <wp:inline distT="0" distB="0" distL="0" distR="0">
            <wp:extent cx="5731510" cy="5727700"/>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6"/>
                    <a:stretch>
                      <a:fillRect/>
                    </a:stretch>
                  </pic:blipFill>
                  <pic:spPr bwMode="auto">
                    <a:xfrm>
                      <a:off x="0" y="0"/>
                      <a:ext cx="5731510" cy="572770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Figure 4. BCV plot at S1 of female migraine vs male migraine comparison</w:t>
      </w:r>
    </w:p>
    <w:p>
      <w:pPr>
        <w:pStyle w:val="LO-normal"/>
        <w:spacing w:lineRule="auto" w:line="360"/>
        <w:rPr>
          <w:rFonts w:ascii="Times New Roman" w:hAnsi="Times New Roman"/>
          <w:sz w:val="18"/>
          <w:szCs w:val="18"/>
        </w:rPr>
      </w:pPr>
      <w:r>
        <w:rPr>
          <w:rFonts w:eastAsia="Times New Roman" w:cs="Times New Roman" w:ascii="Times New Roman" w:hAnsi="Times New Roman"/>
          <w:i/>
          <w:sz w:val="18"/>
          <w:szCs w:val="18"/>
          <w:lang w:val="en-US"/>
        </w:rPr>
        <w:t>Upper left</w:t>
      </w:r>
      <w:r>
        <w:rPr>
          <w:rFonts w:eastAsia="Times New Roman" w:cs="Times New Roman" w:ascii="Times New Roman" w:hAnsi="Times New Roman"/>
          <w:sz w:val="18"/>
          <w:szCs w:val="18"/>
          <w:lang w:val="en-US"/>
        </w:rPr>
        <w:t xml:space="preserve"> figure represents data just for Age correction, </w:t>
      </w:r>
      <w:r>
        <w:rPr>
          <w:rFonts w:eastAsia="Times New Roman" w:cs="Times New Roman" w:ascii="Times New Roman" w:hAnsi="Times New Roman"/>
          <w:i/>
          <w:sz w:val="18"/>
          <w:szCs w:val="18"/>
          <w:lang w:val="en-US"/>
        </w:rPr>
        <w:t>upper right</w:t>
      </w:r>
      <w:r>
        <w:rPr>
          <w:rFonts w:eastAsia="Times New Roman" w:cs="Times New Roman" w:ascii="Times New Roman" w:hAnsi="Times New Roman"/>
          <w:sz w:val="18"/>
          <w:szCs w:val="18"/>
          <w:lang w:val="en-US"/>
        </w:rPr>
        <w:t xml:space="preserve"> figure shows Age+Allergy correction, </w:t>
      </w:r>
      <w:r>
        <w:rPr>
          <w:rFonts w:eastAsia="Times New Roman" w:cs="Times New Roman" w:ascii="Times New Roman" w:hAnsi="Times New Roman"/>
          <w:i/>
          <w:sz w:val="18"/>
          <w:szCs w:val="18"/>
          <w:lang w:val="en-US"/>
        </w:rPr>
        <w:t>lower left</w:t>
      </w:r>
      <w:r>
        <w:rPr>
          <w:rFonts w:eastAsia="Times New Roman" w:cs="Times New Roman" w:ascii="Times New Roman" w:hAnsi="Times New Roman"/>
          <w:sz w:val="18"/>
          <w:szCs w:val="18"/>
          <w:lang w:val="en-US"/>
        </w:rPr>
        <w:t xml:space="preserve"> figure has the Age+Smoking correction and </w:t>
      </w:r>
      <w:r>
        <w:rPr>
          <w:rFonts w:eastAsia="Times New Roman" w:cs="Times New Roman" w:ascii="Times New Roman" w:hAnsi="Times New Roman"/>
          <w:i/>
          <w:sz w:val="18"/>
          <w:szCs w:val="18"/>
          <w:lang w:val="en-US"/>
        </w:rPr>
        <w:t>lower right</w:t>
      </w:r>
      <w:r>
        <w:rPr>
          <w:rFonts w:eastAsia="Times New Roman" w:cs="Times New Roman" w:ascii="Times New Roman" w:hAnsi="Times New Roman"/>
          <w:sz w:val="18"/>
          <w:szCs w:val="18"/>
          <w:lang w:val="en-US"/>
        </w:rPr>
        <w:t xml:space="preserve"> corner highlights the Age+Allergy+Smoking correction.</w:t>
      </w:r>
      <w:r>
        <w:br w:type="page"/>
      </w:r>
    </w:p>
    <w:p>
      <w:pPr>
        <w:pStyle w:val="LO-normal"/>
        <w:spacing w:lineRule="auto" w:line="360" w:before="0" w:after="0"/>
        <w:rPr>
          <w:rFonts w:ascii="Times New Roman" w:hAnsi="Times New Roman"/>
          <w:sz w:val="18"/>
          <w:szCs w:val="18"/>
        </w:rPr>
      </w:pPr>
      <w:r>
        <w:rPr/>
        <w:drawing>
          <wp:inline distT="0" distB="0" distL="0" distR="0">
            <wp:extent cx="5731510" cy="5727700"/>
            <wp:effectExtent l="0" t="0" r="0" b="0"/>
            <wp:docPr id="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pic:cNvPicPr>
                      <a:picLocks noChangeAspect="1" noChangeArrowheads="1"/>
                    </pic:cNvPicPr>
                  </pic:nvPicPr>
                  <pic:blipFill>
                    <a:blip r:embed="rId7"/>
                    <a:stretch>
                      <a:fillRect/>
                    </a:stretch>
                  </pic:blipFill>
                  <pic:spPr bwMode="auto">
                    <a:xfrm>
                      <a:off x="0" y="0"/>
                      <a:ext cx="5731510" cy="572770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Figure 5. BCV plot at S2 of migraine vs control comparison</w:t>
      </w:r>
    </w:p>
    <w:p>
      <w:pPr>
        <w:pStyle w:val="LO-normal"/>
        <w:spacing w:lineRule="auto" w:line="360"/>
        <w:rPr>
          <w:rFonts w:ascii="Times New Roman" w:hAnsi="Times New Roman"/>
          <w:sz w:val="18"/>
          <w:szCs w:val="18"/>
        </w:rPr>
      </w:pPr>
      <w:r>
        <w:rPr>
          <w:rFonts w:eastAsia="Times New Roman" w:cs="Times New Roman" w:ascii="Times New Roman" w:hAnsi="Times New Roman"/>
          <w:i/>
          <w:sz w:val="18"/>
          <w:szCs w:val="18"/>
          <w:lang w:val="en-US"/>
        </w:rPr>
        <w:t>Upper left</w:t>
      </w:r>
      <w:r>
        <w:rPr>
          <w:rFonts w:eastAsia="Times New Roman" w:cs="Times New Roman" w:ascii="Times New Roman" w:hAnsi="Times New Roman"/>
          <w:sz w:val="18"/>
          <w:szCs w:val="18"/>
          <w:lang w:val="en-US"/>
        </w:rPr>
        <w:t xml:space="preserve"> figure represents data just for Age+Sex correction, </w:t>
      </w:r>
      <w:r>
        <w:rPr>
          <w:rFonts w:eastAsia="Times New Roman" w:cs="Times New Roman" w:ascii="Times New Roman" w:hAnsi="Times New Roman"/>
          <w:i/>
          <w:sz w:val="18"/>
          <w:szCs w:val="18"/>
          <w:lang w:val="en-US"/>
        </w:rPr>
        <w:t>upper right</w:t>
      </w:r>
      <w:r>
        <w:rPr>
          <w:rFonts w:eastAsia="Times New Roman" w:cs="Times New Roman" w:ascii="Times New Roman" w:hAnsi="Times New Roman"/>
          <w:sz w:val="18"/>
          <w:szCs w:val="18"/>
          <w:lang w:val="en-US"/>
        </w:rPr>
        <w:t xml:space="preserve"> figure shows Age+Sex+Allergy correction, </w:t>
      </w:r>
      <w:r>
        <w:rPr>
          <w:rFonts w:eastAsia="Times New Roman" w:cs="Times New Roman" w:ascii="Times New Roman" w:hAnsi="Times New Roman"/>
          <w:i/>
          <w:sz w:val="18"/>
          <w:szCs w:val="18"/>
          <w:lang w:val="en-US"/>
        </w:rPr>
        <w:t>lower left</w:t>
      </w:r>
      <w:r>
        <w:rPr>
          <w:rFonts w:eastAsia="Times New Roman" w:cs="Times New Roman" w:ascii="Times New Roman" w:hAnsi="Times New Roman"/>
          <w:sz w:val="18"/>
          <w:szCs w:val="18"/>
          <w:lang w:val="en-US"/>
        </w:rPr>
        <w:t xml:space="preserve"> figure has the Age+Sex+Smoking correction and </w:t>
      </w:r>
      <w:r>
        <w:rPr>
          <w:rFonts w:eastAsia="Times New Roman" w:cs="Times New Roman" w:ascii="Times New Roman" w:hAnsi="Times New Roman"/>
          <w:i/>
          <w:sz w:val="18"/>
          <w:szCs w:val="18"/>
          <w:lang w:val="en-US"/>
        </w:rPr>
        <w:t>lower right</w:t>
      </w:r>
      <w:r>
        <w:rPr>
          <w:rFonts w:eastAsia="Times New Roman" w:cs="Times New Roman" w:ascii="Times New Roman" w:hAnsi="Times New Roman"/>
          <w:sz w:val="18"/>
          <w:szCs w:val="18"/>
          <w:lang w:val="en-US"/>
        </w:rPr>
        <w:t xml:space="preserve"> corner highlights the Age+Sex+Allergy+Smoking correction.</w:t>
      </w:r>
      <w:r>
        <w:br w:type="page"/>
      </w:r>
    </w:p>
    <w:p>
      <w:pPr>
        <w:pStyle w:val="LO-normal"/>
        <w:spacing w:lineRule="auto" w:line="360" w:before="0" w:after="0"/>
        <w:rPr>
          <w:rFonts w:ascii="Times New Roman" w:hAnsi="Times New Roman"/>
          <w:sz w:val="18"/>
          <w:szCs w:val="18"/>
        </w:rPr>
      </w:pPr>
      <w:r>
        <w:rPr/>
        <w:drawing>
          <wp:inline distT="0" distB="0" distL="0" distR="0">
            <wp:extent cx="5731510" cy="5727700"/>
            <wp:effectExtent l="0" t="0" r="0" b="0"/>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8"/>
                    <a:stretch>
                      <a:fillRect/>
                    </a:stretch>
                  </pic:blipFill>
                  <pic:spPr bwMode="auto">
                    <a:xfrm>
                      <a:off x="0" y="0"/>
                      <a:ext cx="5731510" cy="572770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Figure 6. BCV plot at S2 of male migraine vs male control comparison</w:t>
      </w:r>
    </w:p>
    <w:p>
      <w:pPr>
        <w:pStyle w:val="LO-normal"/>
        <w:spacing w:lineRule="auto" w:line="360"/>
        <w:rPr>
          <w:rFonts w:ascii="Times New Roman" w:hAnsi="Times New Roman"/>
          <w:sz w:val="18"/>
          <w:szCs w:val="18"/>
        </w:rPr>
      </w:pPr>
      <w:r>
        <w:rPr>
          <w:rFonts w:eastAsia="Times New Roman" w:cs="Times New Roman" w:ascii="Times New Roman" w:hAnsi="Times New Roman"/>
          <w:i/>
          <w:sz w:val="18"/>
          <w:szCs w:val="18"/>
          <w:lang w:val="en-US"/>
        </w:rPr>
        <w:t>Upper left</w:t>
      </w:r>
      <w:r>
        <w:rPr>
          <w:rFonts w:eastAsia="Times New Roman" w:cs="Times New Roman" w:ascii="Times New Roman" w:hAnsi="Times New Roman"/>
          <w:sz w:val="18"/>
          <w:szCs w:val="18"/>
          <w:lang w:val="en-US"/>
        </w:rPr>
        <w:t xml:space="preserve"> figure represents data just for Age correction, </w:t>
      </w:r>
      <w:r>
        <w:rPr>
          <w:rFonts w:eastAsia="Times New Roman" w:cs="Times New Roman" w:ascii="Times New Roman" w:hAnsi="Times New Roman"/>
          <w:i/>
          <w:sz w:val="18"/>
          <w:szCs w:val="18"/>
          <w:lang w:val="en-US"/>
        </w:rPr>
        <w:t>upper right</w:t>
      </w:r>
      <w:r>
        <w:rPr>
          <w:rFonts w:eastAsia="Times New Roman" w:cs="Times New Roman" w:ascii="Times New Roman" w:hAnsi="Times New Roman"/>
          <w:sz w:val="18"/>
          <w:szCs w:val="18"/>
          <w:lang w:val="en-US"/>
        </w:rPr>
        <w:t xml:space="preserve"> figure shows Age+Allergy correction, </w:t>
      </w:r>
      <w:r>
        <w:rPr>
          <w:rFonts w:eastAsia="Times New Roman" w:cs="Times New Roman" w:ascii="Times New Roman" w:hAnsi="Times New Roman"/>
          <w:i/>
          <w:sz w:val="18"/>
          <w:szCs w:val="18"/>
          <w:lang w:val="en-US"/>
        </w:rPr>
        <w:t>lower left</w:t>
      </w:r>
      <w:r>
        <w:rPr>
          <w:rFonts w:eastAsia="Times New Roman" w:cs="Times New Roman" w:ascii="Times New Roman" w:hAnsi="Times New Roman"/>
          <w:sz w:val="18"/>
          <w:szCs w:val="18"/>
          <w:lang w:val="en-US"/>
        </w:rPr>
        <w:t xml:space="preserve"> figure has the Age+Smoking correction and </w:t>
      </w:r>
      <w:r>
        <w:rPr>
          <w:rFonts w:eastAsia="Times New Roman" w:cs="Times New Roman" w:ascii="Times New Roman" w:hAnsi="Times New Roman"/>
          <w:i/>
          <w:sz w:val="18"/>
          <w:szCs w:val="18"/>
          <w:lang w:val="en-US"/>
        </w:rPr>
        <w:t>lower right</w:t>
      </w:r>
      <w:r>
        <w:rPr>
          <w:rFonts w:eastAsia="Times New Roman" w:cs="Times New Roman" w:ascii="Times New Roman" w:hAnsi="Times New Roman"/>
          <w:sz w:val="18"/>
          <w:szCs w:val="18"/>
          <w:lang w:val="en-US"/>
        </w:rPr>
        <w:t xml:space="preserve"> corner highlights the Age+Allergy+Smoking correction.</w:t>
      </w:r>
      <w:r>
        <w:br w:type="page"/>
      </w:r>
    </w:p>
    <w:p>
      <w:pPr>
        <w:pStyle w:val="LO-normal"/>
        <w:spacing w:lineRule="auto" w:line="360" w:before="0" w:after="0"/>
        <w:rPr>
          <w:rFonts w:ascii="Times New Roman" w:hAnsi="Times New Roman"/>
          <w:sz w:val="18"/>
          <w:szCs w:val="18"/>
        </w:rPr>
      </w:pPr>
      <w:r>
        <w:rPr/>
        <w:drawing>
          <wp:inline distT="0" distB="0" distL="0" distR="0">
            <wp:extent cx="5731510" cy="5727700"/>
            <wp:effectExtent l="0" t="0" r="0" b="0"/>
            <wp:docPr id="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pic:cNvPicPr>
                      <a:picLocks noChangeAspect="1" noChangeArrowheads="1"/>
                    </pic:cNvPicPr>
                  </pic:nvPicPr>
                  <pic:blipFill>
                    <a:blip r:embed="rId9"/>
                    <a:stretch>
                      <a:fillRect/>
                    </a:stretch>
                  </pic:blipFill>
                  <pic:spPr bwMode="auto">
                    <a:xfrm>
                      <a:off x="0" y="0"/>
                      <a:ext cx="5731510" cy="572770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Figure 7. BCV plot at S2 of female migraine vs female control comparison</w:t>
      </w:r>
    </w:p>
    <w:p>
      <w:pPr>
        <w:pStyle w:val="LO-normal"/>
        <w:spacing w:lineRule="auto" w:line="360"/>
        <w:rPr>
          <w:rFonts w:ascii="Times New Roman" w:hAnsi="Times New Roman"/>
          <w:sz w:val="18"/>
          <w:szCs w:val="18"/>
        </w:rPr>
      </w:pPr>
      <w:r>
        <w:rPr>
          <w:rFonts w:eastAsia="Times New Roman" w:cs="Times New Roman" w:ascii="Times New Roman" w:hAnsi="Times New Roman"/>
          <w:i/>
          <w:sz w:val="18"/>
          <w:szCs w:val="18"/>
          <w:lang w:val="en-US"/>
        </w:rPr>
        <w:t>Upper left</w:t>
      </w:r>
      <w:r>
        <w:rPr>
          <w:rFonts w:eastAsia="Times New Roman" w:cs="Times New Roman" w:ascii="Times New Roman" w:hAnsi="Times New Roman"/>
          <w:sz w:val="18"/>
          <w:szCs w:val="18"/>
          <w:lang w:val="en-US"/>
        </w:rPr>
        <w:t xml:space="preserve"> figure represents data just for Age correction, </w:t>
      </w:r>
      <w:r>
        <w:rPr>
          <w:rFonts w:eastAsia="Times New Roman" w:cs="Times New Roman" w:ascii="Times New Roman" w:hAnsi="Times New Roman"/>
          <w:i/>
          <w:sz w:val="18"/>
          <w:szCs w:val="18"/>
          <w:lang w:val="en-US"/>
        </w:rPr>
        <w:t>upper right</w:t>
      </w:r>
      <w:r>
        <w:rPr>
          <w:rFonts w:eastAsia="Times New Roman" w:cs="Times New Roman" w:ascii="Times New Roman" w:hAnsi="Times New Roman"/>
          <w:sz w:val="18"/>
          <w:szCs w:val="18"/>
          <w:lang w:val="en-US"/>
        </w:rPr>
        <w:t xml:space="preserve"> figure shows Age+Allergy correction, </w:t>
      </w:r>
      <w:r>
        <w:rPr>
          <w:rFonts w:eastAsia="Times New Roman" w:cs="Times New Roman" w:ascii="Times New Roman" w:hAnsi="Times New Roman"/>
          <w:i/>
          <w:sz w:val="18"/>
          <w:szCs w:val="18"/>
          <w:lang w:val="en-US"/>
        </w:rPr>
        <w:t>lower left</w:t>
      </w:r>
      <w:r>
        <w:rPr>
          <w:rFonts w:eastAsia="Times New Roman" w:cs="Times New Roman" w:ascii="Times New Roman" w:hAnsi="Times New Roman"/>
          <w:sz w:val="18"/>
          <w:szCs w:val="18"/>
          <w:lang w:val="en-US"/>
        </w:rPr>
        <w:t xml:space="preserve"> figure has the Age+Smoking correction and </w:t>
      </w:r>
      <w:r>
        <w:rPr>
          <w:rFonts w:eastAsia="Times New Roman" w:cs="Times New Roman" w:ascii="Times New Roman" w:hAnsi="Times New Roman"/>
          <w:i/>
          <w:sz w:val="18"/>
          <w:szCs w:val="18"/>
          <w:lang w:val="en-US"/>
        </w:rPr>
        <w:t>lower right</w:t>
      </w:r>
      <w:r>
        <w:rPr>
          <w:rFonts w:eastAsia="Times New Roman" w:cs="Times New Roman" w:ascii="Times New Roman" w:hAnsi="Times New Roman"/>
          <w:sz w:val="18"/>
          <w:szCs w:val="18"/>
          <w:lang w:val="en-US"/>
        </w:rPr>
        <w:t xml:space="preserve"> corner highlights the Age+Allergy+Smoking correction.</w:t>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r>
        <w:br w:type="page"/>
      </w:r>
    </w:p>
    <w:p>
      <w:pPr>
        <w:pStyle w:val="LO-normal"/>
        <w:spacing w:lineRule="auto" w:line="360" w:before="0" w:after="0"/>
        <w:rPr>
          <w:rFonts w:ascii="Times New Roman" w:hAnsi="Times New Roman"/>
          <w:sz w:val="18"/>
          <w:szCs w:val="18"/>
        </w:rPr>
      </w:pPr>
      <w:r>
        <w:rPr/>
        <w:drawing>
          <wp:inline distT="0" distB="0" distL="0" distR="0">
            <wp:extent cx="5731510" cy="5727700"/>
            <wp:effectExtent l="0" t="0" r="0" b="0"/>
            <wp:docPr id="8" name="image4.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g" descr=""/>
                    <pic:cNvPicPr>
                      <a:picLocks noChangeAspect="1" noChangeArrowheads="1"/>
                    </pic:cNvPicPr>
                  </pic:nvPicPr>
                  <pic:blipFill>
                    <a:blip r:embed="rId10"/>
                    <a:stretch>
                      <a:fillRect/>
                    </a:stretch>
                  </pic:blipFill>
                  <pic:spPr bwMode="auto">
                    <a:xfrm>
                      <a:off x="0" y="0"/>
                      <a:ext cx="5731510" cy="572770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Figure 8. BCV plot at S2 of female migraine vs male migraine comparison</w:t>
      </w:r>
    </w:p>
    <w:p>
      <w:pPr>
        <w:pStyle w:val="LO-normal"/>
        <w:spacing w:lineRule="auto" w:line="360"/>
        <w:rPr>
          <w:rFonts w:ascii="Times New Roman" w:hAnsi="Times New Roman"/>
          <w:sz w:val="18"/>
          <w:szCs w:val="18"/>
        </w:rPr>
      </w:pPr>
      <w:r>
        <w:rPr>
          <w:rFonts w:eastAsia="Times New Roman" w:cs="Times New Roman" w:ascii="Times New Roman" w:hAnsi="Times New Roman"/>
          <w:i/>
          <w:sz w:val="18"/>
          <w:szCs w:val="18"/>
          <w:lang w:val="en-US"/>
        </w:rPr>
        <w:t>Upper left</w:t>
      </w:r>
      <w:r>
        <w:rPr>
          <w:rFonts w:eastAsia="Times New Roman" w:cs="Times New Roman" w:ascii="Times New Roman" w:hAnsi="Times New Roman"/>
          <w:sz w:val="18"/>
          <w:szCs w:val="18"/>
          <w:lang w:val="en-US"/>
        </w:rPr>
        <w:t xml:space="preserve"> figure represents data just for Age correction, </w:t>
      </w:r>
      <w:r>
        <w:rPr>
          <w:rFonts w:eastAsia="Times New Roman" w:cs="Times New Roman" w:ascii="Times New Roman" w:hAnsi="Times New Roman"/>
          <w:i/>
          <w:sz w:val="18"/>
          <w:szCs w:val="18"/>
          <w:lang w:val="en-US"/>
        </w:rPr>
        <w:t>upper right</w:t>
      </w:r>
      <w:r>
        <w:rPr>
          <w:rFonts w:eastAsia="Times New Roman" w:cs="Times New Roman" w:ascii="Times New Roman" w:hAnsi="Times New Roman"/>
          <w:sz w:val="18"/>
          <w:szCs w:val="18"/>
          <w:lang w:val="en-US"/>
        </w:rPr>
        <w:t xml:space="preserve"> figure shows Age+Allergy correction, </w:t>
      </w:r>
      <w:r>
        <w:rPr>
          <w:rFonts w:eastAsia="Times New Roman" w:cs="Times New Roman" w:ascii="Times New Roman" w:hAnsi="Times New Roman"/>
          <w:i/>
          <w:sz w:val="18"/>
          <w:szCs w:val="18"/>
          <w:lang w:val="en-US"/>
        </w:rPr>
        <w:t>lower left</w:t>
      </w:r>
      <w:r>
        <w:rPr>
          <w:rFonts w:eastAsia="Times New Roman" w:cs="Times New Roman" w:ascii="Times New Roman" w:hAnsi="Times New Roman"/>
          <w:sz w:val="18"/>
          <w:szCs w:val="18"/>
          <w:lang w:val="en-US"/>
        </w:rPr>
        <w:t xml:space="preserve"> figure has the Age+Smoking correction and </w:t>
      </w:r>
      <w:r>
        <w:rPr>
          <w:rFonts w:eastAsia="Times New Roman" w:cs="Times New Roman" w:ascii="Times New Roman" w:hAnsi="Times New Roman"/>
          <w:i/>
          <w:sz w:val="18"/>
          <w:szCs w:val="18"/>
          <w:lang w:val="en-US"/>
        </w:rPr>
        <w:t>lower right</w:t>
      </w:r>
      <w:r>
        <w:rPr>
          <w:rFonts w:eastAsia="Times New Roman" w:cs="Times New Roman" w:ascii="Times New Roman" w:hAnsi="Times New Roman"/>
          <w:sz w:val="18"/>
          <w:szCs w:val="18"/>
          <w:lang w:val="en-US"/>
        </w:rPr>
        <w:t xml:space="preserve"> corner highlights the Age+Allergy+Smoking correction.</w:t>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r>
        <w:br w:type="page"/>
      </w:r>
    </w:p>
    <w:p>
      <w:pPr>
        <w:pStyle w:val="LO-normal"/>
        <w:spacing w:lineRule="auto" w:line="360" w:before="0" w:after="0"/>
        <w:rPr>
          <w:rFonts w:ascii="Times new roman" w:hAnsi="Times new roman"/>
        </w:rPr>
      </w:pPr>
      <w:r>
        <w:rPr>
          <w:rFonts w:eastAsia="Times New Roman" w:cs="Times New Roman" w:ascii="Times new roman" w:hAnsi="Times new roman"/>
          <w:b/>
          <w:sz w:val="18"/>
          <w:szCs w:val="18"/>
          <w:lang w:val="en-US"/>
        </w:rPr>
        <w:t>Descriptive statistics of the migraine transcriptomic cohort</w:t>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rPr>
      </w:pPr>
      <w:r>
        <w:rPr>
          <w:rFonts w:eastAsia="Times New Roman" w:cs="Times New Roman" w:ascii="Times new roman" w:hAnsi="Times new roman"/>
          <w:sz w:val="18"/>
          <w:szCs w:val="18"/>
          <w:lang w:val="en-US"/>
        </w:rPr>
        <w:t>In the following detailed descriptive statistics are visible of the transcriptomic cohort and, where appropriate X</w:t>
      </w:r>
      <w:r>
        <w:rPr>
          <w:rFonts w:eastAsia="Times New Roman" w:cs="Times New Roman" w:ascii="Times new roman" w:hAnsi="Times new roman"/>
          <w:sz w:val="18"/>
          <w:szCs w:val="18"/>
          <w:vertAlign w:val="superscript"/>
          <w:lang w:val="en-US"/>
        </w:rPr>
        <w:t>2</w:t>
      </w:r>
      <w:r>
        <w:rPr>
          <w:rFonts w:eastAsia="Times New Roman" w:cs="Times New Roman" w:ascii="Times new roman" w:hAnsi="Times new roman"/>
          <w:sz w:val="18"/>
          <w:szCs w:val="18"/>
          <w:lang w:val="en-US"/>
        </w:rPr>
        <w:t xml:space="preserve"> or Mann-Whitney U test results are also presented to assess significance of differences.</w:t>
      </w:r>
    </w:p>
    <w:p>
      <w:pPr>
        <w:pStyle w:val="Heading1"/>
        <w:spacing w:lineRule="auto" w:line="360"/>
        <w:rPr>
          <w:rFonts w:ascii="Times new roman" w:hAnsi="Times new roman"/>
        </w:rPr>
      </w:pPr>
      <w:r>
        <w:rPr>
          <w:rFonts w:ascii="Times new roman" w:hAnsi="Times new roman"/>
          <w:b/>
          <w:bCs/>
          <w:color w:val="000000"/>
          <w:sz w:val="18"/>
          <w:szCs w:val="18"/>
        </w:rPr>
        <w:t>Table 1. Population descriptors of the transcriptomic cohort – sleep quality/chronotype, diet, and exercise</w:t>
      </w:r>
    </w:p>
    <w:tbl>
      <w:tblPr>
        <w:tblStyle w:val="TableGrid"/>
        <w:tblW w:w="9014"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1100"/>
        <w:gridCol w:w="5"/>
        <w:gridCol w:w="1876"/>
        <w:gridCol w:w="5"/>
        <w:gridCol w:w="12"/>
        <w:gridCol w:w="2783"/>
        <w:gridCol w:w="1173"/>
        <w:gridCol w:w="3"/>
        <w:gridCol w:w="1156"/>
        <w:gridCol w:w="5"/>
        <w:gridCol w:w="895"/>
      </w:tblGrid>
      <w:tr>
        <w:trPr/>
        <w:tc>
          <w:tcPr>
            <w:tcW w:w="1105" w:type="dxa"/>
            <w:gridSpan w:val="2"/>
            <w:tcBorders>
              <w:top w:val="single" w:sz="8" w:space="0" w:color="000000"/>
              <w:left w:val="single" w:sz="8" w:space="0" w:color="000000"/>
              <w:bottom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Variable</w:t>
            </w:r>
          </w:p>
        </w:tc>
        <w:tc>
          <w:tcPr>
            <w:tcW w:w="1881" w:type="dxa"/>
            <w:gridSpan w:val="2"/>
            <w:tcBorders>
              <w:top w:val="single" w:sz="8" w:space="0" w:color="000000"/>
              <w:left w:val="single" w:sz="8" w:space="0" w:color="000000"/>
              <w:bottom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Question</w:t>
            </w:r>
          </w:p>
        </w:tc>
        <w:tc>
          <w:tcPr>
            <w:tcW w:w="2795" w:type="dxa"/>
            <w:gridSpan w:val="2"/>
            <w:tcBorders>
              <w:top w:val="single" w:sz="8" w:space="0" w:color="000000"/>
              <w:left w:val="single" w:sz="8" w:space="0" w:color="000000"/>
              <w:bottom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Response Options Con(Mig)</w:t>
            </w:r>
          </w:p>
        </w:tc>
        <w:tc>
          <w:tcPr>
            <w:tcW w:w="1176" w:type="dxa"/>
            <w:gridSpan w:val="2"/>
            <w:tcBorders>
              <w:top w:val="single" w:sz="8" w:space="0" w:color="000000"/>
              <w:left w:val="single" w:sz="8" w:space="0" w:color="000000"/>
              <w:bottom w:val="single" w:sz="8" w:space="0" w:color="000000"/>
            </w:tcBorders>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rPr>
              <w:t>n= Con(Mig)</w:t>
            </w:r>
          </w:p>
        </w:tc>
        <w:tc>
          <w:tcPr>
            <w:tcW w:w="1161" w:type="dxa"/>
            <w:gridSpan w:val="2"/>
            <w:tcBorders>
              <w:top w:val="single" w:sz="8" w:space="0" w:color="000000"/>
              <w:left w:val="single" w:sz="8" w:space="0" w:color="000000"/>
              <w:bottom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Test Statistic</w:t>
            </w:r>
          </w:p>
        </w:tc>
        <w:tc>
          <w:tcPr>
            <w:tcW w:w="895" w:type="dxa"/>
            <w:tcBorders>
              <w:top w:val="single" w:sz="8" w:space="0" w:color="000000"/>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p-value</w:t>
            </w:r>
          </w:p>
        </w:tc>
      </w:tr>
      <w:tr>
        <w:trPr/>
        <w:tc>
          <w:tcPr>
            <w:tcW w:w="1100" w:type="dxa"/>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t>Sleep Quality</w:t>
            </w:r>
          </w:p>
        </w:tc>
        <w:tc>
          <w:tcPr>
            <w:tcW w:w="1881"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t>Do you have trouble falling asleep or do you wake up in the middle of the night?</w:t>
            </w:r>
          </w:p>
        </w:tc>
        <w:tc>
          <w:tcPr>
            <w:tcW w:w="0" w:type="dxa"/>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2800" w:type="dxa"/>
            <w:gridSpan w:val="3"/>
            <w:tcBorders>
              <w:left w:val="single" w:sz="8" w:space="0" w:color="000000"/>
              <w:bottom w:val="single" w:sz="8" w:space="0" w:color="000000"/>
            </w:tcBorders>
          </w:tcPr>
          <w:p>
            <w:pPr>
              <w:pStyle w:val="TableContents"/>
              <w:jc w:val="left"/>
              <w:rPr>
                <w:rFonts w:ascii="Times new roman" w:hAnsi="Times new roman"/>
                <w:color w:val="000000"/>
                <w:sz w:val="18"/>
                <w:szCs w:val="18"/>
              </w:rPr>
            </w:pPr>
            <w:r>
              <w:rPr>
                <w:rFonts w:ascii="Times new roman" w:hAnsi="Times new roman"/>
                <w:color w:val="000000"/>
                <w:sz w:val="18"/>
                <w:szCs w:val="18"/>
              </w:rPr>
              <w:t>Never/Rarely – 21(7)</w:t>
            </w:r>
          </w:p>
        </w:tc>
        <w:tc>
          <w:tcPr>
            <w:tcW w:w="1173" w:type="dxa"/>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t>29(22)</w:t>
            </w:r>
          </w:p>
        </w:tc>
        <w:tc>
          <w:tcPr>
            <w:tcW w:w="1159"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t>U = 192.5</w:t>
            </w:r>
          </w:p>
        </w:tc>
        <w:tc>
          <w:tcPr>
            <w:tcW w:w="900" w:type="dxa"/>
            <w:gridSpan w:val="2"/>
            <w:vMerge w:val="restart"/>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b/>
                <w:bCs/>
                <w:kern w:val="0"/>
                <w:sz w:val="18"/>
                <w:szCs w:val="18"/>
                <w:lang w:val="en-US" w:eastAsia="en-US" w:bidi="ar-SA"/>
              </w:rPr>
            </w:pPr>
            <w:r>
              <w:rPr>
                <w:rFonts w:eastAsia="ＭＳ 明朝" w:cs="" w:ascii="Times new roman" w:hAnsi="Times new roman"/>
                <w:b/>
                <w:bCs/>
                <w:kern w:val="0"/>
                <w:sz w:val="18"/>
                <w:szCs w:val="18"/>
                <w:lang w:val="en-US" w:eastAsia="en-US" w:bidi="ar-SA"/>
              </w:rPr>
              <w:t>0.007012</w:t>
            </w:r>
          </w:p>
        </w:tc>
      </w:tr>
      <w:tr>
        <w:trPr/>
        <w:tc>
          <w:tcPr>
            <w:tcW w:w="1100"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0"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2800" w:type="dxa"/>
            <w:gridSpan w:val="3"/>
            <w:tcBorders>
              <w:left w:val="single" w:sz="8" w:space="0" w:color="000000"/>
              <w:bottom w:val="single" w:sz="8" w:space="0" w:color="000000"/>
            </w:tcBorders>
          </w:tcPr>
          <w:p>
            <w:pPr>
              <w:pStyle w:val="TableContents"/>
              <w:jc w:val="left"/>
              <w:rPr>
                <w:rFonts w:ascii="Times new roman" w:hAnsi="Times new roman"/>
                <w:color w:val="000000"/>
                <w:sz w:val="18"/>
                <w:szCs w:val="18"/>
              </w:rPr>
            </w:pPr>
            <w:r>
              <w:rPr>
                <w:rFonts w:ascii="Times new roman" w:hAnsi="Times new roman"/>
                <w:color w:val="000000"/>
                <w:sz w:val="18"/>
                <w:szCs w:val="18"/>
              </w:rPr>
              <w:t>Sometimes – 6(12)</w:t>
            </w:r>
          </w:p>
        </w:tc>
        <w:tc>
          <w:tcPr>
            <w:tcW w:w="1173"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59"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900" w:type="dxa"/>
            <w:gridSpan w:val="2"/>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0"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0"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2800" w:type="dxa"/>
            <w:gridSpan w:val="3"/>
            <w:tcBorders>
              <w:left w:val="single" w:sz="8" w:space="0" w:color="000000"/>
              <w:bottom w:val="single" w:sz="8" w:space="0" w:color="000000"/>
            </w:tcBorders>
          </w:tcPr>
          <w:p>
            <w:pPr>
              <w:pStyle w:val="TableContents"/>
              <w:jc w:val="left"/>
              <w:rPr>
                <w:rFonts w:ascii="Times new roman" w:hAnsi="Times new roman"/>
                <w:color w:val="000000"/>
                <w:sz w:val="18"/>
                <w:szCs w:val="18"/>
              </w:rPr>
            </w:pPr>
            <w:r>
              <w:rPr>
                <w:rFonts w:ascii="Times new roman" w:hAnsi="Times new roman"/>
                <w:color w:val="000000"/>
                <w:sz w:val="18"/>
                <w:szCs w:val="18"/>
              </w:rPr>
              <w:t>Often/Often – 2(3)</w:t>
            </w:r>
          </w:p>
        </w:tc>
        <w:tc>
          <w:tcPr>
            <w:tcW w:w="1173"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59"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900" w:type="dxa"/>
            <w:gridSpan w:val="2"/>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0" w:type="dxa"/>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Sleep Chronotype</w:t>
            </w:r>
          </w:p>
        </w:tc>
        <w:tc>
          <w:tcPr>
            <w:tcW w:w="1881"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Do you consider yourself a morning or evening person?</w:t>
            </w:r>
          </w:p>
        </w:tc>
        <w:tc>
          <w:tcPr>
            <w:tcW w:w="0"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1</w:t>
            </w:r>
          </w:p>
        </w:tc>
        <w:tc>
          <w:tcPr>
            <w:tcW w:w="2800" w:type="dxa"/>
            <w:gridSpan w:val="3"/>
            <w:tcBorders>
              <w:left w:val="single" w:sz="8" w:space="0" w:color="000000"/>
              <w:bottom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 xml:space="preserve">Definitely morning </w:t>
            </w:r>
            <w:r>
              <w:rPr>
                <w:rFonts w:ascii="Times new roman" w:hAnsi="Times new roman"/>
                <w:sz w:val="18"/>
                <w:szCs w:val="18"/>
              </w:rPr>
              <w:t>– 3</w:t>
            </w:r>
            <w:r>
              <w:rPr>
                <w:rFonts w:eastAsia="ＭＳ 明朝" w:cs="" w:ascii="Times new roman" w:hAnsi="Times new roman"/>
                <w:kern w:val="0"/>
                <w:sz w:val="18"/>
                <w:szCs w:val="18"/>
                <w:lang w:val="en-US" w:eastAsia="en-US" w:bidi="ar-SA"/>
              </w:rPr>
              <w:t>(2)</w:t>
            </w:r>
          </w:p>
        </w:tc>
        <w:tc>
          <w:tcPr>
            <w:tcW w:w="1173" w:type="dxa"/>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27(22)</w:t>
            </w:r>
          </w:p>
        </w:tc>
        <w:tc>
          <w:tcPr>
            <w:tcW w:w="1159"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U = 282</w:t>
            </w:r>
          </w:p>
        </w:tc>
        <w:tc>
          <w:tcPr>
            <w:tcW w:w="900" w:type="dxa"/>
            <w:gridSpan w:val="2"/>
            <w:vMerge w:val="restart"/>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sz w:val="18"/>
                <w:szCs w:val="18"/>
              </w:rPr>
            </w:pPr>
            <w:r>
              <w:rPr>
                <w:rFonts w:eastAsia="ＭＳ 明朝" w:cs="" w:ascii="Times new roman" w:hAnsi="Times new roman"/>
                <w:kern w:val="0"/>
                <w:sz w:val="18"/>
                <w:szCs w:val="18"/>
                <w:lang w:val="en-US" w:eastAsia="en-US" w:bidi="ar-SA"/>
              </w:rPr>
              <w:t>0.7595</w:t>
            </w:r>
          </w:p>
        </w:tc>
      </w:tr>
      <w:tr>
        <w:trPr/>
        <w:tc>
          <w:tcPr>
            <w:tcW w:w="1100"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0"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2</w:t>
            </w:r>
          </w:p>
        </w:tc>
        <w:tc>
          <w:tcPr>
            <w:tcW w:w="2800" w:type="dxa"/>
            <w:gridSpan w:val="3"/>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More morning than evening </w:t>
            </w:r>
            <w:r>
              <w:rPr>
                <w:rFonts w:ascii="Times new roman" w:hAnsi="Times new roman"/>
                <w:sz w:val="18"/>
                <w:szCs w:val="18"/>
              </w:rPr>
              <w:t>–</w:t>
            </w:r>
            <w:r>
              <w:rPr>
                <w:rFonts w:eastAsia="ＭＳ 明朝" w:cs="" w:ascii="Times new roman" w:hAnsi="Times new roman"/>
                <w:kern w:val="0"/>
                <w:sz w:val="18"/>
                <w:szCs w:val="18"/>
                <w:lang w:val="en-US" w:eastAsia="en-US" w:bidi="ar-SA"/>
              </w:rPr>
              <w:t xml:space="preserve"> 7(4)</w:t>
            </w:r>
          </w:p>
        </w:tc>
        <w:tc>
          <w:tcPr>
            <w:tcW w:w="1173"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59"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900" w:type="dxa"/>
            <w:gridSpan w:val="2"/>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0"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0"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3</w:t>
            </w:r>
          </w:p>
        </w:tc>
        <w:tc>
          <w:tcPr>
            <w:tcW w:w="2800" w:type="dxa"/>
            <w:gridSpan w:val="3"/>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More evening than morning</w:t>
            </w:r>
            <w:r>
              <w:rPr>
                <w:rFonts w:ascii="Times new roman" w:hAnsi="Times new roman"/>
                <w:sz w:val="18"/>
                <w:szCs w:val="18"/>
              </w:rPr>
              <w:t>–</w:t>
            </w:r>
            <w:r>
              <w:rPr>
                <w:rFonts w:eastAsia="ＭＳ 明朝" w:cs="" w:ascii="Times new roman" w:hAnsi="Times new roman"/>
                <w:kern w:val="0"/>
                <w:sz w:val="18"/>
                <w:szCs w:val="18"/>
                <w:lang w:val="en-US" w:eastAsia="en-US" w:bidi="ar-SA"/>
              </w:rPr>
              <w:t xml:space="preserve"> 9(10)</w:t>
            </w:r>
          </w:p>
        </w:tc>
        <w:tc>
          <w:tcPr>
            <w:tcW w:w="1173"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59"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900" w:type="dxa"/>
            <w:gridSpan w:val="2"/>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0"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0"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4</w:t>
            </w:r>
          </w:p>
        </w:tc>
        <w:tc>
          <w:tcPr>
            <w:tcW w:w="2800" w:type="dxa"/>
            <w:gridSpan w:val="3"/>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Definitely evening </w:t>
            </w:r>
            <w:r>
              <w:rPr>
                <w:rFonts w:ascii="Times new roman" w:hAnsi="Times new roman"/>
                <w:sz w:val="18"/>
                <w:szCs w:val="18"/>
              </w:rPr>
              <w:t>–</w:t>
            </w:r>
            <w:r>
              <w:rPr>
                <w:rFonts w:eastAsia="ＭＳ 明朝" w:cs="" w:ascii="Times new roman" w:hAnsi="Times new roman"/>
                <w:kern w:val="0"/>
                <w:sz w:val="18"/>
                <w:szCs w:val="18"/>
                <w:lang w:val="en-US" w:eastAsia="en-US" w:bidi="ar-SA"/>
              </w:rPr>
              <w:t xml:space="preserve"> 8(6)</w:t>
            </w:r>
          </w:p>
        </w:tc>
        <w:tc>
          <w:tcPr>
            <w:tcW w:w="1173"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59"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900" w:type="dxa"/>
            <w:gridSpan w:val="2"/>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0"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0"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5</w:t>
            </w:r>
          </w:p>
        </w:tc>
        <w:tc>
          <w:tcPr>
            <w:tcW w:w="2800" w:type="dxa"/>
            <w:gridSpan w:val="3"/>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Don't know </w:t>
            </w:r>
            <w:r>
              <w:rPr>
                <w:rFonts w:ascii="Times new roman" w:hAnsi="Times new roman"/>
                <w:sz w:val="18"/>
                <w:szCs w:val="18"/>
              </w:rPr>
              <w:t>– 2</w:t>
            </w:r>
            <w:r>
              <w:rPr>
                <w:rFonts w:eastAsia="ＭＳ 明朝" w:cs="" w:ascii="Times new roman" w:hAnsi="Times new roman"/>
                <w:kern w:val="0"/>
                <w:sz w:val="18"/>
                <w:szCs w:val="18"/>
                <w:lang w:val="en-US" w:eastAsia="en-US" w:bidi="ar-SA"/>
              </w:rPr>
              <w:t>(0)</w:t>
            </w:r>
          </w:p>
        </w:tc>
        <w:tc>
          <w:tcPr>
            <w:tcW w:w="1173" w:type="dxa"/>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59"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900" w:type="dxa"/>
            <w:gridSpan w:val="2"/>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5"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Diet</w:t>
            </w:r>
          </w:p>
        </w:tc>
        <w:tc>
          <w:tcPr>
            <w:tcW w:w="1881"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Do you eat vegetables regularly?</w:t>
            </w:r>
          </w:p>
        </w:tc>
        <w:tc>
          <w:tcPr>
            <w:tcW w:w="2795" w:type="dxa"/>
            <w:gridSpan w:val="2"/>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Yes </w:t>
            </w:r>
            <w:r>
              <w:rPr>
                <w:rFonts w:ascii="Times new roman" w:hAnsi="Times new roman"/>
                <w:sz w:val="18"/>
                <w:szCs w:val="18"/>
              </w:rPr>
              <w:t>– 26</w:t>
            </w:r>
            <w:r>
              <w:rPr>
                <w:rFonts w:eastAsia="ＭＳ 明朝" w:cs="" w:ascii="Times new roman" w:hAnsi="Times new roman"/>
                <w:kern w:val="0"/>
                <w:sz w:val="18"/>
                <w:szCs w:val="18"/>
                <w:lang w:val="en-US" w:eastAsia="en-US" w:bidi="ar-SA"/>
              </w:rPr>
              <w:t>(21)</w:t>
            </w:r>
          </w:p>
        </w:tc>
        <w:tc>
          <w:tcPr>
            <w:tcW w:w="1176"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29(22)</w:t>
            </w:r>
          </w:p>
        </w:tc>
        <w:tc>
          <w:tcPr>
            <w:tcW w:w="1161"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χ² = 0.056</w:t>
            </w:r>
          </w:p>
        </w:tc>
        <w:tc>
          <w:tcPr>
            <w:tcW w:w="895" w:type="dxa"/>
            <w:vMerge w:val="restart"/>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0.8126</w:t>
            </w:r>
          </w:p>
        </w:tc>
      </w:tr>
      <w:tr>
        <w:trPr/>
        <w:tc>
          <w:tcPr>
            <w:tcW w:w="1105"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2795" w:type="dxa"/>
            <w:gridSpan w:val="2"/>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No </w:t>
            </w:r>
            <w:r>
              <w:rPr>
                <w:rFonts w:ascii="Times new roman" w:hAnsi="Times new roman"/>
                <w:sz w:val="18"/>
                <w:szCs w:val="18"/>
              </w:rPr>
              <w:t>– 3</w:t>
            </w:r>
            <w:r>
              <w:rPr>
                <w:rFonts w:eastAsia="ＭＳ 明朝" w:cs="" w:ascii="Times new roman" w:hAnsi="Times new roman"/>
                <w:kern w:val="0"/>
                <w:sz w:val="18"/>
                <w:szCs w:val="18"/>
                <w:lang w:val="en-US" w:eastAsia="en-US" w:bidi="ar-SA"/>
              </w:rPr>
              <w:t>(1)</w:t>
            </w:r>
          </w:p>
        </w:tc>
        <w:tc>
          <w:tcPr>
            <w:tcW w:w="1176"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6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895" w:type="dxa"/>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5"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Diet</w:t>
            </w:r>
          </w:p>
        </w:tc>
        <w:tc>
          <w:tcPr>
            <w:tcW w:w="1881"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Do you regularly eat fruit?</w:t>
            </w:r>
          </w:p>
        </w:tc>
        <w:tc>
          <w:tcPr>
            <w:tcW w:w="2795" w:type="dxa"/>
            <w:gridSpan w:val="2"/>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Yes </w:t>
            </w:r>
            <w:r>
              <w:rPr>
                <w:rFonts w:ascii="Times new roman" w:hAnsi="Times new roman"/>
                <w:sz w:val="18"/>
                <w:szCs w:val="18"/>
              </w:rPr>
              <w:t>– 24</w:t>
            </w:r>
            <w:r>
              <w:rPr>
                <w:rFonts w:eastAsia="ＭＳ 明朝" w:cs="" w:ascii="Times new roman" w:hAnsi="Times new roman"/>
                <w:kern w:val="0"/>
                <w:sz w:val="18"/>
                <w:szCs w:val="18"/>
                <w:lang w:val="en-US" w:eastAsia="en-US" w:bidi="ar-SA"/>
              </w:rPr>
              <w:t>(20)</w:t>
            </w:r>
          </w:p>
        </w:tc>
        <w:tc>
          <w:tcPr>
            <w:tcW w:w="1176"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29(22)</w:t>
            </w:r>
          </w:p>
        </w:tc>
        <w:tc>
          <w:tcPr>
            <w:tcW w:w="1161"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χ² = 0.182</w:t>
            </w:r>
          </w:p>
        </w:tc>
        <w:tc>
          <w:tcPr>
            <w:tcW w:w="895" w:type="dxa"/>
            <w:vMerge w:val="restart"/>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0.6694</w:t>
            </w:r>
          </w:p>
        </w:tc>
      </w:tr>
      <w:tr>
        <w:trPr/>
        <w:tc>
          <w:tcPr>
            <w:tcW w:w="1105"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2795" w:type="dxa"/>
            <w:gridSpan w:val="2"/>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No </w:t>
            </w:r>
            <w:r>
              <w:rPr>
                <w:rFonts w:ascii="Times new roman" w:hAnsi="Times new roman"/>
                <w:sz w:val="18"/>
                <w:szCs w:val="18"/>
              </w:rPr>
              <w:t>– 5</w:t>
            </w:r>
            <w:r>
              <w:rPr>
                <w:rFonts w:eastAsia="ＭＳ 明朝" w:cs="" w:ascii="Times new roman" w:hAnsi="Times new roman"/>
                <w:kern w:val="0"/>
                <w:sz w:val="18"/>
                <w:szCs w:val="18"/>
                <w:lang w:val="en-US" w:eastAsia="en-US" w:bidi="ar-SA"/>
              </w:rPr>
              <w:t>(2)</w:t>
            </w:r>
          </w:p>
        </w:tc>
        <w:tc>
          <w:tcPr>
            <w:tcW w:w="1176"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6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895" w:type="dxa"/>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5"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Exercise</w:t>
            </w:r>
          </w:p>
        </w:tc>
        <w:tc>
          <w:tcPr>
            <w:tcW w:w="1881"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How often do you exercise?</w:t>
            </w:r>
          </w:p>
        </w:tc>
        <w:tc>
          <w:tcPr>
            <w:tcW w:w="12"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1</w:t>
            </w:r>
          </w:p>
        </w:tc>
        <w:tc>
          <w:tcPr>
            <w:tcW w:w="2783"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Daily </w:t>
            </w:r>
            <w:r>
              <w:rPr>
                <w:rFonts w:ascii="Times new roman" w:hAnsi="Times new roman"/>
                <w:sz w:val="18"/>
                <w:szCs w:val="18"/>
              </w:rPr>
              <w:t>– 5</w:t>
            </w:r>
            <w:r>
              <w:rPr>
                <w:rFonts w:eastAsia="ＭＳ 明朝" w:cs="" w:ascii="Times new roman" w:hAnsi="Times new roman"/>
                <w:kern w:val="0"/>
                <w:sz w:val="18"/>
                <w:szCs w:val="18"/>
                <w:lang w:val="en-US" w:eastAsia="en-US" w:bidi="ar-SA"/>
              </w:rPr>
              <w:t>(2)</w:t>
            </w:r>
          </w:p>
        </w:tc>
        <w:tc>
          <w:tcPr>
            <w:tcW w:w="1176"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29(22)</w:t>
            </w:r>
          </w:p>
        </w:tc>
        <w:tc>
          <w:tcPr>
            <w:tcW w:w="1161" w:type="dxa"/>
            <w:gridSpan w:val="2"/>
            <w:vMerge w:val="restart"/>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U = 389</w:t>
            </w:r>
          </w:p>
        </w:tc>
        <w:tc>
          <w:tcPr>
            <w:tcW w:w="895" w:type="dxa"/>
            <w:vMerge w:val="restart"/>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0.1653</w:t>
            </w:r>
          </w:p>
        </w:tc>
      </w:tr>
      <w:tr>
        <w:trPr>
          <w:trHeight w:val="256" w:hRule="atLeast"/>
        </w:trPr>
        <w:tc>
          <w:tcPr>
            <w:tcW w:w="1105"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2"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2</w:t>
            </w:r>
          </w:p>
        </w:tc>
        <w:tc>
          <w:tcPr>
            <w:tcW w:w="2783"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2–3×/week </w:t>
            </w:r>
            <w:r>
              <w:rPr>
                <w:rFonts w:ascii="Times new roman" w:hAnsi="Times new roman"/>
                <w:sz w:val="18"/>
                <w:szCs w:val="18"/>
              </w:rPr>
              <w:t>– 13</w:t>
            </w:r>
            <w:r>
              <w:rPr>
                <w:rFonts w:eastAsia="ＭＳ 明朝" w:cs="" w:ascii="Times new roman" w:hAnsi="Times new roman"/>
                <w:kern w:val="0"/>
                <w:sz w:val="18"/>
                <w:szCs w:val="18"/>
                <w:lang w:val="en-US" w:eastAsia="en-US" w:bidi="ar-SA"/>
              </w:rPr>
              <w:t>(8)</w:t>
            </w:r>
          </w:p>
        </w:tc>
        <w:tc>
          <w:tcPr>
            <w:tcW w:w="1176"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6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895" w:type="dxa"/>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5"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2"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3</w:t>
            </w:r>
          </w:p>
        </w:tc>
        <w:tc>
          <w:tcPr>
            <w:tcW w:w="2783"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4–5×/month </w:t>
            </w:r>
            <w:r>
              <w:rPr>
                <w:rFonts w:ascii="Times new roman" w:hAnsi="Times new roman"/>
                <w:sz w:val="18"/>
                <w:szCs w:val="18"/>
              </w:rPr>
              <w:t>– 6</w:t>
            </w:r>
            <w:r>
              <w:rPr>
                <w:rFonts w:eastAsia="ＭＳ 明朝" w:cs="" w:ascii="Times new roman" w:hAnsi="Times new roman"/>
                <w:kern w:val="0"/>
                <w:sz w:val="18"/>
                <w:szCs w:val="18"/>
                <w:lang w:val="en-US" w:eastAsia="en-US" w:bidi="ar-SA"/>
              </w:rPr>
              <w:t>(4)</w:t>
            </w:r>
          </w:p>
        </w:tc>
        <w:tc>
          <w:tcPr>
            <w:tcW w:w="1176"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6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895" w:type="dxa"/>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5"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2"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4</w:t>
            </w:r>
          </w:p>
        </w:tc>
        <w:tc>
          <w:tcPr>
            <w:tcW w:w="2783"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Occasionally </w:t>
            </w:r>
            <w:r>
              <w:rPr>
                <w:rFonts w:ascii="Times new roman" w:hAnsi="Times new roman"/>
                <w:sz w:val="18"/>
                <w:szCs w:val="18"/>
              </w:rPr>
              <w:t>– 4</w:t>
            </w:r>
            <w:r>
              <w:rPr>
                <w:rFonts w:eastAsia="ＭＳ 明朝" w:cs="" w:ascii="Times new roman" w:hAnsi="Times new roman"/>
                <w:kern w:val="0"/>
                <w:sz w:val="18"/>
                <w:szCs w:val="18"/>
                <w:lang w:val="en-US" w:eastAsia="en-US" w:bidi="ar-SA"/>
              </w:rPr>
              <w:t>(8)</w:t>
            </w:r>
          </w:p>
        </w:tc>
        <w:tc>
          <w:tcPr>
            <w:tcW w:w="1176"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6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895" w:type="dxa"/>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r>
        <w:trPr/>
        <w:tc>
          <w:tcPr>
            <w:tcW w:w="1105"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88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2"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5</w:t>
            </w:r>
          </w:p>
        </w:tc>
        <w:tc>
          <w:tcPr>
            <w:tcW w:w="2783" w:type="dxa"/>
            <w:tcBorders>
              <w:left w:val="single" w:sz="8" w:space="0" w:color="000000"/>
              <w:bottom w:val="single" w:sz="8" w:space="0" w:color="000000"/>
            </w:tcBorders>
          </w:tcPr>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 xml:space="preserve">Never </w:t>
            </w:r>
            <w:r>
              <w:rPr>
                <w:rFonts w:ascii="Times new roman" w:hAnsi="Times new roman"/>
                <w:sz w:val="18"/>
                <w:szCs w:val="18"/>
              </w:rPr>
              <w:t>– 1</w:t>
            </w:r>
            <w:r>
              <w:rPr>
                <w:rFonts w:eastAsia="ＭＳ 明朝" w:cs="" w:ascii="Times new roman" w:hAnsi="Times new roman"/>
                <w:kern w:val="0"/>
                <w:sz w:val="18"/>
                <w:szCs w:val="18"/>
                <w:lang w:val="en-US" w:eastAsia="en-US" w:bidi="ar-SA"/>
              </w:rPr>
              <w:t>(0)</w:t>
            </w:r>
          </w:p>
        </w:tc>
        <w:tc>
          <w:tcPr>
            <w:tcW w:w="1176"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1161" w:type="dxa"/>
            <w:gridSpan w:val="2"/>
            <w:vMerge w:val="continue"/>
            <w:tcBorders>
              <w:left w:val="single" w:sz="8" w:space="0" w:color="000000"/>
              <w:bottom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c>
          <w:tcPr>
            <w:tcW w:w="895" w:type="dxa"/>
            <w:vMerge w:val="continue"/>
            <w:tcBorders>
              <w:left w:val="single" w:sz="8" w:space="0" w:color="000000"/>
              <w:bottom w:val="single" w:sz="8" w:space="0" w:color="000000"/>
              <w:right w:val="single" w:sz="8" w:space="0" w:color="000000"/>
            </w:tcBorders>
          </w:tcPr>
          <w:p>
            <w:pPr>
              <w:pStyle w:val="Normal"/>
              <w:widowControl/>
              <w:spacing w:lineRule="auto" w:line="360" w:before="0" w:after="0"/>
              <w:jc w:val="left"/>
              <w:rPr>
                <w:rFonts w:ascii="Times new roman" w:hAnsi="Times new roman" w:eastAsia="ＭＳ 明朝" w:cs=""/>
                <w:kern w:val="0"/>
                <w:sz w:val="18"/>
                <w:szCs w:val="18"/>
                <w:lang w:val="en-US" w:eastAsia="en-US" w:bidi="ar-SA"/>
              </w:rPr>
            </w:pPr>
            <w:r>
              <w:rPr>
                <w:rFonts w:eastAsia="ＭＳ 明朝" w:cs="" w:ascii="Times new roman" w:hAnsi="Times new roman"/>
                <w:kern w:val="0"/>
                <w:sz w:val="18"/>
                <w:szCs w:val="18"/>
                <w:lang w:val="en-US" w:eastAsia="en-US" w:bidi="ar-SA"/>
              </w:rPr>
            </w:r>
          </w:p>
        </w:tc>
      </w:tr>
    </w:tbl>
    <w:p>
      <w:pPr>
        <w:pStyle w:val="Normal"/>
        <w:widowControl/>
        <w:spacing w:lineRule="auto" w:line="360" w:before="0" w:after="0"/>
        <w:jc w:val="left"/>
        <w:rPr>
          <w:rFonts w:ascii="Times new roman" w:hAnsi="Times new roman"/>
        </w:rPr>
      </w:pPr>
      <w:r>
        <w:rPr>
          <w:rFonts w:eastAsia="ＭＳ 明朝" w:cs="" w:ascii="Times new roman" w:hAnsi="Times new roman"/>
          <w:kern w:val="0"/>
          <w:sz w:val="18"/>
          <w:szCs w:val="18"/>
          <w:lang w:val="en-US" w:eastAsia="en-US" w:bidi="ar-SA"/>
        </w:rPr>
        <w:t>Group-wise distribution of responses related to sleep quality/chronotype, dietary habits, and physical activity in Mig and Con. Mann-Whitney U tests were used for ordinal variables (sleep and exercise), and Chi-squared tests for categorical variables (vegetable and fruit consumption). One control participant had missing data, resulting in n = 51 for these comparisons. “Don’t know” responses are presented for transparency but were excluded from statistical testing. No significant differences were observed between groups. Con – controls, Mig – migraineurs, n</w:t>
      </w:r>
      <w:r>
        <w:rPr>
          <w:rFonts w:eastAsia="Times New Roman" w:cs="Times New Roman" w:ascii="Times new roman" w:hAnsi="Times new roman"/>
          <w:kern w:val="0"/>
          <w:sz w:val="18"/>
          <w:szCs w:val="18"/>
          <w:lang w:val="en-US" w:eastAsia="en-US" w:bidi="ar-SA"/>
        </w:rPr>
        <w:t xml:space="preserve"> </w:t>
      </w:r>
      <w:r>
        <w:rPr>
          <w:rFonts w:eastAsia="ＭＳ 明朝" w:cs="" w:ascii="Times new roman" w:hAnsi="Times new roman"/>
          <w:kern w:val="0"/>
          <w:sz w:val="18"/>
          <w:szCs w:val="18"/>
          <w:lang w:val="en-US" w:eastAsia="en-US" w:bidi="ar-SA"/>
        </w:rPr>
        <w:t xml:space="preserve">– </w:t>
      </w:r>
      <w:r>
        <w:rPr>
          <w:rFonts w:eastAsia="Times New Roman" w:cs="Times New Roman" w:ascii="Times new roman" w:hAnsi="Times new roman"/>
          <w:kern w:val="0"/>
          <w:sz w:val="18"/>
          <w:szCs w:val="18"/>
          <w:lang w:val="en-US" w:eastAsia="en-US" w:bidi="ar-SA"/>
        </w:rPr>
        <w:t>number of individuals,</w:t>
      </w:r>
      <w:r>
        <w:rPr>
          <w:rFonts w:eastAsia="ＭＳ 明朝" w:cs="" w:ascii="Times new roman" w:hAnsi="Times new roman"/>
          <w:kern w:val="0"/>
          <w:sz w:val="18"/>
          <w:szCs w:val="18"/>
          <w:lang w:val="en-US" w:eastAsia="en-US" w:bidi="ar-SA"/>
        </w:rPr>
        <w:t xml:space="preserve"> </w:t>
      </w:r>
      <w:r>
        <w:rPr>
          <w:rFonts w:eastAsia="Times New Roman" w:cs="Times New Roman" w:ascii="Times new roman" w:hAnsi="Times new roman"/>
          <w:kern w:val="0"/>
          <w:sz w:val="18"/>
          <w:szCs w:val="18"/>
          <w:lang w:val="en-US" w:eastAsia="en-US" w:bidi="ar-SA"/>
        </w:rPr>
        <w:t>U - Mann-Whitney U test statistic,</w:t>
      </w:r>
      <w:r>
        <w:rPr>
          <w:rFonts w:eastAsia="ＭＳ 明朝" w:cs="" w:ascii="Times new roman" w:hAnsi="Times new roman"/>
          <w:kern w:val="0"/>
          <w:sz w:val="18"/>
          <w:szCs w:val="18"/>
          <w:lang w:val="en-US" w:eastAsia="en-US" w:bidi="ar-SA"/>
        </w:rPr>
        <w:t xml:space="preserve"> χ² – Chi-squared statistic.</w:t>
      </w:r>
      <w:r>
        <w:rPr>
          <w:rFonts w:ascii="Times new roman" w:hAnsi="Times new roman"/>
          <w:sz w:val="18"/>
          <w:szCs w:val="18"/>
          <w:lang w:val="en-US"/>
        </w:rPr>
        <w:br/>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Table 2. Population descriptors of transcriptomic cohort - history of allergy</w:t>
      </w:r>
    </w:p>
    <w:tbl>
      <w:tblPr>
        <w:tblStyle w:val="a1"/>
        <w:tblW w:w="8999" w:type="dxa"/>
        <w:jc w:val="left"/>
        <w:tblInd w:w="0" w:type="dxa"/>
        <w:tblLayout w:type="fixed"/>
        <w:tblCellMar>
          <w:top w:w="0" w:type="dxa"/>
          <w:left w:w="108" w:type="dxa"/>
          <w:bottom w:w="0" w:type="dxa"/>
          <w:right w:w="108" w:type="dxa"/>
        </w:tblCellMar>
        <w:tblLook w:noVBand="1" w:val="0600" w:noHBand="1" w:lastColumn="0" w:firstColumn="0" w:lastRow="0" w:firstRow="0"/>
      </w:tblPr>
      <w:tblGrid>
        <w:gridCol w:w="1124"/>
        <w:gridCol w:w="929"/>
        <w:gridCol w:w="1321"/>
        <w:gridCol w:w="1126"/>
        <w:gridCol w:w="1125"/>
        <w:gridCol w:w="1126"/>
        <w:gridCol w:w="1124"/>
        <w:gridCol w:w="1123"/>
      </w:tblGrid>
      <w:tr>
        <w:trPr/>
        <w:tc>
          <w:tcPr>
            <w:tcW w:w="1124"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929"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21"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n= Con(Mig)</w:t>
            </w:r>
          </w:p>
        </w:tc>
        <w:tc>
          <w:tcPr>
            <w:tcW w:w="1126"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Pollen, weed, dust</w:t>
            </w:r>
          </w:p>
        </w:tc>
        <w:tc>
          <w:tcPr>
            <w:tcW w:w="1125"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Drug</w:t>
            </w:r>
          </w:p>
        </w:tc>
        <w:tc>
          <w:tcPr>
            <w:tcW w:w="1126"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Food</w:t>
            </w:r>
          </w:p>
        </w:tc>
        <w:tc>
          <w:tcPr>
            <w:tcW w:w="1124"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X</w:t>
            </w:r>
            <w:r>
              <w:rPr>
                <w:rFonts w:eastAsia="Times New Roman" w:cs="Times New Roman" w:ascii="Times New Roman" w:hAnsi="Times New Roman"/>
                <w:sz w:val="18"/>
                <w:szCs w:val="18"/>
                <w:vertAlign w:val="superscript"/>
                <w:lang w:val="en-US"/>
              </w:rPr>
              <w:t>2</w:t>
            </w:r>
          </w:p>
        </w:tc>
        <w:tc>
          <w:tcPr>
            <w:tcW w:w="1123"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p-value</w:t>
            </w:r>
          </w:p>
        </w:tc>
      </w:tr>
      <w:tr>
        <w:trPr>
          <w:trHeight w:val="420" w:hRule="atLeast"/>
        </w:trPr>
        <w:tc>
          <w:tcPr>
            <w:tcW w:w="1124"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Allergy</w:t>
            </w:r>
          </w:p>
        </w:tc>
        <w:tc>
          <w:tcPr>
            <w:tcW w:w="929"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Male</w:t>
            </w:r>
          </w:p>
        </w:tc>
        <w:tc>
          <w:tcPr>
            <w:tcW w:w="1321"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4(2)</w:t>
            </w:r>
          </w:p>
        </w:tc>
        <w:tc>
          <w:tcPr>
            <w:tcW w:w="1126"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4(7)</w:t>
            </w:r>
          </w:p>
        </w:tc>
        <w:tc>
          <w:tcPr>
            <w:tcW w:w="1125"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3(2)</w:t>
            </w:r>
          </w:p>
        </w:tc>
        <w:tc>
          <w:tcPr>
            <w:tcW w:w="1126"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1(0)</w:t>
            </w:r>
          </w:p>
        </w:tc>
        <w:tc>
          <w:tcPr>
            <w:tcW w:w="1124"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0.61</w:t>
            </w:r>
          </w:p>
        </w:tc>
        <w:tc>
          <w:tcPr>
            <w:tcW w:w="1123"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0.44</w:t>
            </w:r>
          </w:p>
        </w:tc>
      </w:tr>
      <w:tr>
        <w:trPr>
          <w:trHeight w:val="420" w:hRule="atLeast"/>
        </w:trPr>
        <w:tc>
          <w:tcPr>
            <w:tcW w:w="1124"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929"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Female</w:t>
            </w:r>
          </w:p>
        </w:tc>
        <w:tc>
          <w:tcPr>
            <w:tcW w:w="1321"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3(7)</w:t>
            </w:r>
          </w:p>
        </w:tc>
        <w:tc>
          <w:tcPr>
            <w:tcW w:w="1126"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125"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126"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124"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123"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bl>
    <w:p>
      <w:pPr>
        <w:pStyle w:val="LO-normal"/>
        <w:spacing w:lineRule="auto" w:line="360"/>
        <w:rPr>
          <w:rFonts w:ascii="Times New Roman" w:hAnsi="Times New Roman"/>
          <w:sz w:val="18"/>
          <w:szCs w:val="18"/>
        </w:rPr>
      </w:pPr>
      <w:r>
        <w:rPr>
          <w:rFonts w:eastAsia="Times New Roman" w:cs="Times New Roman" w:ascii="Times New Roman" w:hAnsi="Times New Roman"/>
          <w:sz w:val="18"/>
          <w:szCs w:val="18"/>
          <w:lang w:val="en-US"/>
        </w:rPr>
        <w:t xml:space="preserve">No significant difference could be demonstrated between groups as evidenced by chi-square tests. </w:t>
      </w:r>
      <w:r>
        <w:rPr>
          <w:rFonts w:eastAsia="ＭＳ 明朝" w:cs="" w:ascii="Times New Roman" w:hAnsi="Times New Roman"/>
          <w:kern w:val="0"/>
          <w:sz w:val="18"/>
          <w:szCs w:val="18"/>
          <w:lang w:val="en-US" w:eastAsia="en-US" w:bidi="ar-SA"/>
        </w:rPr>
        <w:t>n</w:t>
      </w:r>
      <w:r>
        <w:rPr>
          <w:rFonts w:eastAsia="Times New Roman" w:cs="Times New Roman" w:ascii="Times New Roman" w:hAnsi="Times New Roman"/>
          <w:kern w:val="0"/>
          <w:sz w:val="18"/>
          <w:szCs w:val="18"/>
          <w:lang w:val="en-US" w:eastAsia="en-US" w:bidi="ar-SA"/>
        </w:rPr>
        <w:t xml:space="preserve"> </w:t>
      </w:r>
      <w:r>
        <w:rPr>
          <w:rFonts w:eastAsia="ＭＳ 明朝" w:cs="" w:ascii="Times New Roman" w:hAnsi="Times New Roman"/>
          <w:kern w:val="0"/>
          <w:sz w:val="18"/>
          <w:szCs w:val="18"/>
          <w:lang w:val="en-US" w:eastAsia="en-US" w:bidi="ar-SA"/>
        </w:rPr>
        <w:t xml:space="preserve">– </w:t>
      </w:r>
      <w:r>
        <w:rPr>
          <w:rFonts w:eastAsia="Times New Roman" w:cs="Times New Roman" w:ascii="Times New Roman" w:hAnsi="Times New Roman"/>
          <w:kern w:val="0"/>
          <w:sz w:val="18"/>
          <w:szCs w:val="18"/>
          <w:lang w:val="en-US" w:eastAsia="en-US" w:bidi="ar-SA"/>
        </w:rPr>
        <w:t xml:space="preserve">number of individuals, </w:t>
      </w:r>
      <w:r>
        <w:rPr>
          <w:rFonts w:eastAsia="Times New Roman" w:cs="Times New Roman" w:ascii="Times New Roman" w:hAnsi="Times New Roman"/>
          <w:sz w:val="18"/>
          <w:szCs w:val="18"/>
          <w:lang w:val="en-US"/>
        </w:rPr>
        <w:t xml:space="preserve">Con – controls, Mig –  </w:t>
      </w:r>
      <w:r>
        <w:rPr>
          <w:rFonts w:eastAsia="ＭＳ 明朝" w:cs="" w:ascii="Times New Roman" w:hAnsi="Times New Roman"/>
          <w:kern w:val="0"/>
          <w:sz w:val="18"/>
          <w:szCs w:val="18"/>
          <w:lang w:val="en-US" w:eastAsia="en-US" w:bidi="ar-SA"/>
        </w:rPr>
        <w:t>migraineurs.</w:t>
      </w:r>
    </w:p>
    <w:p>
      <w:pPr>
        <w:pStyle w:val="LO-normal"/>
        <w:spacing w:lineRule="auto" w:line="360"/>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sz w:val="18"/>
          <w:szCs w:val="18"/>
        </w:rPr>
      </w:pPr>
      <w:r>
        <w:rPr>
          <w:rFonts w:ascii="Times New Roman" w:hAnsi="Times New Roman"/>
          <w:sz w:val="18"/>
          <w:szCs w:val="18"/>
        </w:rPr>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 xml:space="preserve">Table 3. Population descriptors of transcriptomic cohort - smoking status </w:t>
      </w:r>
    </w:p>
    <w:tbl>
      <w:tblPr>
        <w:tblStyle w:val="a2"/>
        <w:tblW w:w="8999" w:type="dxa"/>
        <w:jc w:val="left"/>
        <w:tblInd w:w="0" w:type="dxa"/>
        <w:tblLayout w:type="fixed"/>
        <w:tblCellMar>
          <w:top w:w="0" w:type="dxa"/>
          <w:left w:w="108" w:type="dxa"/>
          <w:bottom w:w="0" w:type="dxa"/>
          <w:right w:w="108" w:type="dxa"/>
        </w:tblCellMar>
        <w:tblLook w:noVBand="1" w:val="0600" w:noHBand="1" w:lastColumn="0" w:firstColumn="0" w:lastRow="0" w:firstRow="0"/>
      </w:tblPr>
      <w:tblGrid>
        <w:gridCol w:w="1094"/>
        <w:gridCol w:w="1018"/>
        <w:gridCol w:w="1382"/>
        <w:gridCol w:w="794"/>
        <w:gridCol w:w="765"/>
        <w:gridCol w:w="707"/>
        <w:gridCol w:w="658"/>
        <w:gridCol w:w="693"/>
        <w:gridCol w:w="612"/>
        <w:gridCol w:w="1275"/>
      </w:tblGrid>
      <w:tr>
        <w:trPr/>
        <w:tc>
          <w:tcPr>
            <w:tcW w:w="1094"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018"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2"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n= Con(Mig)</w:t>
            </w:r>
          </w:p>
        </w:tc>
        <w:tc>
          <w:tcPr>
            <w:tcW w:w="794"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1</w:t>
            </w:r>
          </w:p>
        </w:tc>
        <w:tc>
          <w:tcPr>
            <w:tcW w:w="765"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2</w:t>
            </w:r>
          </w:p>
        </w:tc>
        <w:tc>
          <w:tcPr>
            <w:tcW w:w="707"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3</w:t>
            </w:r>
          </w:p>
        </w:tc>
        <w:tc>
          <w:tcPr>
            <w:tcW w:w="658"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4</w:t>
            </w:r>
          </w:p>
        </w:tc>
        <w:tc>
          <w:tcPr>
            <w:tcW w:w="693"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5</w:t>
            </w:r>
          </w:p>
        </w:tc>
        <w:tc>
          <w:tcPr>
            <w:tcW w:w="612"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U</w:t>
            </w:r>
          </w:p>
        </w:tc>
        <w:tc>
          <w:tcPr>
            <w:tcW w:w="1275"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p-value</w:t>
            </w:r>
          </w:p>
        </w:tc>
      </w:tr>
      <w:tr>
        <w:trPr>
          <w:trHeight w:val="420" w:hRule="atLeast"/>
        </w:trPr>
        <w:tc>
          <w:tcPr>
            <w:tcW w:w="1094"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Smokers</w:t>
            </w:r>
          </w:p>
        </w:tc>
        <w:tc>
          <w:tcPr>
            <w:tcW w:w="1018"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Male</w:t>
            </w:r>
          </w:p>
        </w:tc>
        <w:tc>
          <w:tcPr>
            <w:tcW w:w="1382"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5(5)</w:t>
            </w:r>
          </w:p>
        </w:tc>
        <w:tc>
          <w:tcPr>
            <w:tcW w:w="794"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23(0)</w:t>
            </w:r>
          </w:p>
        </w:tc>
        <w:tc>
          <w:tcPr>
            <w:tcW w:w="765"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4(14)</w:t>
            </w:r>
          </w:p>
        </w:tc>
        <w:tc>
          <w:tcPr>
            <w:tcW w:w="707"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0(4)</w:t>
            </w:r>
          </w:p>
        </w:tc>
        <w:tc>
          <w:tcPr>
            <w:tcW w:w="658"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2(4)</w:t>
            </w:r>
          </w:p>
        </w:tc>
        <w:tc>
          <w:tcPr>
            <w:tcW w:w="693"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1(0)</w:t>
            </w:r>
          </w:p>
        </w:tc>
        <w:tc>
          <w:tcPr>
            <w:tcW w:w="612"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90</w:t>
            </w:r>
          </w:p>
        </w:tc>
        <w:tc>
          <w:tcPr>
            <w:tcW w:w="1275"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1.98E-06</w:t>
            </w:r>
          </w:p>
        </w:tc>
      </w:tr>
      <w:tr>
        <w:trPr>
          <w:trHeight w:val="420" w:hRule="atLeast"/>
        </w:trPr>
        <w:tc>
          <w:tcPr>
            <w:tcW w:w="1094"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018"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Female</w:t>
            </w:r>
          </w:p>
        </w:tc>
        <w:tc>
          <w:tcPr>
            <w:tcW w:w="1382"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2(17)</w:t>
            </w:r>
          </w:p>
        </w:tc>
        <w:tc>
          <w:tcPr>
            <w:tcW w:w="794"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765"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707"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658"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693"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612"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275"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bl>
    <w:p>
      <w:pPr>
        <w:pStyle w:val="LO-normal"/>
        <w:spacing w:lineRule="auto" w:line="360"/>
        <w:rPr>
          <w:rFonts w:ascii="Times New Roman" w:hAnsi="Times New Roman"/>
          <w:sz w:val="18"/>
          <w:szCs w:val="18"/>
        </w:rPr>
      </w:pPr>
      <w:r>
        <w:rPr>
          <w:rFonts w:eastAsia="Times New Roman" w:cs="Times New Roman" w:ascii="Times New Roman" w:hAnsi="Times New Roman"/>
          <w:sz w:val="18"/>
          <w:szCs w:val="18"/>
          <w:lang w:val="en-US"/>
        </w:rPr>
        <w:t xml:space="preserve">Significant differences could be detected based on the Mann-Whitney U-test. </w:t>
      </w:r>
      <w:r>
        <w:rPr>
          <w:rFonts w:eastAsia="ＭＳ 明朝" w:cs="" w:ascii="Times New Roman" w:hAnsi="Times New Roman"/>
          <w:kern w:val="0"/>
          <w:sz w:val="18"/>
          <w:szCs w:val="18"/>
          <w:lang w:val="en-US" w:eastAsia="en-US" w:bidi="ar-SA"/>
        </w:rPr>
        <w:t>n</w:t>
      </w:r>
      <w:r>
        <w:rPr>
          <w:rFonts w:eastAsia="Times New Roman" w:cs="Times New Roman" w:ascii="Times New Roman" w:hAnsi="Times New Roman"/>
          <w:kern w:val="0"/>
          <w:sz w:val="18"/>
          <w:szCs w:val="18"/>
          <w:lang w:val="en-US" w:eastAsia="en-US" w:bidi="ar-SA"/>
        </w:rPr>
        <w:t xml:space="preserve"> </w:t>
      </w:r>
      <w:r>
        <w:rPr>
          <w:rFonts w:eastAsia="ＭＳ 明朝" w:cs="" w:ascii="Times New Roman" w:hAnsi="Times New Roman"/>
          <w:kern w:val="0"/>
          <w:sz w:val="18"/>
          <w:szCs w:val="18"/>
          <w:lang w:val="en-US" w:eastAsia="en-US" w:bidi="ar-SA"/>
        </w:rPr>
        <w:t xml:space="preserve">– </w:t>
      </w:r>
      <w:r>
        <w:rPr>
          <w:rFonts w:eastAsia="Times New Roman" w:cs="Times New Roman" w:ascii="Times New Roman" w:hAnsi="Times New Roman"/>
          <w:kern w:val="0"/>
          <w:sz w:val="18"/>
          <w:szCs w:val="18"/>
          <w:lang w:val="en-US" w:eastAsia="en-US" w:bidi="ar-SA"/>
        </w:rPr>
        <w:t xml:space="preserve">number of individuals, </w:t>
      </w:r>
      <w:r>
        <w:rPr>
          <w:rFonts w:eastAsia="Times New Roman" w:cs="Times New Roman" w:ascii="Times New Roman" w:hAnsi="Times New Roman"/>
          <w:sz w:val="18"/>
          <w:szCs w:val="18"/>
          <w:lang w:val="en-US"/>
        </w:rPr>
        <w:t xml:space="preserve">Con – controls, Mig – </w:t>
      </w:r>
      <w:r>
        <w:rPr>
          <w:rFonts w:eastAsia="ＭＳ 明朝" w:cs="" w:ascii="Times New Roman" w:hAnsi="Times New Roman"/>
          <w:kern w:val="0"/>
          <w:sz w:val="18"/>
          <w:szCs w:val="18"/>
          <w:lang w:val="en-US" w:eastAsia="en-US" w:bidi="ar-SA"/>
        </w:rPr>
        <w:t>migraineurs</w:t>
      </w:r>
      <w:r>
        <w:rPr>
          <w:rFonts w:eastAsia="Times New Roman" w:cs="Times New Roman" w:ascii="Times New Roman" w:hAnsi="Times New Roman"/>
          <w:sz w:val="18"/>
          <w:szCs w:val="18"/>
          <w:lang w:val="en-US"/>
        </w:rPr>
        <w:t>, 1 - never, 2 - occasionally, 3- a few stems/day, 4- half box/day, 5- one or more than one box/day,</w:t>
      </w:r>
      <w:r>
        <w:rPr>
          <w:rFonts w:ascii="Times New Roman" w:hAnsi="Times New Roman"/>
          <w:sz w:val="18"/>
          <w:szCs w:val="18"/>
          <w:lang w:val="en-US"/>
        </w:rPr>
        <w:t xml:space="preserve"> </w:t>
      </w:r>
      <w:r>
        <w:rPr>
          <w:rFonts w:eastAsia="Times New Roman" w:cs="Times New Roman" w:ascii="Times New Roman" w:hAnsi="Times New Roman"/>
          <w:sz w:val="18"/>
          <w:szCs w:val="18"/>
          <w:lang w:val="en-US"/>
        </w:rPr>
        <w:t>U - Mann-Whitney U test statistic.</w:t>
      </w:r>
    </w:p>
    <w:p>
      <w:pPr>
        <w:pStyle w:val="LO-normal"/>
        <w:spacing w:lineRule="auto" w:line="360"/>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Table 4. Population descriptors of transcriptomic cohort - supplement intake</w:t>
      </w:r>
    </w:p>
    <w:tbl>
      <w:tblPr>
        <w:tblStyle w:val="a3"/>
        <w:tblW w:w="9000" w:type="dxa"/>
        <w:jc w:val="left"/>
        <w:tblInd w:w="0" w:type="dxa"/>
        <w:tblLayout w:type="fixed"/>
        <w:tblCellMar>
          <w:top w:w="0" w:type="dxa"/>
          <w:left w:w="108" w:type="dxa"/>
          <w:bottom w:w="0" w:type="dxa"/>
          <w:right w:w="108" w:type="dxa"/>
        </w:tblCellMar>
        <w:tblLook w:noVBand="1" w:val="0600" w:noHBand="1" w:lastColumn="0" w:firstColumn="0" w:lastRow="0" w:firstRow="0"/>
      </w:tblPr>
      <w:tblGrid>
        <w:gridCol w:w="836"/>
        <w:gridCol w:w="800"/>
        <w:gridCol w:w="973"/>
        <w:gridCol w:w="1048"/>
        <w:gridCol w:w="663"/>
        <w:gridCol w:w="1080"/>
        <w:gridCol w:w="900"/>
        <w:gridCol w:w="630"/>
        <w:gridCol w:w="1170"/>
        <w:gridCol w:w="899"/>
      </w:tblGrid>
      <w:tr>
        <w:trPr/>
        <w:tc>
          <w:tcPr>
            <w:tcW w:w="836"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80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973"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n= Con(Mig)</w:t>
            </w:r>
          </w:p>
        </w:tc>
        <w:tc>
          <w:tcPr>
            <w:tcW w:w="1048"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Contra- ceptives</w:t>
            </w:r>
          </w:p>
        </w:tc>
        <w:tc>
          <w:tcPr>
            <w:tcW w:w="663"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Vit</w:t>
            </w:r>
          </w:p>
        </w:tc>
        <w:tc>
          <w:tcPr>
            <w:tcW w:w="108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Trace elements</w:t>
            </w:r>
          </w:p>
        </w:tc>
        <w:tc>
          <w:tcPr>
            <w:tcW w:w="90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Anti- hist</w:t>
            </w:r>
          </w:p>
        </w:tc>
        <w:tc>
          <w:tcPr>
            <w:tcW w:w="63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O3</w:t>
            </w:r>
          </w:p>
        </w:tc>
        <w:tc>
          <w:tcPr>
            <w:tcW w:w="117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Homeo- pathics</w:t>
            </w:r>
          </w:p>
        </w:tc>
        <w:tc>
          <w:tcPr>
            <w:tcW w:w="899"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Others</w:t>
            </w:r>
          </w:p>
        </w:tc>
      </w:tr>
      <w:tr>
        <w:trPr>
          <w:trHeight w:val="420" w:hRule="atLeast"/>
        </w:trPr>
        <w:tc>
          <w:tcPr>
            <w:tcW w:w="836"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Drugs</w:t>
            </w:r>
          </w:p>
        </w:tc>
        <w:tc>
          <w:tcPr>
            <w:tcW w:w="80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Male</w:t>
            </w:r>
          </w:p>
        </w:tc>
        <w:tc>
          <w:tcPr>
            <w:tcW w:w="973"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4(0)</w:t>
            </w:r>
          </w:p>
        </w:tc>
        <w:tc>
          <w:tcPr>
            <w:tcW w:w="1048"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4(6)</w:t>
            </w:r>
          </w:p>
        </w:tc>
        <w:tc>
          <w:tcPr>
            <w:tcW w:w="663"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8(0)</w:t>
            </w:r>
          </w:p>
        </w:tc>
        <w:tc>
          <w:tcPr>
            <w:tcW w:w="1080"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1(3)</w:t>
            </w:r>
          </w:p>
        </w:tc>
        <w:tc>
          <w:tcPr>
            <w:tcW w:w="900"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2(0)</w:t>
            </w:r>
          </w:p>
        </w:tc>
        <w:tc>
          <w:tcPr>
            <w:tcW w:w="630"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2(0)</w:t>
            </w:r>
          </w:p>
        </w:tc>
        <w:tc>
          <w:tcPr>
            <w:tcW w:w="1170"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1(0)</w:t>
            </w:r>
          </w:p>
        </w:tc>
        <w:tc>
          <w:tcPr>
            <w:tcW w:w="899" w:type="dxa"/>
            <w:vMerge w:val="restart"/>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4(2)</w:t>
            </w:r>
          </w:p>
        </w:tc>
      </w:tr>
      <w:tr>
        <w:trPr>
          <w:trHeight w:val="420" w:hRule="atLeast"/>
        </w:trPr>
        <w:tc>
          <w:tcPr>
            <w:tcW w:w="836"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80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Female</w:t>
            </w:r>
          </w:p>
        </w:tc>
        <w:tc>
          <w:tcPr>
            <w:tcW w:w="973"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10(9)</w:t>
            </w:r>
          </w:p>
        </w:tc>
        <w:tc>
          <w:tcPr>
            <w:tcW w:w="1048"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663"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080"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900"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630"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170"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899" w:type="dxa"/>
            <w:vMerge w:val="continue"/>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bl>
    <w:p>
      <w:pPr>
        <w:pStyle w:val="LO-normal"/>
        <w:spacing w:lineRule="auto" w:line="360"/>
        <w:rPr>
          <w:rFonts w:ascii="Times New Roman" w:hAnsi="Times New Roman"/>
          <w:sz w:val="18"/>
          <w:szCs w:val="18"/>
        </w:rPr>
      </w:pPr>
      <w:r>
        <w:rPr>
          <w:rFonts w:eastAsia="Times New Roman" w:cs="Times New Roman" w:ascii="Times New Roman" w:hAnsi="Times New Roman"/>
          <w:sz w:val="18"/>
          <w:szCs w:val="18"/>
          <w:lang w:val="en-US"/>
        </w:rPr>
        <w:t xml:space="preserve">All participants reported supplement intake, vitamins (Vit) contained multivitamin-, vitamin A, -C and -D preparations, trace elements contained magnesium, iron, folic acid and zinc. Antihistamines (Antihist) were cetirizin and desloratidin, omega-3 (O3) was supplemented by cod liver oil and Omega-3 capsules. Homeopathic medicines were not specified, while others contain antacids, glycosaminoglycan,  myo-inositol, nasal spray, steroid cream and Q10. </w:t>
      </w:r>
      <w:r>
        <w:rPr>
          <w:rFonts w:eastAsia="ＭＳ 明朝" w:cs="" w:ascii="Times New Roman" w:hAnsi="Times New Roman"/>
          <w:kern w:val="0"/>
          <w:sz w:val="18"/>
          <w:szCs w:val="18"/>
          <w:lang w:val="en-US" w:eastAsia="en-US" w:bidi="ar-SA"/>
        </w:rPr>
        <w:t>n</w:t>
      </w:r>
      <w:r>
        <w:rPr>
          <w:rFonts w:eastAsia="Times New Roman" w:cs="Times New Roman" w:ascii="Times New Roman" w:hAnsi="Times New Roman"/>
          <w:kern w:val="0"/>
          <w:sz w:val="18"/>
          <w:szCs w:val="18"/>
          <w:lang w:val="en-US" w:eastAsia="en-US" w:bidi="ar-SA"/>
        </w:rPr>
        <w:t xml:space="preserve"> </w:t>
      </w:r>
      <w:r>
        <w:rPr>
          <w:rFonts w:eastAsia="ＭＳ 明朝" w:cs="" w:ascii="Times New Roman" w:hAnsi="Times New Roman"/>
          <w:kern w:val="0"/>
          <w:sz w:val="18"/>
          <w:szCs w:val="18"/>
          <w:lang w:val="en-US" w:eastAsia="en-US" w:bidi="ar-SA"/>
        </w:rPr>
        <w:t xml:space="preserve">– </w:t>
      </w:r>
      <w:r>
        <w:rPr>
          <w:rFonts w:eastAsia="Times New Roman" w:cs="Times New Roman" w:ascii="Times New Roman" w:hAnsi="Times New Roman"/>
          <w:kern w:val="0"/>
          <w:sz w:val="18"/>
          <w:szCs w:val="18"/>
          <w:lang w:val="en-US" w:eastAsia="en-US" w:bidi="ar-SA"/>
        </w:rPr>
        <w:t xml:space="preserve">number of individuals, </w:t>
      </w:r>
      <w:r>
        <w:rPr>
          <w:rFonts w:eastAsia="Times New Roman" w:cs="Times New Roman" w:ascii="Times New Roman" w:hAnsi="Times New Roman"/>
          <w:sz w:val="18"/>
          <w:szCs w:val="18"/>
          <w:lang w:val="en-US"/>
        </w:rPr>
        <w:t>Con – controls, Mig – migraineurs.</w:t>
      </w:r>
    </w:p>
    <w:p>
      <w:pPr>
        <w:pStyle w:val="LO-normal"/>
        <w:spacing w:lineRule="auto" w:line="360"/>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Table 5. Population descriptors of transcriptomic cohort - contraceptive use</w:t>
      </w:r>
    </w:p>
    <w:tbl>
      <w:tblPr>
        <w:tblStyle w:val="a4"/>
        <w:tblW w:w="9029" w:type="dxa"/>
        <w:jc w:val="left"/>
        <w:tblInd w:w="0" w:type="dxa"/>
        <w:tblLayout w:type="fixed"/>
        <w:tblCellMar>
          <w:top w:w="0" w:type="dxa"/>
          <w:left w:w="108" w:type="dxa"/>
          <w:bottom w:w="0" w:type="dxa"/>
          <w:right w:w="108" w:type="dxa"/>
        </w:tblCellMar>
        <w:tblLook w:noVBand="1" w:val="0600" w:noHBand="1" w:lastColumn="0" w:firstColumn="0" w:lastRow="0" w:firstRow="0"/>
      </w:tblPr>
      <w:tblGrid>
        <w:gridCol w:w="3009"/>
        <w:gridCol w:w="3010"/>
        <w:gridCol w:w="3010"/>
      </w:tblGrid>
      <w:tr>
        <w:trPr/>
        <w:tc>
          <w:tcPr>
            <w:tcW w:w="3009"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301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COC</w:t>
            </w:r>
          </w:p>
        </w:tc>
        <w:tc>
          <w:tcPr>
            <w:tcW w:w="301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Vaginal ring</w:t>
            </w:r>
          </w:p>
        </w:tc>
      </w:tr>
      <w:tr>
        <w:trPr/>
        <w:tc>
          <w:tcPr>
            <w:tcW w:w="3009"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Contraceptive type</w:t>
            </w:r>
          </w:p>
        </w:tc>
        <w:tc>
          <w:tcPr>
            <w:tcW w:w="301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9</w:t>
            </w:r>
          </w:p>
        </w:tc>
        <w:tc>
          <w:tcPr>
            <w:tcW w:w="3010" w:type="dxa"/>
            <w:tcBorders>
              <w:top w:val="single" w:sz="8" w:space="0" w:color="000000"/>
              <w:left w:val="single" w:sz="8" w:space="0" w:color="000000"/>
              <w:bottom w:val="single" w:sz="8" w:space="0" w:color="000000"/>
              <w:right w:val="single" w:sz="8" w:space="0" w:color="000000"/>
            </w:tcBorders>
            <w:shd w:color="auto" w:fill="auto" w:val="clear"/>
          </w:tcPr>
          <w:p>
            <w:pPr>
              <w:pStyle w:val="LO-normal"/>
              <w:widowControl w:val="false"/>
              <w:spacing w:lineRule="auto" w:line="360"/>
              <w:rPr>
                <w:rFonts w:ascii="Times New Roman" w:hAnsi="Times New Roman"/>
                <w:sz w:val="18"/>
                <w:szCs w:val="18"/>
              </w:rPr>
            </w:pPr>
            <w:r>
              <w:rPr>
                <w:rFonts w:eastAsia="Times New Roman" w:cs="Times New Roman" w:ascii="Times New Roman" w:hAnsi="Times New Roman"/>
                <w:sz w:val="18"/>
                <w:szCs w:val="18"/>
                <w:lang w:val="en-US"/>
              </w:rPr>
              <w:t>1</w:t>
            </w:r>
          </w:p>
        </w:tc>
      </w:tr>
    </w:tbl>
    <w:p>
      <w:pPr>
        <w:pStyle w:val="LO-normal"/>
        <w:spacing w:lineRule="auto" w:line="360"/>
        <w:rPr>
          <w:rFonts w:ascii="Times New Roman" w:hAnsi="Times New Roman"/>
          <w:sz w:val="18"/>
          <w:szCs w:val="18"/>
        </w:rPr>
      </w:pPr>
      <w:r>
        <w:rPr>
          <w:rFonts w:eastAsia="Times New Roman" w:cs="Times New Roman" w:ascii="Times New Roman" w:hAnsi="Times New Roman"/>
          <w:sz w:val="18"/>
          <w:szCs w:val="18"/>
          <w:lang w:val="en-US"/>
        </w:rPr>
        <w:t>All contraceptives used are hormonal, just one participant used vaginal ring, the rest used COC during the study. COC – Combined oral contraceptive pil</w:t>
      </w:r>
      <w:r>
        <w:rPr>
          <w:rFonts w:ascii="Times New Roman" w:hAnsi="Times New Roman"/>
          <w:sz w:val="18"/>
          <w:szCs w:val="18"/>
          <w:lang w:val="en-US"/>
        </w:rPr>
        <w:t>l.</w:t>
      </w:r>
    </w:p>
    <w:p>
      <w:pPr>
        <w:pStyle w:val="LO-normal"/>
        <w:spacing w:lineRule="auto" w:line="360"/>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eastAsia="Times New Roman" w:cs="Times New Roman"/>
          <w:b/>
          <w:sz w:val="18"/>
          <w:szCs w:val="18"/>
          <w:lang w:val="en-US"/>
        </w:rPr>
      </w:pPr>
      <w:r>
        <w:rPr>
          <w:rFonts w:eastAsia="Times New Roman" w:cs="Times New Roman" w:ascii="Times New Roman" w:hAnsi="Times New Roman"/>
          <w:b/>
          <w:sz w:val="18"/>
          <w:szCs w:val="18"/>
          <w:lang w:val="en-US"/>
        </w:rPr>
      </w:r>
      <w:r>
        <w:br w:type="page"/>
      </w:r>
    </w:p>
    <w:p>
      <w:pPr>
        <w:pStyle w:val="LO-normal"/>
        <w:spacing w:lineRule="auto" w:line="360" w:before="0" w:after="0"/>
        <w:rPr>
          <w:rFonts w:ascii="Times New Roman" w:hAnsi="Times New Roman"/>
          <w:sz w:val="18"/>
          <w:szCs w:val="18"/>
        </w:rPr>
      </w:pPr>
      <w:r>
        <w:rPr>
          <w:rFonts w:eastAsia="Times New Roman" w:cs="Times New Roman" w:ascii="Times New Roman" w:hAnsi="Times New Roman"/>
          <w:b/>
          <w:sz w:val="18"/>
          <w:szCs w:val="18"/>
          <w:lang w:val="en-US"/>
        </w:rPr>
        <w:t xml:space="preserve">Descriptive statistics of the additional cohorts used in the study </w:t>
      </w:r>
    </w:p>
    <w:p>
      <w:pPr>
        <w:pStyle w:val="LO-normal"/>
        <w:spacing w:lineRule="auto" w:line="360"/>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sz w:val="18"/>
          <w:szCs w:val="18"/>
        </w:rPr>
      </w:pPr>
      <w:r>
        <w:rPr>
          <w:rFonts w:eastAsia="Times New Roman" w:cs="Times New Roman" w:ascii="Times New Roman" w:hAnsi="Times New Roman"/>
          <w:sz w:val="18"/>
          <w:szCs w:val="18"/>
          <w:lang w:val="en-US"/>
        </w:rPr>
        <w:t xml:space="preserve">In the following detailed descriptive statistics are presented about additional cohorts used in genetic analyses. </w:t>
      </w:r>
    </w:p>
    <w:p>
      <w:pPr>
        <w:pStyle w:val="LO-normal"/>
        <w:spacing w:lineRule="auto" w:line="360"/>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Table 6. UK Biobank sample characteristics</w:t>
      </w:r>
    </w:p>
    <w:tbl>
      <w:tblPr>
        <w:tblStyle w:val="a5"/>
        <w:tblW w:w="5189" w:type="dxa"/>
        <w:jc w:val="left"/>
        <w:tblInd w:w="0" w:type="dxa"/>
        <w:tblLayout w:type="fixed"/>
        <w:tblCellMar>
          <w:top w:w="0" w:type="dxa"/>
          <w:left w:w="108" w:type="dxa"/>
          <w:bottom w:w="0" w:type="dxa"/>
          <w:right w:w="108" w:type="dxa"/>
        </w:tblCellMar>
        <w:tblLook w:noVBand="1" w:val="0600" w:noHBand="1" w:lastColumn="0" w:firstColumn="0" w:lastRow="0" w:firstRow="0"/>
      </w:tblPr>
      <w:tblGrid>
        <w:gridCol w:w="1453"/>
        <w:gridCol w:w="1381"/>
        <w:gridCol w:w="1349"/>
        <w:gridCol w:w="1005"/>
      </w:tblGrid>
      <w:tr>
        <w:trPr>
          <w:trHeight w:val="420" w:hRule="atLeast"/>
        </w:trPr>
        <w:tc>
          <w:tcPr>
            <w:tcW w:w="5188" w:type="dxa"/>
            <w:gridSpan w:val="4"/>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UK Biobank sample characteristics</w:t>
            </w:r>
          </w:p>
        </w:tc>
      </w:tr>
      <w:tr>
        <w:trPr>
          <w:trHeight w:val="420" w:hRule="atLeast"/>
        </w:trPr>
        <w:tc>
          <w:tcPr>
            <w:tcW w:w="1453" w:type="dxa"/>
            <w:vMerge w:val="restart"/>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Age</w:t>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Mean</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58.1743</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rHeight w:val="420" w:hRule="atLeast"/>
        </w:trPr>
        <w:tc>
          <w:tcPr>
            <w:tcW w:w="1453" w:type="dxa"/>
            <w:vMerge w:val="continue"/>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SE</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0.0167</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rHeight w:val="420" w:hRule="atLeast"/>
        </w:trPr>
        <w:tc>
          <w:tcPr>
            <w:tcW w:w="1453" w:type="dxa"/>
            <w:vMerge w:val="continue"/>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Range</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39-72</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Smoking</w:t>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N</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Allergy</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N</w:t>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Cases</w:t>
            </w:r>
          </w:p>
        </w:tc>
        <w:tc>
          <w:tcPr>
            <w:tcW w:w="1381"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102976</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Cases</w:t>
            </w:r>
          </w:p>
        </w:tc>
        <w:tc>
          <w:tcPr>
            <w:tcW w:w="1005"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25321</w:t>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Controls</w:t>
            </w:r>
          </w:p>
        </w:tc>
        <w:tc>
          <w:tcPr>
            <w:tcW w:w="1381"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66403</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Controls</w:t>
            </w:r>
          </w:p>
        </w:tc>
        <w:tc>
          <w:tcPr>
            <w:tcW w:w="1005"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144469</w:t>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Sex</w:t>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N</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Migraine</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N</w:t>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Males</w:t>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101766</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Cases</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6139</w:t>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Females</w:t>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98163</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Controls</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193790</w:t>
            </w:r>
          </w:p>
        </w:tc>
      </w:tr>
      <w:tr>
        <w:trPr/>
        <w:tc>
          <w:tcPr>
            <w:tcW w:w="1453" w:type="dxa"/>
            <w:vMerge w:val="restart"/>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Retinol equivalent intake</w:t>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Mean</w:t>
            </w:r>
          </w:p>
        </w:tc>
        <w:tc>
          <w:tcPr>
            <w:tcW w:w="1349"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978.9086</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vMerge w:val="continue"/>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SE</w:t>
            </w:r>
          </w:p>
        </w:tc>
        <w:tc>
          <w:tcPr>
            <w:tcW w:w="1349"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3.8709</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vMerge w:val="continue"/>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Range(μg)</w:t>
            </w:r>
          </w:p>
        </w:tc>
        <w:tc>
          <w:tcPr>
            <w:tcW w:w="1349"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0-41446</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vMerge w:val="restart"/>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Retinol intake</w:t>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Mean</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482.1076</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vMerge w:val="continue"/>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SE</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3.4461</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vMerge w:val="continue"/>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Range(μg)</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0-38784</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bl>
    <w:p>
      <w:pPr>
        <w:pStyle w:val="LO-normal"/>
        <w:spacing w:lineRule="auto" w:line="360"/>
        <w:jc w:val="center"/>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sz w:val="18"/>
          <w:szCs w:val="18"/>
        </w:rPr>
      </w:pPr>
      <w:r>
        <w:rPr>
          <w:rFonts w:eastAsia="Times New Roman" w:cs="Times New Roman" w:ascii="Times New Roman" w:hAnsi="Times New Roman"/>
          <w:sz w:val="18"/>
          <w:szCs w:val="18"/>
          <w:lang w:val="en-US"/>
        </w:rPr>
        <w:t xml:space="preserve">Sample characteristics of the UK Biobank cohort used in the genetic analyses of LEGs and vitamin A related SNP-level analyses. N </w:t>
      </w:r>
      <w:r>
        <w:rPr>
          <w:rFonts w:eastAsia="ＭＳ 明朝" w:cs="" w:ascii="Times New Roman" w:hAnsi="Times New Roman"/>
          <w:kern w:val="0"/>
          <w:sz w:val="18"/>
          <w:szCs w:val="18"/>
          <w:lang w:val="en-US" w:eastAsia="en-US" w:bidi="ar-SA"/>
        </w:rPr>
        <w:t>–</w:t>
      </w:r>
      <w:r>
        <w:rPr>
          <w:rFonts w:eastAsia="Times New Roman" w:cs="Times New Roman" w:ascii="Times New Roman" w:hAnsi="Times New Roman"/>
          <w:sz w:val="18"/>
          <w:szCs w:val="18"/>
          <w:lang w:val="en-US"/>
        </w:rPr>
        <w:t xml:space="preserve"> number of individuals, SE </w:t>
      </w:r>
      <w:r>
        <w:rPr>
          <w:rFonts w:eastAsia="ＭＳ 明朝" w:cs="" w:ascii="Times New Roman" w:hAnsi="Times New Roman"/>
          <w:kern w:val="0"/>
          <w:sz w:val="18"/>
          <w:szCs w:val="18"/>
          <w:lang w:val="en-US" w:eastAsia="en-US" w:bidi="ar-SA"/>
        </w:rPr>
        <w:t xml:space="preserve">– </w:t>
      </w:r>
      <w:r>
        <w:rPr>
          <w:rFonts w:eastAsia="Times New Roman" w:cs="Times New Roman" w:ascii="Times New Roman" w:hAnsi="Times New Roman"/>
          <w:sz w:val="18"/>
          <w:szCs w:val="18"/>
          <w:lang w:val="en-US"/>
        </w:rPr>
        <w:t xml:space="preserve">standard error, μg </w:t>
      </w:r>
      <w:r>
        <w:rPr>
          <w:rFonts w:eastAsia="ＭＳ 明朝" w:cs="" w:ascii="Times New Roman" w:hAnsi="Times New Roman"/>
          <w:kern w:val="0"/>
          <w:sz w:val="18"/>
          <w:szCs w:val="18"/>
          <w:lang w:val="en-US" w:eastAsia="en-US" w:bidi="ar-SA"/>
        </w:rPr>
        <w:t>–</w:t>
      </w:r>
      <w:r>
        <w:rPr>
          <w:rFonts w:eastAsia="Times New Roman" w:cs="Times New Roman" w:ascii="Times New Roman" w:hAnsi="Times New Roman"/>
          <w:sz w:val="18"/>
          <w:szCs w:val="18"/>
          <w:lang w:val="en-US"/>
        </w:rPr>
        <w:t xml:space="preserve"> micrograms.</w:t>
      </w:r>
    </w:p>
    <w:p>
      <w:pPr>
        <w:pStyle w:val="LO-normal"/>
        <w:spacing w:lineRule="auto" w:line="360"/>
        <w:rPr>
          <w:rFonts w:ascii="Times New Roman" w:hAnsi="Times New Roman"/>
          <w:b/>
          <w:sz w:val="18"/>
          <w:szCs w:val="18"/>
          <w:lang w:val="en-US"/>
        </w:rPr>
      </w:pPr>
      <w:r>
        <w:rPr>
          <w:rFonts w:ascii="Times New Roman" w:hAnsi="Times New Roman"/>
          <w:b/>
          <w:sz w:val="18"/>
          <w:szCs w:val="18"/>
          <w:lang w:val="en-US"/>
        </w:rPr>
        <w:br/>
        <w:br/>
        <w:br/>
        <w:br/>
        <w:br/>
        <w:br/>
        <w:br/>
        <w:br/>
        <w:br/>
        <w:br/>
        <w:br/>
        <w:br/>
        <w:br/>
        <w:br/>
        <w:br/>
        <w:br/>
      </w:r>
    </w:p>
    <w:p>
      <w:pPr>
        <w:pStyle w:val="LO-normal"/>
        <w:spacing w:lineRule="auto" w:line="360"/>
        <w:rPr>
          <w:rFonts w:ascii="Times New Roman" w:hAnsi="Times New Roman"/>
          <w:b/>
          <w:sz w:val="18"/>
          <w:szCs w:val="18"/>
          <w:lang w:val="en-US"/>
        </w:rPr>
      </w:pPr>
      <w:r>
        <w:rPr>
          <w:rFonts w:eastAsia="Times New Roman" w:cs="Times New Roman" w:ascii="Times New Roman" w:hAnsi="Times New Roman"/>
          <w:b/>
          <w:sz w:val="18"/>
          <w:szCs w:val="18"/>
          <w:lang w:val="en-US"/>
        </w:rPr>
        <w:t>Table 7. Migraine transcriptomic cohort sample characteristics</w:t>
      </w:r>
    </w:p>
    <w:tbl>
      <w:tblPr>
        <w:tblStyle w:val="a6"/>
        <w:tblW w:w="5189" w:type="dxa"/>
        <w:jc w:val="left"/>
        <w:tblInd w:w="0" w:type="dxa"/>
        <w:tblLayout w:type="fixed"/>
        <w:tblCellMar>
          <w:top w:w="0" w:type="dxa"/>
          <w:left w:w="108" w:type="dxa"/>
          <w:bottom w:w="0" w:type="dxa"/>
          <w:right w:w="108" w:type="dxa"/>
        </w:tblCellMar>
        <w:tblLook w:noVBand="1" w:val="0600" w:noHBand="1" w:lastColumn="0" w:firstColumn="0" w:lastRow="0" w:firstRow="0"/>
      </w:tblPr>
      <w:tblGrid>
        <w:gridCol w:w="1453"/>
        <w:gridCol w:w="1381"/>
        <w:gridCol w:w="1349"/>
        <w:gridCol w:w="1005"/>
      </w:tblGrid>
      <w:tr>
        <w:trPr>
          <w:trHeight w:val="420" w:hRule="atLeast"/>
        </w:trPr>
        <w:tc>
          <w:tcPr>
            <w:tcW w:w="5188" w:type="dxa"/>
            <w:gridSpan w:val="4"/>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Migraine transcriptomic cohort sample characteristics</w:t>
            </w:r>
          </w:p>
        </w:tc>
      </w:tr>
      <w:tr>
        <w:trPr>
          <w:trHeight w:val="420" w:hRule="atLeast"/>
        </w:trPr>
        <w:tc>
          <w:tcPr>
            <w:tcW w:w="1453" w:type="dxa"/>
            <w:vMerge w:val="restart"/>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Age</w:t>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Mean</w:t>
            </w:r>
          </w:p>
        </w:tc>
        <w:tc>
          <w:tcPr>
            <w:tcW w:w="13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27.5051</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rHeight w:val="420" w:hRule="atLeast"/>
        </w:trPr>
        <w:tc>
          <w:tcPr>
            <w:tcW w:w="1453" w:type="dxa"/>
            <w:vMerge w:val="continue"/>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SE</w:t>
            </w:r>
          </w:p>
        </w:tc>
        <w:tc>
          <w:tcPr>
            <w:tcW w:w="13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0.3868</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rHeight w:val="117" w:hRule="atLeast"/>
        </w:trPr>
        <w:tc>
          <w:tcPr>
            <w:tcW w:w="1453" w:type="dxa"/>
            <w:vMerge w:val="continue"/>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Range</w:t>
            </w:r>
          </w:p>
        </w:tc>
        <w:tc>
          <w:tcPr>
            <w:tcW w:w="13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19-49</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Smoking</w:t>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Mean</w:t>
            </w:r>
          </w:p>
        </w:tc>
        <w:tc>
          <w:tcPr>
            <w:tcW w:w="13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4.6329</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SE</w:t>
            </w:r>
          </w:p>
        </w:tc>
        <w:tc>
          <w:tcPr>
            <w:tcW w:w="13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0.0511</w:t>
            </w:r>
          </w:p>
        </w:tc>
        <w:tc>
          <w:tcPr>
            <w:tcW w:w="1005"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Range</w:t>
            </w:r>
          </w:p>
        </w:tc>
        <w:tc>
          <w:tcPr>
            <w:tcW w:w="13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1-5</w:t>
            </w:r>
          </w:p>
        </w:tc>
        <w:tc>
          <w:tcPr>
            <w:tcW w:w="1005"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Sex</w:t>
            </w:r>
          </w:p>
        </w:tc>
        <w:tc>
          <w:tcPr>
            <w:tcW w:w="1381"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N</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Migraine</w:t>
            </w:r>
          </w:p>
        </w:tc>
        <w:tc>
          <w:tcPr>
            <w:tcW w:w="1005"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N</w:t>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Males</w:t>
            </w:r>
          </w:p>
        </w:tc>
        <w:tc>
          <w:tcPr>
            <w:tcW w:w="13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83</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Cases</w:t>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172</w:t>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Females</w:t>
            </w:r>
          </w:p>
        </w:tc>
        <w:tc>
          <w:tcPr>
            <w:tcW w:w="13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206</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Controls</w:t>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117</w:t>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b/>
                <w:sz w:val="18"/>
                <w:szCs w:val="18"/>
                <w:lang w:val="en-US"/>
              </w:rPr>
              <w:t>Allergy</w:t>
            </w:r>
          </w:p>
        </w:tc>
        <w:tc>
          <w:tcPr>
            <w:tcW w:w="13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N</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Yes</w:t>
            </w:r>
          </w:p>
        </w:tc>
        <w:tc>
          <w:tcPr>
            <w:tcW w:w="13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106</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r>
        <w:trPr/>
        <w:tc>
          <w:tcPr>
            <w:tcW w:w="1453"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No</w:t>
            </w:r>
          </w:p>
        </w:tc>
        <w:tc>
          <w:tcPr>
            <w:tcW w:w="13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sz w:val="18"/>
                <w:szCs w:val="18"/>
              </w:rPr>
            </w:pPr>
            <w:r>
              <w:rPr>
                <w:rFonts w:eastAsia="Times New Roman" w:cs="Times New Roman" w:ascii="Times New Roman" w:hAnsi="Times New Roman"/>
                <w:sz w:val="18"/>
                <w:szCs w:val="18"/>
                <w:lang w:val="en-US"/>
              </w:rPr>
              <w:t>177</w:t>
            </w:r>
          </w:p>
        </w:tc>
        <w:tc>
          <w:tcPr>
            <w:tcW w:w="1349" w:type="dxa"/>
            <w:tcBorders>
              <w:top w:val="single" w:sz="8" w:space="0" w:color="000000"/>
              <w:left w:val="single" w:sz="8" w:space="0" w:color="000000"/>
              <w:bottom w:val="single" w:sz="8" w:space="0" w:color="000000"/>
              <w:right w:val="single" w:sz="8" w:space="0" w:color="000000"/>
            </w:tcBorders>
            <w:vAlign w:val="cente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LO-normal"/>
              <w:widowControl w:val="false"/>
              <w:spacing w:lineRule="auto" w:line="360"/>
              <w:jc w:val="center"/>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tc>
      </w:tr>
    </w:tbl>
    <w:p>
      <w:pPr>
        <w:pStyle w:val="LO-normal"/>
        <w:spacing w:lineRule="auto" w:line="360"/>
        <w:rPr>
          <w:rFonts w:ascii="Times New Roman" w:hAnsi="Times New Roman"/>
          <w:sz w:val="18"/>
          <w:szCs w:val="18"/>
        </w:rPr>
      </w:pPr>
      <w:r>
        <w:rPr>
          <w:rFonts w:eastAsia="Times New Roman" w:cs="Times New Roman" w:ascii="Times New Roman" w:hAnsi="Times New Roman"/>
          <w:sz w:val="18"/>
          <w:szCs w:val="18"/>
          <w:lang w:val="en-US"/>
        </w:rPr>
        <w:t xml:space="preserve">Sample characteristics of the migraine transcriptomic cohort used in the genetic analyses of LEGs and vitamin A related SNP-level analyses. N </w:t>
      </w:r>
      <w:r>
        <w:rPr>
          <w:rFonts w:eastAsia="ＭＳ 明朝" w:cs="" w:ascii="Times New Roman" w:hAnsi="Times New Roman"/>
          <w:kern w:val="0"/>
          <w:sz w:val="18"/>
          <w:szCs w:val="18"/>
          <w:lang w:val="en-US" w:eastAsia="en-US" w:bidi="ar-SA"/>
        </w:rPr>
        <w:t>–</w:t>
      </w:r>
      <w:r>
        <w:rPr>
          <w:rFonts w:eastAsia="Times New Roman" w:cs="Times New Roman" w:ascii="Times New Roman" w:hAnsi="Times New Roman"/>
          <w:sz w:val="18"/>
          <w:szCs w:val="18"/>
          <w:lang w:val="en-US"/>
        </w:rPr>
        <w:t xml:space="preserve"> number of individuals, SE </w:t>
      </w:r>
      <w:r>
        <w:rPr>
          <w:rFonts w:eastAsia="ＭＳ 明朝" w:cs="" w:ascii="Times New Roman" w:hAnsi="Times New Roman"/>
          <w:kern w:val="0"/>
          <w:sz w:val="18"/>
          <w:szCs w:val="18"/>
          <w:lang w:val="en-US" w:eastAsia="en-US" w:bidi="ar-SA"/>
        </w:rPr>
        <w:t>–</w:t>
      </w:r>
      <w:r>
        <w:rPr>
          <w:rFonts w:eastAsia="Times New Roman" w:cs="Times New Roman" w:ascii="Times New Roman" w:hAnsi="Times New Roman"/>
          <w:sz w:val="18"/>
          <w:szCs w:val="18"/>
          <w:lang w:val="en-US"/>
        </w:rPr>
        <w:t xml:space="preserve"> standard error</w:t>
      </w:r>
    </w:p>
    <w:p>
      <w:pPr>
        <w:pStyle w:val="LO-normal"/>
        <w:spacing w:lineRule="auto" w:line="360"/>
        <w:rPr>
          <w:rFonts w:ascii="Times New Roman" w:hAnsi="Times New Roman"/>
          <w:sz w:val="18"/>
          <w:szCs w:val="18"/>
          <w:lang w:val="en-US"/>
        </w:rPr>
      </w:pPr>
      <w:r>
        <w:rPr>
          <w:rFonts w:ascii="Times New Roman" w:hAnsi="Times New Roman"/>
          <w:sz w:val="18"/>
          <w:szCs w:val="18"/>
          <w:lang w:val="en-US"/>
        </w:rPr>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eastAsia="zh-CN" w:bidi="hi-IN"/>
        </w:rPr>
        <w:t>Table 8. Results of the comparison of retinol and vitamin A retinol equivalent intake between migraine and control group</w:t>
      </w:r>
    </w:p>
    <w:tbl>
      <w:tblPr>
        <w:tblStyle w:val="Rcsostblzat"/>
        <w:tblpPr w:vertAnchor="text" w:horzAnchor="text" w:tblpXSpec="center" w:leftFromText="141" w:rightFromText="141" w:tblpY="1"/>
        <w:tblW w:w="9016"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1803"/>
        <w:gridCol w:w="1803"/>
        <w:gridCol w:w="1803"/>
        <w:gridCol w:w="1803"/>
        <w:gridCol w:w="1804"/>
      </w:tblGrid>
      <w:tr>
        <w:trPr/>
        <w:tc>
          <w:tcPr>
            <w:tcW w:w="1803" w:type="dxa"/>
            <w:tcBorders/>
            <w:vAlign w:val="center"/>
          </w:tcPr>
          <w:p>
            <w:pPr>
              <w:pStyle w:val="LO-normal"/>
              <w:widowControl w:val="false"/>
              <w:spacing w:lineRule="auto" w:line="240" w:before="0" w:after="0"/>
              <w:jc w:val="center"/>
              <w:rPr>
                <w:rFonts w:ascii="Times new roman" w:hAnsi="Times new roman" w:cs="Times New Roman"/>
                <w:sz w:val="20"/>
                <w:szCs w:val="20"/>
                <w:lang w:val="en-US"/>
              </w:rPr>
            </w:pPr>
            <w:r>
              <w:rPr>
                <w:rFonts w:cs="Times New Roman" w:ascii="Times new roman" w:hAnsi="Times new roman"/>
                <w:sz w:val="20"/>
                <w:szCs w:val="20"/>
                <w:lang w:val="en-US"/>
              </w:rPr>
            </w:r>
          </w:p>
        </w:tc>
        <w:tc>
          <w:tcPr>
            <w:tcW w:w="1803" w:type="dxa"/>
            <w:tcBorders/>
            <w:vAlign w:val="center"/>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Retinol mean</w:t>
            </w:r>
          </w:p>
        </w:tc>
        <w:tc>
          <w:tcPr>
            <w:tcW w:w="1803" w:type="dxa"/>
            <w:tcBorders/>
            <w:vAlign w:val="center"/>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t-test p-value</w:t>
            </w:r>
          </w:p>
        </w:tc>
        <w:tc>
          <w:tcPr>
            <w:tcW w:w="1803" w:type="dxa"/>
            <w:tcBorders/>
            <w:vAlign w:val="center"/>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Vitamin A retinol equivalent mean</w:t>
            </w:r>
          </w:p>
        </w:tc>
        <w:tc>
          <w:tcPr>
            <w:tcW w:w="1804" w:type="dxa"/>
            <w:tcBorders/>
            <w:vAlign w:val="center"/>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t-test p-value</w:t>
            </w:r>
          </w:p>
        </w:tc>
      </w:tr>
      <w:tr>
        <w:trPr/>
        <w:tc>
          <w:tcPr>
            <w:tcW w:w="1803" w:type="dxa"/>
            <w:tcBorders/>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migraine</w:t>
            </w:r>
          </w:p>
        </w:tc>
        <w:tc>
          <w:tcPr>
            <w:tcW w:w="1803" w:type="dxa"/>
            <w:tcBorders/>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426.7946</w:t>
            </w:r>
          </w:p>
        </w:tc>
        <w:tc>
          <w:tcPr>
            <w:tcW w:w="1803" w:type="dxa"/>
            <w:vMerge w:val="restart"/>
            <w:tcBorders/>
            <w:vAlign w:val="center"/>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0.00021</w:t>
            </w:r>
          </w:p>
        </w:tc>
        <w:tc>
          <w:tcPr>
            <w:tcW w:w="1803" w:type="dxa"/>
            <w:tcBorders/>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946.5640</w:t>
            </w:r>
          </w:p>
        </w:tc>
        <w:tc>
          <w:tcPr>
            <w:tcW w:w="1804" w:type="dxa"/>
            <w:vMerge w:val="restart"/>
            <w:tcBorders/>
            <w:vAlign w:val="center"/>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0.06491</w:t>
            </w:r>
          </w:p>
        </w:tc>
      </w:tr>
      <w:tr>
        <w:trPr/>
        <w:tc>
          <w:tcPr>
            <w:tcW w:w="1803" w:type="dxa"/>
            <w:tcBorders/>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control</w:t>
            </w:r>
          </w:p>
        </w:tc>
        <w:tc>
          <w:tcPr>
            <w:tcW w:w="1803" w:type="dxa"/>
            <w:tcBorders/>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484.0020</w:t>
            </w:r>
          </w:p>
        </w:tc>
        <w:tc>
          <w:tcPr>
            <w:tcW w:w="1803" w:type="dxa"/>
            <w:vMerge w:val="continue"/>
            <w:tcBorders/>
          </w:tcPr>
          <w:p>
            <w:pPr>
              <w:pStyle w:val="LO-normal"/>
              <w:widowControl w:val="false"/>
              <w:spacing w:lineRule="auto" w:line="240" w:before="0" w:after="0"/>
              <w:jc w:val="center"/>
              <w:rPr>
                <w:rFonts w:ascii="Times new roman" w:hAnsi="Times new roman" w:cs="Times New Roman"/>
                <w:sz w:val="20"/>
                <w:szCs w:val="20"/>
                <w:lang w:val="en-US"/>
              </w:rPr>
            </w:pPr>
            <w:r>
              <w:rPr>
                <w:rFonts w:cs="Times New Roman" w:ascii="Times new roman" w:hAnsi="Times new roman"/>
                <w:sz w:val="20"/>
                <w:szCs w:val="20"/>
                <w:lang w:val="en-US"/>
              </w:rPr>
            </w:r>
          </w:p>
        </w:tc>
        <w:tc>
          <w:tcPr>
            <w:tcW w:w="1803" w:type="dxa"/>
            <w:tcBorders/>
          </w:tcPr>
          <w:p>
            <w:pPr>
              <w:pStyle w:val="LO-normal"/>
              <w:widowControl w:val="false"/>
              <w:spacing w:lineRule="auto" w:line="240" w:before="0" w:after="0"/>
              <w:jc w:val="center"/>
              <w:rPr>
                <w:rFonts w:ascii="Times new roman" w:hAnsi="Times new roman"/>
                <w:sz w:val="20"/>
                <w:szCs w:val="20"/>
              </w:rPr>
            </w:pPr>
            <w:r>
              <w:rPr>
                <w:rFonts w:eastAsia="Arial" w:cs="Times New Roman" w:ascii="Times new roman" w:hAnsi="Times new roman"/>
                <w:kern w:val="0"/>
                <w:sz w:val="20"/>
                <w:szCs w:val="20"/>
                <w:lang w:val="en-US"/>
              </w:rPr>
              <w:t>980.0163</w:t>
            </w:r>
          </w:p>
        </w:tc>
        <w:tc>
          <w:tcPr>
            <w:tcW w:w="1804" w:type="dxa"/>
            <w:vMerge w:val="continue"/>
            <w:tcBorders/>
          </w:tcPr>
          <w:p>
            <w:pPr>
              <w:pStyle w:val="LO-normal"/>
              <w:widowControl w:val="false"/>
              <w:spacing w:lineRule="auto" w:line="240" w:before="0" w:after="0"/>
              <w:jc w:val="center"/>
              <w:rPr>
                <w:rFonts w:ascii="Times new roman" w:hAnsi="Times new roman" w:cs="Times New Roman"/>
                <w:sz w:val="20"/>
                <w:szCs w:val="20"/>
                <w:lang w:val="en-US"/>
              </w:rPr>
            </w:pPr>
            <w:r>
              <w:rPr>
                <w:rFonts w:cs="Times New Roman" w:ascii="Times new roman" w:hAnsi="Times new roman"/>
                <w:sz w:val="20"/>
                <w:szCs w:val="20"/>
                <w:lang w:val="en-US"/>
              </w:rPr>
            </w:r>
          </w:p>
        </w:tc>
      </w:tr>
    </w:tbl>
    <w:p>
      <w:pPr>
        <w:pStyle w:val="LO-normal"/>
        <w:spacing w:lineRule="auto" w:line="360"/>
        <w:rPr>
          <w:rFonts w:ascii="Times New Roman" w:hAnsi="Times New Roman" w:eastAsia="Times New Roman" w:cs="Times New Roman"/>
          <w:b/>
          <w:sz w:val="18"/>
          <w:szCs w:val="18"/>
          <w:lang w:val="en-US"/>
        </w:rPr>
      </w:pPr>
      <w:r>
        <w:rPr>
          <w:rFonts w:eastAsia="Times New Roman" w:cs="Times New Roman" w:ascii="Times New Roman" w:hAnsi="Times New Roman"/>
          <w:b/>
          <w:sz w:val="18"/>
          <w:szCs w:val="18"/>
          <w:lang w:val="en-US"/>
        </w:rPr>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Results of allergy- and sex dependent analyses</w:t>
      </w:r>
    </w:p>
    <w:p>
      <w:pPr>
        <w:pStyle w:val="LO-normal"/>
        <w:spacing w:lineRule="auto" w:line="360"/>
        <w:jc w:val="both"/>
        <w:rPr>
          <w:rFonts w:ascii="Times New Roman" w:hAnsi="Times New Roman"/>
          <w:sz w:val="18"/>
          <w:szCs w:val="18"/>
        </w:rPr>
      </w:pPr>
      <w:r>
        <w:rPr>
          <w:rFonts w:eastAsia="Times New Roman" w:cs="Times New Roman" w:ascii="Times New Roman" w:hAnsi="Times New Roman"/>
          <w:b w:val="false"/>
          <w:bCs w:val="false"/>
          <w:color w:val="auto"/>
          <w:kern w:val="0"/>
          <w:sz w:val="18"/>
          <w:szCs w:val="18"/>
          <w:lang w:val="en-US" w:eastAsia="zh-CN" w:bidi="hi-IN"/>
        </w:rPr>
        <w:t xml:space="preserve">We considered two remaining phenotypic factors, allergy and female/male sex, that may have influenced our findings. On one hand, correction for allergy - despite its overall beneficial effect on replicability – may have removed migraine-relevant genes from comparisons due to the high comorbidity and potential shared aetiology with migraine [1]. We tested this possibility by comparing results of allergy-corrected and -uncorrected analyses. On the other hand, migraine prevalence is two- to threefold in females compared to males [2]. Correction for sex in our previous tests has ensured that the identified core results are important in both sexes. Nonetheless, sex-specific analyses are recommended in migraine research [2] and we speculated that analyses comparing the sexes may deliver additional insights about the stability of the found genes and pathways and can point to sex-specific characteristics for future studies. </w:t>
      </w:r>
    </w:p>
    <w:p>
      <w:pPr>
        <w:pStyle w:val="LO-normal"/>
        <w:spacing w:lineRule="auto" w:line="360"/>
        <w:jc w:val="both"/>
        <w:rPr>
          <w:rFonts w:ascii="Times New Roman" w:hAnsi="Times New Roman"/>
          <w:sz w:val="18"/>
          <w:szCs w:val="18"/>
        </w:rPr>
      </w:pPr>
      <w:r>
        <w:rPr>
          <w:rFonts w:eastAsia="Times New Roman" w:cs="Times New Roman" w:ascii="Times New Roman" w:hAnsi="Times New Roman"/>
          <w:b w:val="false"/>
          <w:bCs w:val="false"/>
          <w:color w:val="auto"/>
          <w:kern w:val="0"/>
          <w:sz w:val="18"/>
          <w:szCs w:val="18"/>
          <w:lang w:val="en-US" w:eastAsia="zh-CN" w:bidi="hi-IN"/>
        </w:rPr>
        <w:tab/>
        <w:t xml:space="preserve">Allergy-uncorrected analysis yielded one significantly downregulated, replicated gene, </w:t>
      </w:r>
      <w:r>
        <w:rPr>
          <w:rFonts w:eastAsia="Times New Roman" w:cs="Times New Roman" w:ascii="Times New Roman" w:hAnsi="Times New Roman"/>
          <w:b w:val="false"/>
          <w:bCs w:val="false"/>
          <w:i/>
          <w:iCs/>
          <w:color w:val="auto"/>
          <w:kern w:val="0"/>
          <w:sz w:val="18"/>
          <w:szCs w:val="18"/>
          <w:lang w:val="en-US" w:eastAsia="zh-CN" w:bidi="hi-IN"/>
        </w:rPr>
        <w:t>CYP26B1</w:t>
      </w:r>
      <w:r>
        <w:rPr>
          <w:rFonts w:eastAsia="Times New Roman" w:cs="Times New Roman" w:ascii="Times New Roman" w:hAnsi="Times New Roman"/>
          <w:b w:val="false"/>
          <w:bCs w:val="false"/>
          <w:color w:val="auto"/>
          <w:kern w:val="0"/>
          <w:sz w:val="18"/>
          <w:szCs w:val="18"/>
          <w:lang w:val="en-US" w:eastAsia="zh-CN" w:bidi="hi-IN"/>
        </w:rPr>
        <w:t xml:space="preserve"> (FDR</w:t>
      </w:r>
      <w:r>
        <w:rPr>
          <w:rFonts w:eastAsia="Times New Roman" w:cs="Times New Roman" w:ascii="Times New Roman" w:hAnsi="Times New Roman"/>
          <w:b w:val="false"/>
          <w:bCs w:val="false"/>
          <w:color w:val="auto"/>
          <w:kern w:val="0"/>
          <w:sz w:val="18"/>
          <w:szCs w:val="18"/>
          <w:vertAlign w:val="subscript"/>
          <w:lang w:val="en-US" w:eastAsia="zh-CN" w:bidi="hi-IN"/>
        </w:rPr>
        <w:t>S1</w:t>
      </w:r>
      <w:r>
        <w:rPr>
          <w:rFonts w:eastAsia="Times New Roman" w:cs="Times New Roman" w:ascii="Times New Roman" w:hAnsi="Times New Roman"/>
          <w:b w:val="false"/>
          <w:bCs w:val="false"/>
          <w:color w:val="auto"/>
          <w:kern w:val="0"/>
          <w:sz w:val="18"/>
          <w:szCs w:val="18"/>
          <w:lang w:val="en-US" w:eastAsia="zh-CN" w:bidi="hi-IN"/>
        </w:rPr>
        <w:t xml:space="preserve"> =  0.038, log2FC</w:t>
      </w:r>
      <w:r>
        <w:rPr>
          <w:rFonts w:eastAsia="Times New Roman" w:cs="Times New Roman" w:ascii="Times New Roman" w:hAnsi="Times New Roman"/>
          <w:b w:val="false"/>
          <w:bCs w:val="false"/>
          <w:color w:val="auto"/>
          <w:kern w:val="0"/>
          <w:sz w:val="18"/>
          <w:szCs w:val="18"/>
          <w:vertAlign w:val="subscript"/>
          <w:lang w:val="en-US" w:eastAsia="zh-CN" w:bidi="hi-IN"/>
        </w:rPr>
        <w:t>S1</w:t>
      </w:r>
      <w:r>
        <w:rPr>
          <w:rFonts w:eastAsia="Times New Roman" w:cs="Times New Roman" w:ascii="Times New Roman" w:hAnsi="Times New Roman"/>
          <w:b w:val="false"/>
          <w:bCs w:val="false"/>
          <w:color w:val="auto"/>
          <w:kern w:val="0"/>
          <w:sz w:val="18"/>
          <w:szCs w:val="18"/>
          <w:lang w:val="en-US" w:eastAsia="zh-CN" w:bidi="hi-IN"/>
        </w:rPr>
        <w:t xml:space="preserve"> = -6.774, FDR</w:t>
      </w:r>
      <w:r>
        <w:rPr>
          <w:rFonts w:eastAsia="Times New Roman" w:cs="Times New Roman" w:ascii="Times New Roman" w:hAnsi="Times New Roman"/>
          <w:b w:val="false"/>
          <w:bCs w:val="false"/>
          <w:color w:val="auto"/>
          <w:kern w:val="0"/>
          <w:sz w:val="18"/>
          <w:szCs w:val="18"/>
          <w:vertAlign w:val="subscript"/>
          <w:lang w:val="en-US" w:eastAsia="zh-CN" w:bidi="hi-IN"/>
        </w:rPr>
        <w:t>S2</w:t>
      </w:r>
      <w:r>
        <w:rPr>
          <w:rFonts w:eastAsia="Times New Roman" w:cs="Times New Roman" w:ascii="Times New Roman" w:hAnsi="Times New Roman"/>
          <w:b w:val="false"/>
          <w:bCs w:val="false"/>
          <w:color w:val="auto"/>
          <w:kern w:val="0"/>
          <w:sz w:val="18"/>
          <w:szCs w:val="18"/>
          <w:lang w:val="en-US" w:eastAsia="zh-CN" w:bidi="hi-IN"/>
        </w:rPr>
        <w:t xml:space="preserve"> = 0.009, log2FC</w:t>
      </w:r>
      <w:r>
        <w:rPr>
          <w:rFonts w:eastAsia="Times New Roman" w:cs="Times New Roman" w:ascii="Times New Roman" w:hAnsi="Times New Roman"/>
          <w:b w:val="false"/>
          <w:bCs w:val="false"/>
          <w:color w:val="auto"/>
          <w:kern w:val="0"/>
          <w:sz w:val="18"/>
          <w:szCs w:val="18"/>
          <w:vertAlign w:val="subscript"/>
          <w:lang w:val="en-US" w:eastAsia="zh-CN" w:bidi="hi-IN"/>
        </w:rPr>
        <w:t>S2</w:t>
      </w:r>
      <w:r>
        <w:rPr>
          <w:rFonts w:eastAsia="Times New Roman" w:cs="Times New Roman" w:ascii="Times New Roman" w:hAnsi="Times New Roman"/>
          <w:b w:val="false"/>
          <w:bCs w:val="false"/>
          <w:color w:val="auto"/>
          <w:kern w:val="0"/>
          <w:sz w:val="18"/>
          <w:szCs w:val="18"/>
          <w:lang w:val="en-US" w:eastAsia="zh-CN" w:bidi="hi-IN"/>
        </w:rPr>
        <w:t xml:space="preserve"> = -6.698) and 298 significantly enriched, replicated Gene Ontology (GO) molecular function (MF) and GO biological process (BP) pathways (Online resource 7,52), with notable differences in cardiovascular- and hemostasis-related pathways and 6 positively enriched pathways related e.g. to nasal mucosa and rhinitis in comparison with allergy-corrected results. Only 6 pathways (from the 88) became non-significant or could not be replicated from the core findings: </w:t>
      </w:r>
      <w:r>
        <w:rPr>
          <w:rFonts w:eastAsia="Times New Roman" w:cs="Times New Roman" w:ascii="Times New Roman" w:hAnsi="Times New Roman"/>
          <w:b w:val="false"/>
          <w:bCs w:val="false"/>
          <w:i/>
          <w:iCs/>
          <w:color w:val="auto"/>
          <w:kern w:val="0"/>
          <w:sz w:val="18"/>
          <w:szCs w:val="18"/>
          <w:lang w:val="en-US" w:eastAsia="zh-CN" w:bidi="hi-IN"/>
        </w:rPr>
        <w:t>cellular oxidant detoxification</w:t>
      </w:r>
      <w:r>
        <w:rPr>
          <w:rFonts w:eastAsia="Times New Roman" w:cs="Times New Roman" w:ascii="Times New Roman" w:hAnsi="Times New Roman"/>
          <w:b w:val="false"/>
          <w:bCs w:val="false"/>
          <w:color w:val="auto"/>
          <w:kern w:val="0"/>
          <w:sz w:val="18"/>
          <w:szCs w:val="18"/>
          <w:lang w:val="en-US" w:eastAsia="zh-CN" w:bidi="hi-IN"/>
        </w:rPr>
        <w:t xml:space="preserve">, </w:t>
      </w:r>
      <w:r>
        <w:rPr>
          <w:rFonts w:eastAsia="Times New Roman" w:cs="Times New Roman" w:ascii="Times New Roman" w:hAnsi="Times New Roman"/>
          <w:b w:val="false"/>
          <w:bCs w:val="false"/>
          <w:i/>
          <w:iCs/>
          <w:color w:val="auto"/>
          <w:kern w:val="0"/>
          <w:sz w:val="18"/>
          <w:szCs w:val="18"/>
          <w:lang w:val="en-US" w:eastAsia="zh-CN" w:bidi="hi-IN"/>
        </w:rPr>
        <w:t>defence response to bacterium</w:t>
      </w:r>
      <w:r>
        <w:rPr>
          <w:rFonts w:eastAsia="Times New Roman" w:cs="Times New Roman" w:ascii="Times New Roman" w:hAnsi="Times New Roman"/>
          <w:b w:val="false"/>
          <w:bCs w:val="false"/>
          <w:color w:val="auto"/>
          <w:kern w:val="0"/>
          <w:sz w:val="18"/>
          <w:szCs w:val="18"/>
          <w:lang w:val="en-US" w:eastAsia="zh-CN" w:bidi="hi-IN"/>
        </w:rPr>
        <w:t xml:space="preserve">, </w:t>
      </w:r>
      <w:r>
        <w:rPr>
          <w:rFonts w:eastAsia="Times New Roman" w:cs="Times New Roman" w:ascii="Times New Roman" w:hAnsi="Times New Roman"/>
          <w:b w:val="false"/>
          <w:bCs w:val="false"/>
          <w:i/>
          <w:iCs/>
          <w:color w:val="auto"/>
          <w:kern w:val="0"/>
          <w:sz w:val="18"/>
          <w:szCs w:val="18"/>
          <w:lang w:val="en-US" w:eastAsia="zh-CN" w:bidi="hi-IN"/>
        </w:rPr>
        <w:t>antioxidant activity</w:t>
      </w:r>
      <w:r>
        <w:rPr>
          <w:rFonts w:eastAsia="Times New Roman" w:cs="Times New Roman" w:ascii="Times New Roman" w:hAnsi="Times New Roman"/>
          <w:b w:val="false"/>
          <w:bCs w:val="false"/>
          <w:color w:val="auto"/>
          <w:kern w:val="0"/>
          <w:sz w:val="18"/>
          <w:szCs w:val="18"/>
          <w:lang w:val="en-US" w:eastAsia="zh-CN" w:bidi="hi-IN"/>
        </w:rPr>
        <w:t xml:space="preserve">, </w:t>
      </w:r>
      <w:r>
        <w:rPr>
          <w:rFonts w:eastAsia="Times New Roman" w:cs="Times New Roman" w:ascii="Times New Roman" w:hAnsi="Times New Roman"/>
          <w:b w:val="false"/>
          <w:bCs w:val="false"/>
          <w:i/>
          <w:iCs/>
          <w:color w:val="auto"/>
          <w:kern w:val="0"/>
          <w:sz w:val="18"/>
          <w:szCs w:val="18"/>
          <w:lang w:val="en-US" w:eastAsia="zh-CN" w:bidi="hi-IN"/>
        </w:rPr>
        <w:t>antimicrobial humoral immune response mediated by antimicrobial peptide</w:t>
      </w:r>
      <w:r>
        <w:rPr>
          <w:rFonts w:eastAsia="Times New Roman" w:cs="Times New Roman" w:ascii="Times New Roman" w:hAnsi="Times New Roman"/>
          <w:b w:val="false"/>
          <w:bCs w:val="false"/>
          <w:color w:val="auto"/>
          <w:kern w:val="0"/>
          <w:sz w:val="18"/>
          <w:szCs w:val="18"/>
          <w:lang w:val="en-US" w:eastAsia="zh-CN" w:bidi="hi-IN"/>
        </w:rPr>
        <w:t xml:space="preserve">, </w:t>
      </w:r>
      <w:r>
        <w:rPr>
          <w:rFonts w:eastAsia="Times New Roman" w:cs="Times New Roman" w:ascii="Times New Roman" w:hAnsi="Times New Roman"/>
          <w:b w:val="false"/>
          <w:bCs w:val="false"/>
          <w:i/>
          <w:iCs/>
          <w:color w:val="auto"/>
          <w:kern w:val="0"/>
          <w:sz w:val="18"/>
          <w:szCs w:val="18"/>
          <w:lang w:val="en-US" w:eastAsia="zh-CN" w:bidi="hi-IN"/>
        </w:rPr>
        <w:t>cellular response to toxic substance</w:t>
      </w:r>
      <w:r>
        <w:rPr>
          <w:rFonts w:eastAsia="Times New Roman" w:cs="Times New Roman" w:ascii="Times New Roman" w:hAnsi="Times New Roman"/>
          <w:b w:val="false"/>
          <w:bCs w:val="false"/>
          <w:color w:val="auto"/>
          <w:kern w:val="0"/>
          <w:sz w:val="18"/>
          <w:szCs w:val="18"/>
          <w:lang w:val="en-US" w:eastAsia="zh-CN" w:bidi="hi-IN"/>
        </w:rPr>
        <w:t xml:space="preserve">, </w:t>
      </w:r>
      <w:r>
        <w:rPr>
          <w:rFonts w:eastAsia="Times New Roman" w:cs="Times New Roman" w:ascii="Times New Roman" w:hAnsi="Times New Roman"/>
          <w:b w:val="false"/>
          <w:bCs w:val="false"/>
          <w:i/>
          <w:iCs/>
          <w:color w:val="auto"/>
          <w:kern w:val="0"/>
          <w:sz w:val="18"/>
          <w:szCs w:val="18"/>
          <w:lang w:val="en-US" w:eastAsia="zh-CN" w:bidi="hi-IN"/>
        </w:rPr>
        <w:t>regulation of protein targeting</w:t>
      </w:r>
      <w:r>
        <w:rPr>
          <w:rFonts w:eastAsia="Times New Roman" w:cs="Times New Roman" w:ascii="Times New Roman" w:hAnsi="Times New Roman"/>
          <w:b w:val="false"/>
          <w:bCs w:val="false"/>
          <w:color w:val="auto"/>
          <w:kern w:val="0"/>
          <w:sz w:val="18"/>
          <w:szCs w:val="18"/>
          <w:lang w:val="en-US" w:eastAsia="zh-CN" w:bidi="hi-IN"/>
        </w:rPr>
        <w:t xml:space="preserve"> (Online resource 43).</w:t>
      </w:r>
    </w:p>
    <w:p>
      <w:pPr>
        <w:pStyle w:val="LO-normal"/>
        <w:spacing w:lineRule="auto" w:line="360"/>
        <w:jc w:val="both"/>
        <w:rPr>
          <w:b w:val="false"/>
          <w:bCs w:val="false"/>
        </w:rPr>
      </w:pPr>
      <w:r>
        <w:rPr>
          <w:rFonts w:eastAsia="Times New Roman" w:cs="Times New Roman" w:ascii="Times New Roman" w:hAnsi="Times New Roman"/>
          <w:b w:val="false"/>
          <w:bCs w:val="false"/>
          <w:color w:val="auto"/>
          <w:kern w:val="0"/>
          <w:sz w:val="18"/>
          <w:szCs w:val="18"/>
          <w:lang w:val="en-US" w:eastAsia="zh-CN" w:bidi="hi-IN"/>
        </w:rPr>
        <w:tab/>
        <w:t xml:space="preserve">All in all, gene- and pathway-level findings supported common, potentially pleiotropic mechanisms in allergy and migraine, which became non-significant due to allergy-correction. Such genes and pathways may serve as the basis for future studies examining shared pathomechanisms. At the same time 82 pathways, 53 LEGs (including all LEG5) and the significantly replicated </w:t>
      </w:r>
      <w:r>
        <w:rPr>
          <w:rFonts w:eastAsia="Times New Roman" w:cs="Times New Roman" w:ascii="Times New Roman" w:hAnsi="Times New Roman"/>
          <w:b w:val="false"/>
          <w:bCs w:val="false"/>
          <w:i/>
          <w:iCs/>
          <w:color w:val="auto"/>
          <w:kern w:val="0"/>
          <w:sz w:val="18"/>
          <w:szCs w:val="18"/>
          <w:lang w:val="en-US" w:eastAsia="zh-CN" w:bidi="hi-IN"/>
        </w:rPr>
        <w:t>CYP26B1</w:t>
      </w:r>
      <w:r>
        <w:rPr>
          <w:rFonts w:eastAsia="Times New Roman" w:cs="Times New Roman" w:ascii="Times New Roman" w:hAnsi="Times New Roman"/>
          <w:b w:val="false"/>
          <w:bCs w:val="false"/>
          <w:color w:val="auto"/>
          <w:kern w:val="0"/>
          <w:sz w:val="18"/>
          <w:szCs w:val="18"/>
          <w:lang w:val="en-US" w:eastAsia="zh-CN" w:bidi="hi-IN"/>
        </w:rPr>
        <w:t xml:space="preserve"> gene were found to be stable, allergy-independent factors in MO. </w:t>
      </w:r>
    </w:p>
    <w:p>
      <w:pPr>
        <w:pStyle w:val="LO-normal"/>
        <w:spacing w:lineRule="auto" w:line="360"/>
        <w:jc w:val="both"/>
        <w:rPr>
          <w:b w:val="false"/>
          <w:bCs w:val="false"/>
        </w:rPr>
      </w:pPr>
      <w:r>
        <w:rPr>
          <w:rFonts w:eastAsia="Times New Roman" w:cs="Times New Roman" w:ascii="Times New Roman" w:hAnsi="Times New Roman"/>
          <w:b w:val="false"/>
          <w:bCs w:val="false"/>
          <w:color w:val="auto"/>
          <w:kern w:val="0"/>
          <w:sz w:val="18"/>
          <w:szCs w:val="18"/>
          <w:lang w:val="en-US" w:eastAsia="zh-CN" w:bidi="hi-IN"/>
        </w:rPr>
        <w:tab/>
        <w:t xml:space="preserve">Among sex-focused analyses, allergy-corrected analysis of female versus male migraine patients controlling for non-migraine samples within sexes using the GO gene sets provided 33 positively, and 1 negatively enriched GOMF and GOBP sets. Thirteen among these significant, replicated pathways showed the same NES sign in sex-specific analyses and were significant or close to significance in the migraine versus control comparison too. The remaining 22 showed opposite directions of enrichment and lack of replicable (nominal) significance in females (Online resources 14,43,52,54). Accordingly, overlap between the FDR-significant pathway sets showed that migraine and control comparisons contained 85.00% of the 20 pathways from the female migraine versus female control, and 46.77% of the 62 pathways from the male migraine versus male control comparisons (Online resources 43,52), suggesting that significance in female migraine versus female controls acted as filter for the general comparison of migraine versus controls. Analysis of the LEGs of the female migraine versus male migraine comparison showed that </w:t>
      </w:r>
      <w:r>
        <w:rPr>
          <w:rFonts w:eastAsia="Times New Roman" w:cs="Times New Roman" w:ascii="Times New Roman" w:hAnsi="Times New Roman"/>
          <w:b w:val="false"/>
          <w:bCs w:val="false"/>
          <w:i/>
          <w:iCs/>
          <w:color w:val="auto"/>
          <w:kern w:val="0"/>
          <w:sz w:val="18"/>
          <w:szCs w:val="18"/>
          <w:lang w:val="en-US" w:eastAsia="zh-CN" w:bidi="hi-IN"/>
        </w:rPr>
        <w:t>PRTN3</w:t>
      </w:r>
      <w:r>
        <w:rPr>
          <w:rFonts w:eastAsia="Times New Roman" w:cs="Times New Roman" w:ascii="Times New Roman" w:hAnsi="Times New Roman"/>
          <w:b w:val="false"/>
          <w:bCs w:val="false"/>
          <w:color w:val="auto"/>
          <w:kern w:val="0"/>
          <w:sz w:val="18"/>
          <w:szCs w:val="18"/>
          <w:lang w:val="en-US" w:eastAsia="zh-CN" w:bidi="hi-IN"/>
        </w:rPr>
        <w:t xml:space="preserve">, </w:t>
      </w:r>
      <w:r>
        <w:rPr>
          <w:rFonts w:eastAsia="Times New Roman" w:cs="Times New Roman" w:ascii="Times New Roman" w:hAnsi="Times New Roman"/>
          <w:b w:val="false"/>
          <w:bCs w:val="false"/>
          <w:i/>
          <w:iCs/>
          <w:color w:val="auto"/>
          <w:kern w:val="0"/>
          <w:sz w:val="18"/>
          <w:szCs w:val="18"/>
          <w:lang w:val="en-US" w:eastAsia="zh-CN" w:bidi="hi-IN"/>
        </w:rPr>
        <w:t>CCL23</w:t>
      </w:r>
      <w:r>
        <w:rPr>
          <w:rFonts w:eastAsia="Times New Roman" w:cs="Times New Roman" w:ascii="Times New Roman" w:hAnsi="Times New Roman"/>
          <w:b w:val="false"/>
          <w:bCs w:val="false"/>
          <w:color w:val="auto"/>
          <w:kern w:val="0"/>
          <w:sz w:val="18"/>
          <w:szCs w:val="18"/>
          <w:lang w:val="en-US" w:eastAsia="zh-CN" w:bidi="hi-IN"/>
        </w:rPr>
        <w:t xml:space="preserve"> and </w:t>
      </w:r>
      <w:r>
        <w:rPr>
          <w:rFonts w:eastAsia="Times New Roman" w:cs="Times New Roman" w:ascii="Times New Roman" w:hAnsi="Times New Roman"/>
          <w:b w:val="false"/>
          <w:bCs w:val="false"/>
          <w:i/>
          <w:iCs/>
          <w:color w:val="auto"/>
          <w:kern w:val="0"/>
          <w:sz w:val="18"/>
          <w:szCs w:val="18"/>
          <w:lang w:val="en-US" w:eastAsia="zh-CN" w:bidi="hi-IN"/>
        </w:rPr>
        <w:t>CTSG</w:t>
      </w:r>
      <w:r>
        <w:rPr>
          <w:rFonts w:eastAsia="Times New Roman" w:cs="Times New Roman" w:ascii="Times New Roman" w:hAnsi="Times New Roman"/>
          <w:b w:val="false"/>
          <w:bCs w:val="false"/>
          <w:color w:val="auto"/>
          <w:kern w:val="0"/>
          <w:sz w:val="18"/>
          <w:szCs w:val="18"/>
          <w:lang w:val="en-US" w:eastAsia="zh-CN" w:bidi="hi-IN"/>
        </w:rPr>
        <w:t xml:space="preserve"> are LEGs behind the significantly different GOMF/GOBP pathways between female migraine versus male migraine with mean absolute log2FC larger than 2 between the sexes. </w:t>
      </w:r>
      <w:r>
        <w:rPr>
          <w:rFonts w:eastAsia="Times New Roman" w:cs="Times New Roman" w:ascii="Times New Roman" w:hAnsi="Times New Roman"/>
          <w:b w:val="false"/>
          <w:bCs w:val="false"/>
          <w:i/>
          <w:iCs/>
          <w:color w:val="auto"/>
          <w:kern w:val="0"/>
          <w:sz w:val="18"/>
          <w:szCs w:val="18"/>
          <w:lang w:val="en-US" w:eastAsia="zh-CN" w:bidi="hi-IN"/>
        </w:rPr>
        <w:t>CYP26B1</w:t>
      </w:r>
      <w:r>
        <w:rPr>
          <w:rFonts w:eastAsia="Times New Roman" w:cs="Times New Roman" w:ascii="Times New Roman" w:hAnsi="Times New Roman"/>
          <w:b w:val="false"/>
          <w:bCs w:val="false"/>
          <w:color w:val="auto"/>
          <w:kern w:val="0"/>
          <w:sz w:val="18"/>
          <w:szCs w:val="18"/>
          <w:lang w:val="en-US" w:eastAsia="zh-CN" w:bidi="hi-IN"/>
        </w:rPr>
        <w:t xml:space="preserve"> and </w:t>
      </w:r>
      <w:r>
        <w:rPr>
          <w:rFonts w:eastAsia="Times New Roman" w:cs="Times New Roman" w:ascii="Times New Roman" w:hAnsi="Times New Roman"/>
          <w:b w:val="false"/>
          <w:bCs w:val="false"/>
          <w:i/>
          <w:iCs/>
          <w:color w:val="auto"/>
          <w:kern w:val="0"/>
          <w:sz w:val="18"/>
          <w:szCs w:val="18"/>
          <w:lang w:val="en-US" w:eastAsia="zh-CN" w:bidi="hi-IN"/>
        </w:rPr>
        <w:t>CORIN</w:t>
      </w:r>
      <w:r>
        <w:rPr>
          <w:rFonts w:eastAsia="Times New Roman" w:cs="Times New Roman" w:ascii="Times New Roman" w:hAnsi="Times New Roman"/>
          <w:b w:val="false"/>
          <w:bCs w:val="false"/>
          <w:color w:val="auto"/>
          <w:kern w:val="0"/>
          <w:sz w:val="18"/>
          <w:szCs w:val="18"/>
          <w:lang w:val="en-US" w:eastAsia="zh-CN" w:bidi="hi-IN"/>
        </w:rPr>
        <w:t xml:space="preserve"> were notably missing, confirming their lack of contribution to pathway-level sex-differences. Analysis of the LEG5 comparing migraine with controls in the sexes separately, indicated substantial sex-dependence in the magnitude of changes (but not in the direction) of </w:t>
      </w:r>
      <w:r>
        <w:rPr>
          <w:rFonts w:eastAsia="Times New Roman" w:cs="Times New Roman" w:ascii="Times New Roman" w:hAnsi="Times New Roman"/>
          <w:b w:val="false"/>
          <w:bCs w:val="false"/>
          <w:i/>
          <w:iCs/>
          <w:color w:val="auto"/>
          <w:kern w:val="0"/>
          <w:sz w:val="18"/>
          <w:szCs w:val="18"/>
          <w:lang w:val="en-US" w:eastAsia="zh-CN" w:bidi="hi-IN"/>
        </w:rPr>
        <w:t>PRTN3</w:t>
      </w:r>
      <w:r>
        <w:rPr>
          <w:rFonts w:eastAsia="Times New Roman" w:cs="Times New Roman" w:ascii="Times New Roman" w:hAnsi="Times New Roman"/>
          <w:b w:val="false"/>
          <w:bCs w:val="false"/>
          <w:color w:val="auto"/>
          <w:kern w:val="0"/>
          <w:sz w:val="18"/>
          <w:szCs w:val="18"/>
          <w:lang w:val="en-US" w:eastAsia="zh-CN" w:bidi="hi-IN"/>
        </w:rPr>
        <w:t xml:space="preserve">, </w:t>
      </w:r>
      <w:r>
        <w:rPr>
          <w:rFonts w:eastAsia="Times New Roman" w:cs="Times New Roman" w:ascii="Times New Roman" w:hAnsi="Times New Roman"/>
          <w:b w:val="false"/>
          <w:bCs w:val="false"/>
          <w:i/>
          <w:iCs/>
          <w:color w:val="auto"/>
          <w:kern w:val="0"/>
          <w:sz w:val="18"/>
          <w:szCs w:val="18"/>
          <w:lang w:val="en-US" w:eastAsia="zh-CN" w:bidi="hi-IN"/>
        </w:rPr>
        <w:t>CCL23</w:t>
      </w:r>
      <w:r>
        <w:rPr>
          <w:rFonts w:eastAsia="Times New Roman" w:cs="Times New Roman" w:ascii="Times New Roman" w:hAnsi="Times New Roman"/>
          <w:b w:val="false"/>
          <w:bCs w:val="false"/>
          <w:color w:val="auto"/>
          <w:kern w:val="0"/>
          <w:sz w:val="18"/>
          <w:szCs w:val="18"/>
          <w:lang w:val="en-US" w:eastAsia="zh-CN" w:bidi="hi-IN"/>
        </w:rPr>
        <w:t xml:space="preserve"> and </w:t>
      </w:r>
      <w:r>
        <w:rPr>
          <w:rFonts w:eastAsia="Times New Roman" w:cs="Times New Roman" w:ascii="Times New Roman" w:hAnsi="Times New Roman"/>
          <w:b w:val="false"/>
          <w:bCs w:val="false"/>
          <w:i/>
          <w:iCs/>
          <w:color w:val="auto"/>
          <w:kern w:val="0"/>
          <w:sz w:val="18"/>
          <w:szCs w:val="18"/>
          <w:lang w:val="en-US" w:eastAsia="zh-CN" w:bidi="hi-IN"/>
        </w:rPr>
        <w:t>CTSG</w:t>
      </w:r>
      <w:r>
        <w:rPr>
          <w:rFonts w:eastAsia="Times New Roman" w:cs="Times New Roman" w:ascii="Times New Roman" w:hAnsi="Times New Roman"/>
          <w:b w:val="false"/>
          <w:bCs w:val="false"/>
          <w:color w:val="auto"/>
          <w:kern w:val="0"/>
          <w:sz w:val="18"/>
          <w:szCs w:val="18"/>
          <w:lang w:val="en-US" w:eastAsia="zh-CN" w:bidi="hi-IN"/>
        </w:rPr>
        <w:t xml:space="preserve">, with </w:t>
      </w:r>
      <w:r>
        <w:rPr>
          <w:rFonts w:eastAsia="Times New Roman" w:cs="Times New Roman" w:ascii="Times New Roman" w:hAnsi="Times New Roman"/>
          <w:b w:val="false"/>
          <w:bCs w:val="false"/>
          <w:i/>
          <w:iCs/>
          <w:color w:val="auto"/>
          <w:kern w:val="0"/>
          <w:sz w:val="18"/>
          <w:szCs w:val="18"/>
          <w:lang w:val="en-US" w:eastAsia="zh-CN" w:bidi="hi-IN"/>
        </w:rPr>
        <w:t>PRTN3</w:t>
      </w:r>
      <w:r>
        <w:rPr>
          <w:rFonts w:eastAsia="Times New Roman" w:cs="Times New Roman" w:ascii="Times New Roman" w:hAnsi="Times New Roman"/>
          <w:b w:val="false"/>
          <w:bCs w:val="false"/>
          <w:color w:val="auto"/>
          <w:kern w:val="0"/>
          <w:sz w:val="18"/>
          <w:szCs w:val="18"/>
          <w:lang w:val="en-US" w:eastAsia="zh-CN" w:bidi="hi-IN"/>
        </w:rPr>
        <w:t xml:space="preserve"> and </w:t>
      </w:r>
      <w:r>
        <w:rPr>
          <w:rFonts w:eastAsia="Times New Roman" w:cs="Times New Roman" w:ascii="Times New Roman" w:hAnsi="Times New Roman"/>
          <w:b w:val="false"/>
          <w:bCs w:val="false"/>
          <w:i/>
          <w:iCs/>
          <w:color w:val="auto"/>
          <w:kern w:val="0"/>
          <w:sz w:val="18"/>
          <w:szCs w:val="18"/>
          <w:lang w:val="en-US" w:eastAsia="zh-CN" w:bidi="hi-IN"/>
        </w:rPr>
        <w:t>CTSG</w:t>
      </w:r>
      <w:r>
        <w:rPr>
          <w:rFonts w:eastAsia="Times New Roman" w:cs="Times New Roman" w:ascii="Times New Roman" w:hAnsi="Times New Roman"/>
          <w:b w:val="false"/>
          <w:bCs w:val="false"/>
          <w:color w:val="auto"/>
          <w:kern w:val="0"/>
          <w:sz w:val="18"/>
          <w:szCs w:val="18"/>
          <w:lang w:val="en-US" w:eastAsia="zh-CN" w:bidi="hi-IN"/>
        </w:rPr>
        <w:t xml:space="preserve"> being less differentially expressed in men and </w:t>
      </w:r>
      <w:r>
        <w:rPr>
          <w:rFonts w:eastAsia="Times New Roman" w:cs="Times New Roman" w:ascii="Times New Roman" w:hAnsi="Times New Roman"/>
          <w:b w:val="false"/>
          <w:bCs w:val="false"/>
          <w:i/>
          <w:iCs/>
          <w:color w:val="auto"/>
          <w:kern w:val="0"/>
          <w:sz w:val="18"/>
          <w:szCs w:val="18"/>
          <w:lang w:val="en-US" w:eastAsia="zh-CN" w:bidi="hi-IN"/>
        </w:rPr>
        <w:t>CCL23</w:t>
      </w:r>
      <w:r>
        <w:rPr>
          <w:rFonts w:eastAsia="Times New Roman" w:cs="Times New Roman" w:ascii="Times New Roman" w:hAnsi="Times New Roman"/>
          <w:b w:val="false"/>
          <w:bCs w:val="false"/>
          <w:color w:val="auto"/>
          <w:kern w:val="0"/>
          <w:sz w:val="18"/>
          <w:szCs w:val="18"/>
          <w:lang w:val="en-US" w:eastAsia="zh-CN" w:bidi="hi-IN"/>
        </w:rPr>
        <w:t xml:space="preserve"> in women (Online resource 72). Other genes of LEG69 also showed sex-dependent variations (Online resource 38,72). </w:t>
      </w:r>
      <w:r>
        <w:rPr>
          <w:rFonts w:eastAsia="Times New Roman" w:cs="Times New Roman" w:ascii="Times New Roman" w:hAnsi="Times New Roman"/>
          <w:b w:val="false"/>
          <w:bCs w:val="false"/>
          <w:i/>
          <w:iCs/>
          <w:color w:val="auto"/>
          <w:kern w:val="0"/>
          <w:sz w:val="18"/>
          <w:szCs w:val="18"/>
          <w:lang w:val="en-US" w:eastAsia="zh-CN" w:bidi="hi-IN"/>
        </w:rPr>
        <w:t>CYP26B1</w:t>
      </w:r>
      <w:r>
        <w:rPr>
          <w:rFonts w:eastAsia="Times New Roman" w:cs="Times New Roman" w:ascii="Times New Roman" w:hAnsi="Times New Roman"/>
          <w:b w:val="false"/>
          <w:bCs w:val="false"/>
          <w:color w:val="auto"/>
          <w:kern w:val="0"/>
          <w:sz w:val="18"/>
          <w:szCs w:val="18"/>
          <w:lang w:val="en-US" w:eastAsia="zh-CN" w:bidi="hi-IN"/>
        </w:rPr>
        <w:t xml:space="preserve"> and </w:t>
      </w:r>
      <w:r>
        <w:rPr>
          <w:rFonts w:eastAsia="Times New Roman" w:cs="Times New Roman" w:ascii="Times New Roman" w:hAnsi="Times New Roman"/>
          <w:b w:val="false"/>
          <w:bCs w:val="false"/>
          <w:i/>
          <w:iCs/>
          <w:color w:val="auto"/>
          <w:kern w:val="0"/>
          <w:sz w:val="18"/>
          <w:szCs w:val="18"/>
          <w:lang w:val="en-US" w:eastAsia="zh-CN" w:bidi="hi-IN"/>
        </w:rPr>
        <w:t>CORIN</w:t>
      </w:r>
      <w:r>
        <w:rPr>
          <w:rFonts w:eastAsia="Times New Roman" w:cs="Times New Roman" w:ascii="Times New Roman" w:hAnsi="Times New Roman"/>
          <w:b w:val="false"/>
          <w:bCs w:val="false"/>
          <w:color w:val="auto"/>
          <w:kern w:val="0"/>
          <w:sz w:val="18"/>
          <w:szCs w:val="18"/>
          <w:lang w:val="en-US" w:eastAsia="zh-CN" w:bidi="hi-IN"/>
        </w:rPr>
        <w:t xml:space="preserve"> were the only genes with large downregulations of nominal significance (p&lt;0.05) in both sexes at all time points, indicating that many among the gene-level expression changes have relevance for pathways both for migraine in general and for sex-specific migraine-related variation.   </w:t>
      </w:r>
    </w:p>
    <w:p>
      <w:pPr>
        <w:pStyle w:val="LO-normal"/>
        <w:spacing w:lineRule="auto" w:line="360"/>
        <w:jc w:val="both"/>
        <w:rPr>
          <w:b w:val="false"/>
          <w:bCs w:val="false"/>
        </w:rPr>
      </w:pPr>
      <w:r>
        <w:rPr>
          <w:rFonts w:eastAsia="Times New Roman" w:cs="Times New Roman" w:ascii="Times New Roman" w:hAnsi="Times New Roman"/>
          <w:b w:val="false"/>
          <w:bCs w:val="false"/>
          <w:color w:val="auto"/>
          <w:kern w:val="0"/>
          <w:sz w:val="18"/>
          <w:szCs w:val="18"/>
          <w:lang w:val="en-US" w:eastAsia="zh-CN" w:bidi="hi-IN"/>
        </w:rPr>
        <w:tab/>
        <w:t xml:space="preserve">All in all sex-specific analyses confirmed that 1) migraine versus control comparison contains pathways relevant in both sexes, 2) there are (female- and) male-specific pathways worth to explore in future investigations, 3) pathway- and gene-level changes in the sexes often show same direction, but different magnitudes and 4) CYP26B1 and CORIN are sex-independent genes behind MO-relevant pathways (for a list of likely sex- and history of allergy independent pathways and LEGs see Online resource 38). </w:t>
      </w:r>
      <w:r>
        <w:br w:type="page"/>
      </w:r>
    </w:p>
    <w:p>
      <w:pPr>
        <w:pStyle w:val="LO-normal"/>
        <w:spacing w:lineRule="auto" w:line="360" w:before="0" w:after="0"/>
        <w:rPr>
          <w:rFonts w:ascii="Times New Roman" w:hAnsi="Times New Roman"/>
        </w:rPr>
      </w:pPr>
      <w:r>
        <w:rPr>
          <w:rFonts w:eastAsia="Times New Roman" w:cs="Times New Roman" w:ascii="Times New Roman" w:hAnsi="Times New Roman"/>
          <w:b/>
          <w:sz w:val="18"/>
          <w:szCs w:val="18"/>
          <w:lang w:val="en-US"/>
        </w:rPr>
        <w:t xml:space="preserve">Supplementary methods </w:t>
      </w:r>
    </w:p>
    <w:p>
      <w:pPr>
        <w:pStyle w:val="LO-normal"/>
        <w:spacing w:lineRule="auto" w:line="360" w:before="0" w:after="0"/>
        <w:rPr>
          <w:rFonts w:ascii="Times New Roman" w:hAnsi="Times New Roman"/>
          <w:sz w:val="18"/>
          <w:szCs w:val="18"/>
        </w:rPr>
      </w:pPr>
      <w:r>
        <w:rPr>
          <w:rFonts w:ascii="Times New Roman" w:hAnsi="Times New Roman"/>
          <w:sz w:val="18"/>
          <w:szCs w:val="18"/>
        </w:rPr>
      </w:r>
    </w:p>
    <w:p>
      <w:pPr>
        <w:pStyle w:val="LO-normal"/>
        <w:spacing w:lineRule="auto" w:line="360" w:before="0" w:after="0"/>
        <w:rPr>
          <w:rFonts w:ascii="Times New Roman" w:hAnsi="Times New Roman"/>
          <w:sz w:val="18"/>
          <w:szCs w:val="18"/>
        </w:rPr>
      </w:pPr>
      <w:r>
        <w:rPr>
          <w:rFonts w:eastAsia="Times New Roman" w:cs="Times New Roman" w:ascii="Times New Roman" w:hAnsi="Times New Roman"/>
          <w:b/>
          <w:sz w:val="18"/>
          <w:szCs w:val="18"/>
          <w:lang w:val="en-US"/>
        </w:rPr>
        <w:t>Power Calculations</w:t>
      </w:r>
    </w:p>
    <w:p>
      <w:pPr>
        <w:pStyle w:val="BodyText"/>
        <w:spacing w:lineRule="auto" w:line="360" w:before="0" w:after="0"/>
        <w:rPr>
          <w:rFonts w:ascii="Times New Roman" w:hAnsi="Times New Roman"/>
          <w:sz w:val="18"/>
          <w:szCs w:val="18"/>
          <w:lang w:val="de-DE"/>
        </w:rPr>
      </w:pPr>
      <w:r>
        <w:rPr>
          <w:rFonts w:eastAsia="Times New Roman" w:cs="Times New Roman" w:ascii="Times New Roman" w:hAnsi="Times New Roman"/>
          <w:b w:val="false"/>
          <w:bCs w:val="false"/>
          <w:color w:val="auto"/>
          <w:kern w:val="0"/>
          <w:sz w:val="18"/>
          <w:szCs w:val="18"/>
          <w:lang w:val="en-US" w:eastAsia="zh-CN" w:bidi="hi-IN"/>
        </w:rPr>
        <w:t>In order to assess the power of the experiment to discover differentially expressed genes, we calculated power under the following assumptions: 1) sample size was fixed (n</w:t>
      </w:r>
      <w:r>
        <w:rPr>
          <w:rFonts w:eastAsia="Times New Roman" w:cs="Times New Roman" w:ascii="Times New Roman" w:hAnsi="Times New Roman"/>
          <w:b w:val="false"/>
          <w:bCs w:val="false"/>
          <w:color w:val="auto"/>
          <w:kern w:val="0"/>
          <w:position w:val="-1"/>
          <w:sz w:val="18"/>
          <w:szCs w:val="18"/>
          <w:lang w:val="en-US" w:eastAsia="zh-CN" w:bidi="hi-IN"/>
        </w:rPr>
        <w:t>migraine</w:t>
      </w:r>
      <w:r>
        <w:rPr>
          <w:rFonts w:eastAsia="Times New Roman" w:cs="Times New Roman" w:ascii="Times New Roman" w:hAnsi="Times New Roman"/>
          <w:b w:val="false"/>
          <w:bCs w:val="false"/>
          <w:color w:val="auto"/>
          <w:kern w:val="0"/>
          <w:sz w:val="18"/>
          <w:szCs w:val="18"/>
          <w:lang w:val="en-US" w:eastAsia="zh-CN" w:bidi="hi-IN"/>
        </w:rPr>
        <w:t xml:space="preserve"> = 22, n</w:t>
      </w:r>
      <w:r>
        <w:rPr>
          <w:rFonts w:eastAsia="Times New Roman" w:cs="Times New Roman" w:ascii="Times New Roman" w:hAnsi="Times New Roman"/>
          <w:b w:val="false"/>
          <w:bCs w:val="false"/>
          <w:color w:val="auto"/>
          <w:kern w:val="0"/>
          <w:position w:val="-1"/>
          <w:sz w:val="18"/>
          <w:szCs w:val="18"/>
          <w:lang w:val="en-US" w:eastAsia="zh-CN" w:bidi="hi-IN"/>
        </w:rPr>
        <w:t>control</w:t>
      </w:r>
      <w:r>
        <w:rPr>
          <w:rFonts w:eastAsia="Times New Roman" w:cs="Times New Roman" w:ascii="Times New Roman" w:hAnsi="Times New Roman"/>
          <w:b w:val="false"/>
          <w:bCs w:val="false"/>
          <w:color w:val="auto"/>
          <w:kern w:val="0"/>
          <w:sz w:val="18"/>
          <w:szCs w:val="18"/>
          <w:lang w:val="en-US" w:eastAsia="zh-CN" w:bidi="hi-IN"/>
        </w:rPr>
        <w:t xml:space="preserve"> = 30), 2) gene counts follow a negative binomial distribution, 3) alpha threshold, below which we consider significant differences was set to 0.05, 4) variables were, a) Log2FC, representing the log2 fold change difference between control and diseased groups varied with 0.5, 1, 2, 3, 4, 5, 6 values, b) dispersion parameter sigma varied between 0.4 and 0.8 with a step size of 0.08, in accordance with empirically determined trend-level dispersion estimates (see Figure 1) and c) mean expression count empirically determined from our dataset (with a median of the averages being 77.76 counts across all samples at both time points) varied from 5, 25 with step size 1, from 25 to 50 with step size 5, and from 50 to 110 with step size 10, and 5) we use a negative binomial regression like that in edgeR to (re)discover differentially expressed genes, assuming that dispersion estimates are accurately modeled (in our case identical </w:t>
      </w:r>
      <w:r>
        <w:rPr>
          <w:rFonts w:eastAsia="Times New Roman" w:cs="Times New Roman" w:ascii="Times New Roman" w:hAnsi="Times New Roman"/>
          <w:b w:val="false"/>
          <w:bCs w:val="false"/>
          <w:color w:val="000000"/>
          <w:kern w:val="0"/>
          <w:sz w:val="18"/>
          <w:szCs w:val="18"/>
          <w:lang w:val="en-US" w:eastAsia="zh-CN" w:bidi="hi-IN"/>
        </w:rPr>
        <w:t>with the one for the sampling). In short, we have built a model to test, if the distributional (statistical) properties of the data are valid, could we have enough power to detect significant differences.</w:t>
      </w:r>
    </w:p>
    <w:p>
      <w:pPr>
        <w:pStyle w:val="BodyText"/>
        <w:spacing w:lineRule="auto" w:line="360" w:before="0" w:after="0"/>
        <w:ind w:hanging="0" w:left="0" w:right="0"/>
        <w:rPr>
          <w:rFonts w:ascii="Times New Roman" w:hAnsi="Times New Roman"/>
          <w:sz w:val="18"/>
          <w:szCs w:val="18"/>
          <w:lang w:val="de-DE"/>
        </w:rPr>
      </w:pPr>
      <w:r>
        <w:rPr>
          <w:rFonts w:ascii="Times New Roman" w:hAnsi="Times New Roman"/>
          <w:b w:val="false"/>
          <w:sz w:val="18"/>
          <w:szCs w:val="18"/>
          <w:lang w:val="en-US"/>
        </w:rPr>
        <w:t>In accordance with the above assumptions, we sampled a random variable from</w:t>
      </w:r>
      <w:r>
        <w:rPr>
          <w:rFonts w:ascii="Times New Roman" w:hAnsi="Times New Roman"/>
          <w:sz w:val="18"/>
          <w:szCs w:val="18"/>
          <w:lang w:val="de-DE"/>
        </w:rPr>
        <w:t xml:space="preserve"> </w:t>
      </w:r>
      <w:r>
        <w:rPr>
          <w:rFonts w:ascii="Times New Roman" w:hAnsi="Times New Roman"/>
          <w:b w:val="false"/>
          <w:sz w:val="18"/>
          <w:szCs w:val="18"/>
          <w:lang w:val="en-US"/>
        </w:rPr>
        <w:t>the negative binomial distribution using the following Poisson-Gamma mixed parametrization, where</w:t>
      </w:r>
    </w:p>
    <w:p>
      <w:pPr>
        <w:pStyle w:val="LO-normal"/>
        <w:spacing w:lineRule="auto" w:line="360" w:before="0" w:after="0"/>
        <w:rPr>
          <w:rFonts w:ascii="Times New Roman" w:hAnsi="Times New Roman"/>
        </w:rPr>
      </w:pPr>
      <w:r>
        <w:rPr>
          <w:rFonts w:ascii="Times New Roman" w:hAnsi="Times New Roman"/>
        </w:rPr>
      </w:r>
    </w:p>
    <w:p>
      <w:pPr>
        <w:pStyle w:val="LO-normal"/>
        <w:spacing w:lineRule="auto" w:line="360" w:before="0" w:after="0"/>
        <w:rPr>
          <w:rFonts w:ascii="Times New Roman" w:hAnsi="Times New Roman"/>
        </w:rPr>
      </w:pPr>
      <w:r>
        <w:rPr>
          <w:rFonts w:eastAsia="Times New Roman" w:cs="Times New Roman" w:ascii="Times New Roman" w:hAnsi="Times New Roman"/>
          <w:b w:val="false"/>
          <w:bCs w:val="false"/>
          <w:sz w:val="20"/>
          <w:szCs w:val="20"/>
          <w:lang w:val="en-US"/>
        </w:rPr>
        <w:tab/>
        <w:tab/>
        <w:tab/>
      </w:r>
      <w:r>
        <w:rPr/>
      </w:r>
      <m:oMath xmlns:m="http://schemas.openxmlformats.org/officeDocument/2006/math">
        <m:r>
          <w:rPr>
            <w:rFonts w:ascii="Cambria Math" w:hAnsi="Cambria Math"/>
          </w:rPr>
          <m:t xml:space="preserve">x</m:t>
        </m:r>
        <m:r>
          <m:rPr>
            <m:lit/>
            <m:nor/>
          </m:rPr>
          <w:rPr>
            <w:rFonts w:ascii="Cambria Math" w:hAnsi="Cambria Math"/>
          </w:rPr>
          <m:t xml:space="preserve">~</m:t>
        </m:r>
        <m:r>
          <w:rPr>
            <w:rFonts w:ascii="Cambria Math" w:hAnsi="Cambria Math"/>
          </w:rPr>
          <m:t xml:space="preserve">Poisson</m:t>
        </m:r>
        <m:d>
          <m:dPr>
            <m:begChr m:val="("/>
            <m:endChr m:val=")"/>
          </m:dPr>
          <m:e>
            <m:r>
              <w:rPr>
                <w:rFonts w:ascii="Cambria Math" w:hAnsi="Cambria Math"/>
              </w:rPr>
              <m:t xml:space="preserve">θ</m:t>
            </m:r>
          </m:e>
        </m:d>
        <m:r>
          <m:rPr>
            <m:lit/>
            <m:nor/>
          </m:rPr>
          <w:rPr>
            <w:rFonts w:ascii="Cambria Math" w:hAnsi="Cambria Math"/>
          </w:rPr>
          <m:t xml:space="preserve">, with </m:t>
        </m:r>
        <m:r>
          <w:rPr>
            <w:rFonts w:ascii="Cambria Math" w:hAnsi="Cambria Math"/>
          </w:rPr>
          <m:t xml:space="preserve">θ</m:t>
        </m:r>
        <m:r>
          <m:rPr>
            <m:lit/>
            <m:nor/>
          </m:rPr>
          <w:rPr>
            <w:rFonts w:ascii="Cambria Math" w:hAnsi="Cambria Math"/>
          </w:rPr>
          <m:t xml:space="preserve"> ~ </m:t>
        </m:r>
        <m:r>
          <w:rPr>
            <w:rFonts w:ascii="Cambria Math" w:hAnsi="Cambria Math"/>
          </w:rPr>
          <m:t xml:space="preserve">Γ</m:t>
        </m:r>
        <m:d>
          <m:dPr>
            <m:begChr m:val="("/>
            <m:endChr m:val=")"/>
          </m:dPr>
          <m:e>
            <m:f>
              <m:fPr>
                <m:type m:val="lin"/>
              </m:fPr>
              <m:num>
                <m:r>
                  <w:rPr>
                    <w:rFonts w:ascii="Cambria Math" w:hAnsi="Cambria Math"/>
                  </w:rPr>
                  <m:t xml:space="preserve">1</m:t>
                </m:r>
              </m:num>
              <m:den>
                <m:r>
                  <w:rPr>
                    <w:rFonts w:ascii="Cambria Math" w:hAnsi="Cambria Math"/>
                  </w:rPr>
                  <m:t xml:space="preserve">σ</m:t>
                </m:r>
              </m:den>
            </m:f>
            <m:r>
              <w:rPr>
                <w:rFonts w:ascii="Cambria Math" w:hAnsi="Cambria Math"/>
              </w:rPr>
              <m:t xml:space="preserve">,</m:t>
            </m:r>
            <m:r>
              <w:rPr>
                <w:rFonts w:ascii="Cambria Math" w:hAnsi="Cambria Math"/>
              </w:rPr>
              <m:t xml:space="preserve">μ</m:t>
            </m:r>
            <m:r>
              <w:rPr>
                <w:rFonts w:ascii="Cambria Math" w:hAnsi="Cambria Math"/>
              </w:rPr>
              <m:t xml:space="preserve">∗</m:t>
            </m:r>
            <m:r>
              <w:rPr>
                <w:rFonts w:ascii="Cambria Math" w:hAnsi="Cambria Math"/>
              </w:rPr>
              <m:t xml:space="preserve">σ</m:t>
            </m:r>
          </m:e>
        </m:d>
      </m:oMath>
    </w:p>
    <w:p>
      <w:pPr>
        <w:pStyle w:val="LO-normal"/>
        <w:spacing w:lineRule="auto" w:line="360"/>
        <w:rPr>
          <w:rFonts w:ascii="Times New Roman" w:hAnsi="Times New Roman"/>
        </w:rPr>
      </w:pPr>
      <w:r>
        <w:rPr>
          <w:rFonts w:eastAsia="Times New Roman" w:cs="Times New Roman" w:ascii="Times New Roman" w:hAnsi="Times New Roman"/>
          <w:b w:val="false"/>
          <w:bCs w:val="false"/>
          <w:sz w:val="18"/>
          <w:szCs w:val="18"/>
          <w:lang w:val="en-US"/>
        </w:rPr>
        <w:t>This mixed parametrization results in a random variable with:</w:t>
      </w:r>
    </w:p>
    <w:p>
      <w:pPr>
        <w:pStyle w:val="LO-normal"/>
        <w:spacing w:lineRule="auto" w:line="360"/>
        <w:jc w:val="center"/>
        <w:rPr>
          <w:rFonts w:ascii="Times New Roman" w:hAnsi="Times New Roman"/>
        </w:rPr>
      </w:pPr>
      <w:r>
        <w:rPr/>
      </w:r>
      <m:oMathPara xmlns:m="http://schemas.openxmlformats.org/officeDocument/2006/math">
        <m:oMathParaPr>
          <m:jc m:val="center"/>
        </m:oMathParaPr>
        <m:oMath>
          <m:r>
            <w:rPr>
              <w:rFonts w:ascii="Cambria Math" w:hAnsi="Cambria Math"/>
            </w:rPr>
            <m:t xml:space="preserve">mean</m:t>
          </m:r>
          <m:d>
            <m:dPr>
              <m:begChr m:val="("/>
              <m:endChr m:val=")"/>
            </m:dPr>
            <m:e>
              <m:r>
                <w:rPr>
                  <w:rFonts w:ascii="Cambria Math" w:hAnsi="Cambria Math"/>
                </w:rPr>
                <m:t xml:space="preserve">x</m:t>
              </m:r>
            </m:e>
          </m:d>
          <m:r>
            <w:rPr>
              <w:rFonts w:ascii="Cambria Math" w:hAnsi="Cambria Math"/>
            </w:rPr>
            <m:t xml:space="preserve">=</m:t>
          </m:r>
          <m:r>
            <w:rPr>
              <w:rFonts w:ascii="Cambria Math" w:hAnsi="Cambria Math"/>
            </w:rPr>
            <m:t xml:space="preserve">μ</m:t>
          </m:r>
        </m:oMath>
      </m:oMathPara>
    </w:p>
    <w:p>
      <w:pPr>
        <w:pStyle w:val="LO-normal"/>
        <w:spacing w:lineRule="auto" w:line="360"/>
        <w:jc w:val="center"/>
        <w:rPr>
          <w:rFonts w:ascii="Times New Roman" w:hAnsi="Times New Roman"/>
        </w:rPr>
      </w:pPr>
      <w:r>
        <w:rPr/>
      </w:r>
      <m:oMathPara xmlns:m="http://schemas.openxmlformats.org/officeDocument/2006/math">
        <m:oMathParaPr>
          <m:jc m:val="center"/>
        </m:oMathParaPr>
        <m:oMath>
          <m:r>
            <w:rPr>
              <w:rFonts w:ascii="Cambria Math" w:hAnsi="Cambria Math"/>
            </w:rPr>
            <m:t xml:space="preserve">var</m:t>
          </m:r>
          <m:d>
            <m:dPr>
              <m:begChr m:val="("/>
              <m:endChr m:val=")"/>
            </m:dPr>
            <m:e>
              <m:r>
                <w:rPr>
                  <w:rFonts w:ascii="Cambria Math" w:hAnsi="Cambria Math"/>
                </w:rPr>
                <m:t xml:space="preserve">x</m:t>
              </m:r>
            </m:e>
          </m:d>
          <m:r>
            <w:rPr>
              <w:rFonts w:ascii="Cambria Math" w:hAnsi="Cambria Math"/>
            </w:rPr>
            <m:t xml:space="preserve">=</m:t>
          </m:r>
          <m:r>
            <w:rPr>
              <w:rFonts w:ascii="Cambria Math" w:hAnsi="Cambria Math"/>
            </w:rPr>
            <m:t xml:space="preserve">μ</m:t>
          </m:r>
          <m:r>
            <w:rPr>
              <w:rFonts w:ascii="Cambria Math" w:hAnsi="Cambria Math"/>
            </w:rPr>
            <m:t xml:space="preserve">+</m:t>
          </m:r>
          <m:r>
            <w:rPr>
              <w:rFonts w:ascii="Cambria Math" w:hAnsi="Cambria Math"/>
            </w:rPr>
            <m:t xml:space="preserve">σ</m:t>
          </m:r>
          <m:r>
            <w:rPr>
              <w:rFonts w:ascii="Cambria Math" w:hAnsi="Cambria Math"/>
            </w:rPr>
            <m:t xml:space="preserve">∗</m:t>
          </m:r>
          <m:sSup>
            <m:e>
              <m:r>
                <w:rPr>
                  <w:rFonts w:ascii="Cambria Math" w:hAnsi="Cambria Math"/>
                </w:rPr>
                <m:t xml:space="preserve">μ</m:t>
              </m:r>
            </m:e>
            <m:sup>
              <m:r>
                <w:rPr>
                  <w:rFonts w:ascii="Cambria Math" w:hAnsi="Cambria Math"/>
                </w:rPr>
                <m:t xml:space="preserve">2</m:t>
              </m:r>
            </m:sup>
          </m:sSup>
        </m:oMath>
      </m:oMathPara>
    </w:p>
    <w:p>
      <w:pPr>
        <w:pStyle w:val="LO-normal"/>
        <w:spacing w:lineRule="auto" w:line="360"/>
        <w:rPr>
          <w:rFonts w:ascii="Times New Roman" w:hAnsi="Times New Roman"/>
        </w:rPr>
      </w:pPr>
      <w:r>
        <w:rPr>
          <w:rFonts w:eastAsia="Times New Roman" w:cs="Times New Roman" w:ascii="Times New Roman" w:hAnsi="Times New Roman"/>
          <w:b w:val="false"/>
          <w:bCs w:val="false"/>
          <w:sz w:val="18"/>
          <w:szCs w:val="18"/>
          <w:lang w:val="en-US"/>
        </w:rPr>
        <w:t xml:space="preserve">EdgeR assumes about counts for gene </w:t>
      </w:r>
      <w:r>
        <w:rPr>
          <w:rFonts w:eastAsia="Times New Roman" w:cs="Times New Roman" w:ascii="Times New Roman" w:hAnsi="Times New Roman"/>
          <w:b w:val="false"/>
          <w:bCs w:val="false"/>
          <w:i/>
          <w:iCs/>
          <w:sz w:val="18"/>
          <w:szCs w:val="18"/>
          <w:lang w:val="en-US"/>
        </w:rPr>
        <w:t>g</w:t>
      </w:r>
      <w:r>
        <w:rPr>
          <w:rFonts w:eastAsia="Times New Roman" w:cs="Times New Roman" w:ascii="Times New Roman" w:hAnsi="Times New Roman"/>
          <w:b w:val="false"/>
          <w:bCs w:val="false"/>
          <w:i w:val="false"/>
          <w:iCs w:val="false"/>
          <w:sz w:val="18"/>
          <w:szCs w:val="18"/>
          <w:lang w:val="en-US"/>
        </w:rPr>
        <w:t>:</w:t>
      </w:r>
      <w:r>
        <w:rPr>
          <w:rFonts w:eastAsia="Times New Roman" w:cs="Times New Roman" w:ascii="Times New Roman" w:hAnsi="Times New Roman"/>
          <w:b w:val="false"/>
          <w:bCs w:val="false"/>
          <w:sz w:val="18"/>
          <w:szCs w:val="18"/>
          <w:lang w:val="en-US"/>
        </w:rPr>
        <w:t xml:space="preserve"> </w:t>
      </w:r>
    </w:p>
    <w:p>
      <w:pPr>
        <w:pStyle w:val="LO-normal"/>
        <w:spacing w:lineRule="auto" w:line="360"/>
        <w:jc w:val="center"/>
        <w:rPr>
          <w:sz w:val="18"/>
          <w:szCs w:val="18"/>
        </w:rPr>
      </w:pPr>
      <w:r>
        <w:rPr/>
      </w:r>
      <m:oMathPara xmlns:m="http://schemas.openxmlformats.org/officeDocument/2006/math">
        <m:oMathParaPr>
          <m:jc m:val="center"/>
        </m:oMathParaPr>
        <m:oMath>
          <m:r>
            <w:rPr>
              <w:rFonts w:ascii="Cambria Math" w:hAnsi="Cambria Math"/>
            </w:rPr>
            <m:t xml:space="preserve">var</m:t>
          </m:r>
          <m:d>
            <m:dPr>
              <m:begChr m:val="("/>
              <m:endChr m:val=")"/>
            </m:dPr>
            <m:e>
              <m:sSub>
                <m:e>
                  <m:r>
                    <w:rPr>
                      <w:rFonts w:ascii="Cambria Math" w:hAnsi="Cambria Math"/>
                    </w:rPr>
                    <m:t xml:space="preserve">g</m:t>
                  </m:r>
                </m:e>
                <m:sub>
                  <m:r>
                    <w:rPr>
                      <w:rFonts w:ascii="Cambria Math" w:hAnsi="Cambria Math"/>
                    </w:rPr>
                    <m:t xml:space="preserve">i</m:t>
                  </m:r>
                </m:sub>
              </m:sSub>
            </m:e>
          </m:d>
          <m:r>
            <w:rPr>
              <w:rFonts w:ascii="Cambria Math" w:hAnsi="Cambria Math"/>
            </w:rPr>
            <m:t xml:space="preserve">=</m:t>
          </m:r>
          <m:sSub>
            <m:e>
              <m:r>
                <w:rPr>
                  <w:rFonts w:ascii="Cambria Math" w:hAnsi="Cambria Math"/>
                </w:rPr>
                <m:t xml:space="preserve">μ</m:t>
              </m:r>
            </m:e>
            <m:sub>
              <m:sSub>
                <m:e>
                  <m:r>
                    <w:rPr>
                      <w:rFonts w:ascii="Cambria Math" w:hAnsi="Cambria Math"/>
                    </w:rPr>
                    <m:t xml:space="preserve">g</m:t>
                  </m:r>
                </m:e>
                <m:sub>
                  <m:r>
                    <w:rPr>
                      <w:rFonts w:ascii="Cambria Math" w:hAnsi="Cambria Math"/>
                    </w:rPr>
                    <m:t xml:space="preserve">i</m:t>
                  </m:r>
                </m:sub>
              </m:sSub>
            </m:sub>
          </m:sSub>
          <m:r>
            <w:rPr>
              <w:rFonts w:ascii="Cambria Math" w:hAnsi="Cambria Math"/>
            </w:rPr>
            <m:t xml:space="preserve">+</m:t>
          </m:r>
          <m:sSub>
            <m:e>
              <m:r>
                <w:rPr>
                  <w:rFonts w:ascii="Cambria Math" w:hAnsi="Cambria Math"/>
                </w:rPr>
                <m:t xml:space="preserve">σ</m:t>
              </m:r>
            </m:e>
            <m:sub>
              <m:r>
                <w:rPr>
                  <w:rFonts w:ascii="Cambria Math" w:hAnsi="Cambria Math"/>
                </w:rPr>
                <m:t xml:space="preserve">g</m:t>
              </m:r>
            </m:sub>
          </m:sSub>
          <m:r>
            <w:rPr>
              <w:rFonts w:ascii="Cambria Math" w:hAnsi="Cambria Math"/>
            </w:rPr>
            <m:t xml:space="preserve">∗</m:t>
          </m:r>
          <m:sSubSup>
            <m:e>
              <m:r>
                <w:rPr>
                  <w:rFonts w:ascii="Cambria Math" w:hAnsi="Cambria Math"/>
                </w:rPr>
                <m:t xml:space="preserve">μ</m:t>
              </m:r>
            </m:e>
            <m:sub>
              <m:sSub>
                <m:e>
                  <m:r>
                    <w:rPr>
                      <w:rFonts w:ascii="Cambria Math" w:hAnsi="Cambria Math"/>
                    </w:rPr>
                    <m:t xml:space="preserve">g</m:t>
                  </m:r>
                </m:e>
                <m:sub>
                  <m:r>
                    <w:rPr>
                      <w:rFonts w:ascii="Cambria Math" w:hAnsi="Cambria Math"/>
                    </w:rPr>
                    <m:t xml:space="preserve">i</m:t>
                  </m:r>
                </m:sub>
              </m:sSub>
            </m:sub>
            <m:sup>
              <m:r>
                <w:rPr>
                  <w:rFonts w:ascii="Cambria Math" w:hAnsi="Cambria Math"/>
                </w:rPr>
                <m:t xml:space="preserve">2</m:t>
              </m:r>
            </m:sup>
          </m:sSubSup>
        </m:oMath>
      </m:oMathPara>
    </w:p>
    <w:p>
      <w:pPr>
        <w:pStyle w:val="BodyText"/>
        <w:spacing w:lineRule="auto" w:line="360"/>
        <w:rPr>
          <w:rFonts w:ascii="Times New Roman" w:hAnsi="Times New Roman"/>
          <w:sz w:val="18"/>
          <w:szCs w:val="18"/>
          <w:lang w:val="de-DE"/>
        </w:rPr>
      </w:pPr>
      <w:r>
        <w:rPr>
          <w:rFonts w:eastAsia="Times New Roman" w:cs="Times New Roman" w:ascii="Times New Roman" w:hAnsi="Times New Roman"/>
          <w:b w:val="false"/>
          <w:bCs w:val="false"/>
          <w:color w:val="auto"/>
          <w:kern w:val="0"/>
          <w:sz w:val="18"/>
          <w:szCs w:val="18"/>
          <w:lang w:val="en-US" w:eastAsia="zh-CN" w:bidi="hi-IN"/>
        </w:rPr>
        <w:t>, w</w:t>
      </w:r>
      <w:r>
        <w:rPr>
          <w:rFonts w:eastAsia="Times New Roman" w:cs="Times New Roman" w:ascii="Times New Roman" w:hAnsi="Times New Roman"/>
          <w:b w:val="false"/>
          <w:bCs w:val="false"/>
          <w:color w:val="auto"/>
          <w:kern w:val="0"/>
          <w:sz w:val="18"/>
          <w:szCs w:val="18"/>
          <w:lang w:val="en-US" w:eastAsia="zh-CN" w:bidi="hi-IN"/>
        </w:rPr>
        <w:t xml:space="preserve">here </w:t>
      </w:r>
      <w:r>
        <w:rPr>
          <w:rFonts w:eastAsia="Times New Roman" w:cs="Times New Roman" w:ascii="Times New Roman" w:hAnsi="Times New Roman"/>
          <w:b w:val="false"/>
          <w:bCs w:val="false"/>
          <w:i/>
          <w:iCs/>
          <w:color w:val="auto"/>
          <w:kern w:val="0"/>
          <w:sz w:val="18"/>
          <w:szCs w:val="18"/>
          <w:lang w:val="en-US" w:eastAsia="zh-CN" w:bidi="hi-IN"/>
        </w:rPr>
        <w:t>g</w:t>
      </w:r>
      <w:r>
        <w:rPr>
          <w:rFonts w:eastAsia="Times New Roman" w:cs="Times New Roman" w:ascii="Times New Roman" w:hAnsi="Times New Roman"/>
          <w:b w:val="false"/>
          <w:bCs w:val="false"/>
          <w:i/>
          <w:iCs/>
          <w:color w:val="auto"/>
          <w:kern w:val="0"/>
          <w:sz w:val="18"/>
          <w:szCs w:val="18"/>
          <w:vertAlign w:val="subscript"/>
          <w:lang w:val="en-US" w:eastAsia="zh-CN" w:bidi="hi-IN"/>
        </w:rPr>
        <w:t>i</w:t>
      </w:r>
      <w:r>
        <w:rPr>
          <w:rFonts w:eastAsia="Times New Roman" w:cs="Times New Roman" w:ascii="Times New Roman" w:hAnsi="Times New Roman"/>
          <w:b w:val="false"/>
          <w:bCs w:val="false"/>
          <w:i/>
          <w:iCs/>
          <w:color w:val="auto"/>
          <w:kern w:val="0"/>
          <w:sz w:val="18"/>
          <w:szCs w:val="18"/>
          <w:lang w:val="en-US" w:eastAsia="zh-CN" w:bidi="hi-IN"/>
        </w:rPr>
        <w:t xml:space="preserve"> </w:t>
      </w:r>
      <w:r>
        <w:rPr>
          <w:rFonts w:eastAsia="Times New Roman" w:cs="Times New Roman" w:ascii="Times New Roman" w:hAnsi="Times New Roman"/>
          <w:b w:val="false"/>
          <w:bCs w:val="false"/>
          <w:color w:val="auto"/>
          <w:kern w:val="0"/>
          <w:sz w:val="18"/>
          <w:szCs w:val="18"/>
          <w:lang w:val="en-US" w:eastAsia="zh-CN" w:bidi="hi-IN"/>
        </w:rPr>
        <w:t xml:space="preserve">is gene </w:t>
      </w:r>
      <w:r>
        <w:rPr>
          <w:rFonts w:eastAsia="Times New Roman" w:cs="Times New Roman" w:ascii="Times New Roman" w:hAnsi="Times New Roman"/>
          <w:b w:val="false"/>
          <w:bCs w:val="false"/>
          <w:i/>
          <w:color w:val="auto"/>
          <w:kern w:val="0"/>
          <w:sz w:val="18"/>
          <w:szCs w:val="18"/>
          <w:lang w:val="en-US" w:eastAsia="zh-CN" w:bidi="hi-IN"/>
        </w:rPr>
        <w:t>i</w:t>
      </w:r>
      <w:r>
        <w:rPr>
          <w:rFonts w:eastAsia="Times New Roman" w:cs="Times New Roman" w:ascii="Times New Roman" w:hAnsi="Times New Roman"/>
          <w:b w:val="false"/>
          <w:bCs w:val="false"/>
          <w:color w:val="auto"/>
          <w:kern w:val="0"/>
          <w:sz w:val="18"/>
          <w:szCs w:val="18"/>
          <w:lang w:val="en-US" w:eastAsia="zh-CN" w:bidi="hi-IN"/>
        </w:rPr>
        <w:t>, μ the mean expression count, σ is the dispersion parameter. Therefore, the sampling parameterized above and the negative</w:t>
      </w:r>
      <w:r>
        <w:rPr>
          <w:rFonts w:eastAsia="Times New Roman" w:cs="Times New Roman" w:ascii="Times New Roman" w:hAnsi="Times New Roman"/>
          <w:b w:val="false"/>
          <w:bCs w:val="false"/>
          <w:color w:val="auto"/>
          <w:kern w:val="0"/>
          <w:sz w:val="18"/>
          <w:szCs w:val="18"/>
          <w:lang w:val="en-US" w:eastAsia="zh-CN" w:bidi="hi-IN"/>
        </w:rPr>
        <w:t xml:space="preserve"> binomial regression in edgeR have the same underlying statistical assumptions. We sampled the above NB2 distribution for both control and migraine patients such that migraine patient</w:t>
      </w:r>
      <w:r>
        <w:rPr>
          <w:rFonts w:eastAsia="Times New Roman" w:cs="Times New Roman" w:ascii="Times New Roman" w:hAnsi="Times New Roman"/>
          <w:b w:val="false"/>
          <w:bCs w:val="false"/>
          <w:color w:val="000000"/>
          <w:kern w:val="0"/>
          <w:sz w:val="18"/>
          <w:szCs w:val="18"/>
          <w:lang w:val="en-US" w:eastAsia="zh-CN" w:bidi="hi-IN"/>
        </w:rPr>
        <w:t>’</w:t>
      </w:r>
      <w:r>
        <w:rPr>
          <w:rFonts w:eastAsia="Times New Roman" w:cs="Times New Roman" w:ascii="Times New Roman" w:hAnsi="Times New Roman"/>
          <w:b w:val="false"/>
          <w:bCs w:val="false"/>
          <w:color w:val="auto"/>
          <w:kern w:val="0"/>
          <w:sz w:val="18"/>
          <w:szCs w:val="18"/>
          <w:lang w:val="en-US" w:eastAsia="zh-CN" w:bidi="hi-IN"/>
        </w:rPr>
        <w:t>s</w:t>
      </w:r>
      <w:r>
        <w:rPr>
          <w:rFonts w:eastAsia="Times New Roman" w:cs="Times New Roman" w:ascii="Times New Roman" w:hAnsi="Times New Roman"/>
          <w:b w:val="false"/>
          <w:bCs w:val="false"/>
          <w:color w:val="000000"/>
          <w:kern w:val="0"/>
          <w:sz w:val="18"/>
          <w:szCs w:val="18"/>
          <w:lang w:val="en-US" w:eastAsia="zh-CN" w:bidi="hi-IN"/>
        </w:rPr>
        <w:t xml:space="preserve"> mean gene counts were log2FC times larger than the control group’s. Then, the negative binomial regression model was used to test how many times we can recover significant differences (using the threshold alpha for significance) from 1000 sampling for the given log2FC and sigma parameters for a single gene. The resulting proportion was the power for the given difference and dispersion parameters. </w:t>
      </w:r>
    </w:p>
    <w:p>
      <w:pPr>
        <w:pStyle w:val="BodyText"/>
        <w:spacing w:lineRule="auto" w:line="360" w:before="0" w:after="0"/>
        <w:ind w:hanging="0" w:left="0" w:right="0"/>
        <w:rPr>
          <w:rFonts w:ascii="Times New Roman" w:hAnsi="Times New Roman"/>
          <w:b w:val="false"/>
          <w:color w:val="000000"/>
          <w:sz w:val="18"/>
          <w:szCs w:val="18"/>
          <w:lang w:val="en-US"/>
        </w:rPr>
      </w:pPr>
      <w:r>
        <w:rPr>
          <w:rFonts w:ascii="Times New Roman" w:hAnsi="Times New Roman"/>
          <w:b w:val="false"/>
          <w:color w:val="000000"/>
          <w:sz w:val="18"/>
          <w:szCs w:val="18"/>
          <w:lang w:val="en-US"/>
        </w:rPr>
        <w:t xml:space="preserve">We show power with the mean counts given the different values of log2FC and dispersion (sigma, see Figure 9). (We have to note, that low-expression genes were filtered with the default settings of edgeR’s filterbyexpr function in our experiment). </w:t>
      </w:r>
    </w:p>
    <w:p>
      <w:pPr>
        <w:pStyle w:val="LO-normal"/>
        <w:spacing w:lineRule="auto" w:line="360"/>
        <w:rPr>
          <w:rFonts w:ascii="Times New Roman" w:hAnsi="Times New Roman"/>
          <w:sz w:val="18"/>
          <w:szCs w:val="18"/>
        </w:rPr>
      </w:pPr>
      <w:r>
        <w:rPr>
          <w:rFonts w:ascii="Times New Roman" w:hAnsi="Times New Roman"/>
          <w:sz w:val="18"/>
          <w:szCs w:val="18"/>
        </w:rPr>
      </w:r>
    </w:p>
    <w:p>
      <w:pPr>
        <w:pStyle w:val="LO-normal"/>
        <w:spacing w:lineRule="auto" w:line="360"/>
        <w:rPr>
          <w:rFonts w:ascii="Times New Roman" w:hAnsi="Times New Roman"/>
          <w:sz w:val="18"/>
          <w:szCs w:val="18"/>
        </w:rPr>
      </w:pPr>
      <w:r>
        <w:rPr/>
        <w:drawing>
          <wp:inline distT="0" distB="0" distL="0" distR="0">
            <wp:extent cx="3909060" cy="2931795"/>
            <wp:effectExtent l="0" t="0" r="0" b="0"/>
            <wp:docPr id="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 descr=""/>
                    <pic:cNvPicPr>
                      <a:picLocks noChangeAspect="1" noChangeArrowheads="1"/>
                    </pic:cNvPicPr>
                  </pic:nvPicPr>
                  <pic:blipFill>
                    <a:blip r:embed="rId11"/>
                    <a:stretch>
                      <a:fillRect/>
                    </a:stretch>
                  </pic:blipFill>
                  <pic:spPr bwMode="auto">
                    <a:xfrm>
                      <a:off x="0" y="0"/>
                      <a:ext cx="3909060" cy="2931795"/>
                    </a:xfrm>
                    <a:prstGeom prst="rect">
                      <a:avLst/>
                    </a:prstGeom>
                  </pic:spPr>
                </pic:pic>
              </a:graphicData>
            </a:graphic>
          </wp:inline>
        </w:drawing>
      </w:r>
      <w:r>
        <w:rPr>
          <w:rFonts w:eastAsia="Times New Roman" w:cs="Times New Roman" w:ascii="Times New Roman" w:hAnsi="Times New Roman"/>
          <w:b w:val="false"/>
          <w:bCs w:val="false"/>
          <w:color w:val="auto"/>
          <w:kern w:val="0"/>
          <w:sz w:val="18"/>
          <w:szCs w:val="18"/>
          <w:lang w:val="en-US" w:eastAsia="zh-CN" w:bidi="hi-IN"/>
        </w:rPr>
        <w:t xml:space="preserve"> </w:t>
      </w:r>
      <w:r>
        <w:rPr/>
        <w:drawing>
          <wp:inline distT="0" distB="0" distL="0" distR="0">
            <wp:extent cx="997585" cy="3007360"/>
            <wp:effectExtent l="0" t="0" r="0" b="0"/>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12"/>
                    <a:srcRect l="36362" t="0" r="35425" b="0"/>
                    <a:stretch>
                      <a:fillRect/>
                    </a:stretch>
                  </pic:blipFill>
                  <pic:spPr bwMode="auto">
                    <a:xfrm>
                      <a:off x="0" y="0"/>
                      <a:ext cx="997585" cy="300736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bCs/>
          <w:sz w:val="18"/>
          <w:szCs w:val="18"/>
          <w:lang w:val="en-US"/>
        </w:rPr>
        <w:t>Figure 9. Power estimate versus mean count plot</w:t>
      </w:r>
    </w:p>
    <w:p>
      <w:pPr>
        <w:pStyle w:val="LO-normal"/>
        <w:spacing w:lineRule="auto" w:line="360"/>
        <w:rPr>
          <w:rFonts w:ascii="Times New Roman" w:hAnsi="Times New Roman"/>
          <w:b w:val="false"/>
          <w:sz w:val="18"/>
          <w:szCs w:val="18"/>
          <w:lang w:val="en-US"/>
        </w:rPr>
      </w:pPr>
      <w:r>
        <w:rPr>
          <w:rFonts w:eastAsia="Times New Roman" w:cs="Times New Roman" w:ascii="Times New Roman" w:hAnsi="Times New Roman"/>
          <w:b w:val="false"/>
          <w:bCs w:val="false"/>
          <w:sz w:val="18"/>
          <w:szCs w:val="18"/>
          <w:lang w:val="en-US"/>
        </w:rPr>
        <w:t>We have modeled counts according to the negative binomial distribution for control and migraine samples and tried to recover differentially expressed genes using the negative binomial regression. Given the real sizes of patients and controls, in most cases we have close 100% power to detect relevant differences (black line at 1). The only case where our power decreases is when log2FC is small and dispersion is large, although even in this case we should be have been able to detect significant differences in about one third of the cases.</w:t>
      </w:r>
    </w:p>
    <w:p>
      <w:pPr>
        <w:pStyle w:val="BodyText"/>
        <w:spacing w:lineRule="auto" w:line="360"/>
        <w:rPr>
          <w:rFonts w:ascii="Times New Roman" w:hAnsi="Times New Roman"/>
          <w:sz w:val="18"/>
          <w:szCs w:val="18"/>
          <w:lang w:val="de-DE"/>
        </w:rPr>
      </w:pPr>
      <w:r>
        <w:rPr>
          <w:rFonts w:eastAsia="Times New Roman" w:cs="Times New Roman" w:ascii="Times New Roman" w:hAnsi="Times New Roman"/>
          <w:b w:val="false"/>
          <w:bCs w:val="false"/>
          <w:color w:val="000000"/>
          <w:kern w:val="0"/>
          <w:sz w:val="18"/>
          <w:szCs w:val="18"/>
          <w:lang w:val="en-US" w:eastAsia="zh-CN" w:bidi="hi-IN"/>
        </w:rPr>
        <w:t xml:space="preserve">The above power estimates indicate that we were able to detect changes with sigma below 0.72 and log2FC larger than 1 with about 80% power, while for log2FC &gt;= 2 we had almost 100% power to detect significant differences (see black lines). </w:t>
      </w:r>
    </w:p>
    <w:p>
      <w:pPr>
        <w:pStyle w:val="BodyText"/>
        <w:spacing w:lineRule="auto" w:line="360" w:before="0" w:after="0"/>
        <w:ind w:hanging="0" w:left="0" w:right="0"/>
        <w:rPr>
          <w:rFonts w:ascii="Times New Roman" w:hAnsi="Times New Roman"/>
          <w:sz w:val="18"/>
          <w:szCs w:val="18"/>
          <w:lang w:val="de-DE"/>
        </w:rPr>
      </w:pPr>
      <w:r>
        <w:rPr>
          <w:rFonts w:ascii="Times New Roman" w:hAnsi="Times New Roman"/>
          <w:b w:val="false"/>
          <w:color w:val="000000"/>
          <w:sz w:val="18"/>
          <w:szCs w:val="18"/>
          <w:lang w:val="en-US"/>
        </w:rPr>
        <w:t>The negative binomial distribution adequately models count data in gene expression experiments, thus, it is reasonable to assume that the lack of significant findings in the present work may be due to 1) other migraine-influencing factors, like physical activity, diet, etc. increasing</w:t>
      </w:r>
      <w:r>
        <w:rPr>
          <w:rFonts w:ascii="Times New Roman" w:hAnsi="Times New Roman"/>
          <w:color w:val="000000"/>
          <w:sz w:val="18"/>
          <w:szCs w:val="18"/>
          <w:lang w:val="de-DE"/>
        </w:rPr>
        <w:t xml:space="preserve"> </w:t>
      </w:r>
      <w:r>
        <w:rPr>
          <w:rFonts w:ascii="Times New Roman" w:hAnsi="Times New Roman"/>
          <w:b w:val="false"/>
          <w:color w:val="000000"/>
          <w:sz w:val="18"/>
          <w:szCs w:val="18"/>
          <w:lang w:val="en-US"/>
        </w:rPr>
        <w:t>variance, 2) changes being not gene-driven (rather e.g. pathway-driven with differences in individual genes being smaller than the log2FC threshold), 3) only genes with very low gene expression or very large variance playing</w:t>
      </w:r>
      <w:r>
        <w:rPr>
          <w:rFonts w:ascii="Times New Roman" w:hAnsi="Times New Roman"/>
          <w:color w:val="000000"/>
          <w:sz w:val="18"/>
          <w:szCs w:val="18"/>
          <w:lang w:val="de-DE"/>
        </w:rPr>
        <w:t xml:space="preserve"> </w:t>
      </w:r>
      <w:r>
        <w:rPr>
          <w:rFonts w:ascii="Times New Roman" w:hAnsi="Times New Roman"/>
          <w:b w:val="false"/>
          <w:color w:val="000000"/>
          <w:sz w:val="18"/>
          <w:szCs w:val="18"/>
          <w:lang w:val="en-US"/>
        </w:rPr>
        <w:t xml:space="preserve">a role in MO (for which we did not have enough power). Either way, the present study, given our strict selection criteria and rigorous co-variate corrections, was reasonably assumed to be well-powered for the detection of differences in a wide range of conditions. </w:t>
      </w:r>
    </w:p>
    <w:p>
      <w:pPr>
        <w:pStyle w:val="BodyText"/>
        <w:spacing w:lineRule="auto" w:line="360" w:before="0" w:after="0"/>
        <w:ind w:hanging="0" w:left="0" w:right="0"/>
        <w:rPr>
          <w:rFonts w:ascii="Times New Roman" w:hAnsi="Times New Roman"/>
          <w:sz w:val="18"/>
          <w:szCs w:val="18"/>
          <w:lang w:val="de-DE"/>
        </w:rPr>
      </w:pPr>
      <w:r>
        <w:rPr>
          <w:rFonts w:ascii="Times New Roman" w:hAnsi="Times New Roman"/>
          <w:b w:val="false"/>
          <w:color w:val="000000"/>
          <w:sz w:val="18"/>
          <w:szCs w:val="18"/>
          <w:lang w:val="en-US"/>
        </w:rPr>
        <w:t>We have to note, that the above calculations are valid for the gene-level significance tests for a single gene. For LEGs we conducted no extra tests, that was a post-hoc filtering of factors already important for significantly replicated pathways assessed by gene set enrichment analyses.</w:t>
      </w:r>
    </w:p>
    <w:p>
      <w:pPr>
        <w:pStyle w:val="BodyText"/>
        <w:spacing w:lineRule="auto" w:line="360" w:before="0" w:after="0"/>
        <w:ind w:hanging="0" w:left="0" w:right="0"/>
        <w:rPr>
          <w:rFonts w:ascii="Times New Roman" w:hAnsi="Times New Roman"/>
          <w:sz w:val="18"/>
          <w:szCs w:val="18"/>
          <w:lang w:val="de-DE"/>
        </w:rPr>
      </w:pPr>
      <w:r>
        <w:rPr>
          <w:rFonts w:ascii="Times New Roman" w:hAnsi="Times New Roman"/>
          <w:b w:val="false"/>
          <w:color w:val="000000"/>
          <w:sz w:val="18"/>
          <w:szCs w:val="18"/>
          <w:lang w:val="en-US"/>
        </w:rPr>
        <w:t>We also did not simulate large number of genes, albeit FDR correction is known to reduce power [3], because we did not assume that this correction would be the main reason for the lack of significant findings in our study. As a further note, the sample sizes in our work correspond to a very-well powered study according to [3] using similar statistical assumptions.</w:t>
      </w:r>
    </w:p>
    <w:p>
      <w:pPr>
        <w:pStyle w:val="BodyText"/>
        <w:spacing w:lineRule="auto" w:line="360" w:before="0" w:after="0"/>
        <w:ind w:hanging="0" w:left="0" w:right="0"/>
        <w:rPr>
          <w:rFonts w:eastAsia="Times New Roman" w:cs="Times New Roman"/>
          <w:b/>
          <w:lang w:val="en-US"/>
        </w:rPr>
      </w:pPr>
      <w:r>
        <w:rPr>
          <w:rFonts w:eastAsia="Times New Roman" w:cs="Times New Roman"/>
          <w:b/>
          <w:lang w:val="en-US"/>
        </w:rPr>
      </w:r>
    </w:p>
    <w:p>
      <w:pPr>
        <w:pStyle w:val="BodyText"/>
        <w:spacing w:lineRule="auto" w:line="360" w:before="0" w:after="0"/>
        <w:ind w:hanging="0" w:left="0" w:right="0"/>
        <w:rPr>
          <w:rFonts w:eastAsia="Times New Roman" w:cs="Times New Roman"/>
          <w:b/>
          <w:lang w:val="en-US"/>
        </w:rPr>
      </w:pPr>
      <w:r>
        <w:rPr>
          <w:rFonts w:eastAsia="Times New Roman" w:cs="Times New Roman"/>
          <w:b/>
          <w:lang w:val="en-US"/>
        </w:rPr>
      </w:r>
    </w:p>
    <w:p>
      <w:pPr>
        <w:pStyle w:val="LO-normal"/>
        <w:spacing w:lineRule="auto" w:line="360"/>
        <w:rPr>
          <w:rFonts w:eastAsia="Times New Roman" w:cs="Times New Roman"/>
          <w:b/>
          <w:lang w:val="en-US"/>
        </w:rPr>
      </w:pPr>
      <w:r>
        <w:rPr>
          <w:rFonts w:eastAsia="Times New Roman" w:cs="Times New Roman"/>
          <w:b/>
          <w:lang w:val="en-US"/>
        </w:rPr>
      </w:r>
    </w:p>
    <w:p>
      <w:pPr>
        <w:pStyle w:val="LO-normal"/>
        <w:spacing w:lineRule="auto" w:line="360"/>
        <w:rPr>
          <w:rFonts w:eastAsia="Times New Roman" w:cs="Times New Roman"/>
          <w:b/>
          <w:lang w:val="en-US"/>
        </w:rPr>
      </w:pPr>
      <w:r>
        <w:rPr>
          <w:rFonts w:eastAsia="Times New Roman" w:cs="Times New Roman"/>
          <w:b/>
          <w:lang w:val="en-US"/>
        </w:rPr>
      </w:r>
    </w:p>
    <w:p>
      <w:pPr>
        <w:pStyle w:val="LO-normal"/>
        <w:spacing w:lineRule="auto" w:line="360"/>
        <w:rPr>
          <w:rFonts w:eastAsia="Times New Roman" w:cs="Times New Roman"/>
          <w:b/>
          <w:lang w:val="en-US"/>
        </w:rPr>
      </w:pPr>
      <w:r>
        <w:rPr>
          <w:rFonts w:eastAsia="Times New Roman" w:cs="Times New Roman"/>
          <w:b/>
          <w:lang w:val="en-US"/>
        </w:rPr>
      </w:r>
    </w:p>
    <w:p>
      <w:pPr>
        <w:pStyle w:val="LO-normal"/>
        <w:spacing w:lineRule="auto" w:line="360"/>
        <w:rPr>
          <w:rFonts w:eastAsia="Times New Roman" w:cs="Times New Roman"/>
          <w:b/>
          <w:lang w:val="en-US"/>
        </w:rPr>
      </w:pPr>
      <w:r>
        <w:rPr>
          <w:rFonts w:eastAsia="Times New Roman" w:cs="Times New Roman"/>
          <w:b/>
          <w:lang w:val="en-US"/>
        </w:rPr>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AutoDock Vina and machine learning-based drug binding predictions</w:t>
      </w:r>
    </w:p>
    <w:p>
      <w:pPr>
        <w:pStyle w:val="LO-normal"/>
        <w:spacing w:lineRule="auto" w:line="360"/>
        <w:rPr>
          <w:rFonts w:ascii="Times New Roman" w:hAnsi="Times New Roman" w:eastAsia="Times New Roman" w:cs="Times New Roman"/>
          <w:color w:val="auto"/>
          <w:kern w:val="0"/>
          <w:sz w:val="18"/>
          <w:szCs w:val="18"/>
          <w:lang w:val="en-US" w:eastAsia="zh-CN" w:bidi="hi-IN"/>
        </w:rPr>
      </w:pPr>
      <w:r>
        <w:rPr>
          <w:rFonts w:eastAsia="Times New Roman" w:cs="Times New Roman" w:ascii="Times New Roman" w:hAnsi="Times New Roman"/>
          <w:color w:val="auto"/>
          <w:kern w:val="0"/>
          <w:sz w:val="18"/>
          <w:szCs w:val="18"/>
          <w:lang w:val="en-US" w:eastAsia="zh-CN" w:bidi="hi-IN"/>
        </w:rPr>
      </w:r>
    </w:p>
    <w:p>
      <w:pPr>
        <w:pStyle w:val="LO-normal"/>
        <w:spacing w:lineRule="auto" w:line="360"/>
        <w:jc w:val="both"/>
        <w:rPr>
          <w:rFonts w:ascii="Times New Roman" w:hAnsi="Times New Roman"/>
          <w:sz w:val="18"/>
          <w:szCs w:val="18"/>
        </w:rPr>
      </w:pPr>
      <w:r>
        <w:rPr>
          <w:rFonts w:eastAsia="Times New Roman" w:cs="Times New Roman" w:ascii="Times New Roman" w:hAnsi="Times New Roman"/>
          <w:sz w:val="18"/>
          <w:szCs w:val="18"/>
          <w:lang w:val="en-US"/>
        </w:rPr>
        <w:tab/>
        <w:t xml:space="preserve">In the following two schematic figures are presented about the methods used to assess drug binding to proteins corresponding to the genes. </w:t>
      </w:r>
    </w:p>
    <w:p>
      <w:pPr>
        <w:pStyle w:val="LO-normal"/>
        <w:spacing w:lineRule="auto" w:line="360"/>
        <w:rPr>
          <w:rFonts w:ascii="Times New Roman" w:hAnsi="Times New Roman" w:eastAsia="Times New Roman" w:cs="Times New Roman"/>
          <w:b/>
          <w:sz w:val="20"/>
          <w:szCs w:val="20"/>
          <w:lang w:val="en-US"/>
        </w:rPr>
      </w:pPr>
      <w:r>
        <w:rPr>
          <w:rFonts w:eastAsia="Times New Roman" w:cs="Times New Roman" w:ascii="Times New Roman" w:hAnsi="Times New Roman"/>
          <w:b/>
          <w:sz w:val="20"/>
          <w:szCs w:val="20"/>
          <w:lang w:val="en-US"/>
        </w:rPr>
      </w:r>
    </w:p>
    <w:p>
      <w:pPr>
        <w:pStyle w:val="LO-normal"/>
        <w:spacing w:lineRule="auto" w:line="360"/>
        <w:rPr>
          <w:rFonts w:ascii="Times New Roman" w:hAnsi="Times New Roman"/>
          <w:sz w:val="20"/>
          <w:szCs w:val="20"/>
          <w:lang w:val="en-US"/>
        </w:rPr>
      </w:pPr>
      <w:r>
        <w:rPr>
          <w:rFonts w:ascii="Times New Roman" w:hAnsi="Times New Roman"/>
          <w:sz w:val="20"/>
          <w:szCs w:val="20"/>
          <w:lang w:val="en-US"/>
        </w:rPr>
      </w:r>
    </w:p>
    <w:p>
      <w:pPr>
        <w:pStyle w:val="LO-normal"/>
        <w:spacing w:lineRule="auto" w:line="360"/>
        <w:rPr>
          <w:rFonts w:ascii="Times New Roman" w:hAnsi="Times New Roman"/>
        </w:rPr>
      </w:pPr>
      <w:r>
        <w:rPr/>
        <w:drawing>
          <wp:inline distT="0" distB="0" distL="0" distR="0">
            <wp:extent cx="5731510" cy="1384300"/>
            <wp:effectExtent l="0" t="0" r="0" b="0"/>
            <wp:docPr id="11" name="image3.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jpg" descr=""/>
                    <pic:cNvPicPr>
                      <a:picLocks noChangeAspect="1" noChangeArrowheads="1"/>
                    </pic:cNvPicPr>
                  </pic:nvPicPr>
                  <pic:blipFill>
                    <a:blip r:embed="rId13"/>
                    <a:stretch>
                      <a:fillRect/>
                    </a:stretch>
                  </pic:blipFill>
                  <pic:spPr bwMode="auto">
                    <a:xfrm>
                      <a:off x="0" y="0"/>
                      <a:ext cx="5731510" cy="138430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Figure 10. Schematic workflow of AutoDock Vina binding calculations between drugs and genes</w:t>
      </w:r>
    </w:p>
    <w:p>
      <w:pPr>
        <w:pStyle w:val="LO-normal"/>
        <w:spacing w:lineRule="auto" w:line="360"/>
        <w:rPr>
          <w:rFonts w:ascii="Times New Roman" w:hAnsi="Times New Roman"/>
          <w:sz w:val="18"/>
          <w:szCs w:val="18"/>
        </w:rPr>
      </w:pPr>
      <w:r>
        <w:rPr>
          <w:rFonts w:eastAsia="Times New Roman" w:cs="Times New Roman" w:ascii="Times New Roman" w:hAnsi="Times New Roman"/>
          <w:sz w:val="18"/>
          <w:szCs w:val="18"/>
          <w:lang w:val="en-US"/>
        </w:rPr>
        <w:t>The figure shows from left to right the flow from input to predicted binding scores. Input is a gene and a drug name, from which protein 3D structures and drug structures were obtained through UniProt’s AlphaFold 2 structure and PubChem, respectively. With these structures as input AutoDock Vina was run after the prepare_receptor -A and prepare_ligand commands with the described parameters. Predicted binding scores were evaluated and lowest scores (strongest binding) were considered as the binding score between the protein and the drug.</w:t>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sz w:val="18"/>
          <w:szCs w:val="18"/>
        </w:rPr>
      </w:pPr>
      <w:r>
        <w:rPr/>
        <w:drawing>
          <wp:inline distT="0" distB="0" distL="0" distR="0">
            <wp:extent cx="5731510" cy="4775200"/>
            <wp:effectExtent l="0" t="0" r="0" b="0"/>
            <wp:docPr id="12"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g" descr=""/>
                    <pic:cNvPicPr>
                      <a:picLocks noChangeAspect="1" noChangeArrowheads="1"/>
                    </pic:cNvPicPr>
                  </pic:nvPicPr>
                  <pic:blipFill>
                    <a:blip r:embed="rId14"/>
                    <a:stretch>
                      <a:fillRect/>
                    </a:stretch>
                  </pic:blipFill>
                  <pic:spPr bwMode="auto">
                    <a:xfrm>
                      <a:off x="0" y="0"/>
                      <a:ext cx="5731510" cy="4775200"/>
                    </a:xfrm>
                    <a:prstGeom prst="rect">
                      <a:avLst/>
                    </a:prstGeom>
                  </pic:spPr>
                </pic:pic>
              </a:graphicData>
            </a:graphic>
          </wp:inline>
        </w:drawing>
      </w:r>
    </w:p>
    <w:p>
      <w:pPr>
        <w:pStyle w:val="LO-normal"/>
        <w:spacing w:lineRule="auto" w:line="360"/>
        <w:rPr>
          <w:rFonts w:ascii="Times New Roman" w:hAnsi="Times New Roman"/>
          <w:sz w:val="18"/>
          <w:szCs w:val="18"/>
        </w:rPr>
      </w:pPr>
      <w:r>
        <w:rPr>
          <w:rFonts w:eastAsia="Times New Roman" w:cs="Times New Roman" w:ascii="Times New Roman" w:hAnsi="Times New Roman"/>
          <w:b/>
          <w:sz w:val="18"/>
          <w:szCs w:val="18"/>
          <w:lang w:val="en-US"/>
        </w:rPr>
        <w:t>Figure 11. Schematic workflow of machine learning based drug-protein binding predictions</w:t>
      </w:r>
    </w:p>
    <w:p>
      <w:pPr>
        <w:pStyle w:val="LO-normal"/>
        <w:spacing w:lineRule="auto" w:line="360"/>
        <w:rPr>
          <w:rFonts w:ascii="Times New Roman" w:hAnsi="Times New Roman"/>
          <w:sz w:val="18"/>
          <w:szCs w:val="18"/>
        </w:rPr>
      </w:pPr>
      <w:r>
        <w:rPr>
          <w:rFonts w:eastAsia="Times New Roman" w:cs="Times New Roman" w:ascii="Times New Roman" w:hAnsi="Times New Roman"/>
          <w:sz w:val="18"/>
          <w:szCs w:val="18"/>
          <w:lang w:val="en-US"/>
        </w:rPr>
        <w:t xml:space="preserve">The figure shows the schematic workflow to obtain drug-protein binding scores in large-scale analysis of DrugBank drugs to gene expression-level alterations. For detailed steps see the 3 points at the bottom of the figure. </w:t>
      </w:r>
    </w:p>
    <w:p>
      <w:pPr>
        <w:pStyle w:val="LO-normal"/>
        <w:spacing w:lineRule="auto" w:line="360"/>
        <w:rPr>
          <w:rFonts w:ascii="Times New Roman" w:hAnsi="Times New Roman" w:eastAsia="Times New Roman" w:cs="Times New Roman"/>
          <w:sz w:val="18"/>
          <w:szCs w:val="18"/>
          <w:lang w:val="en-US"/>
        </w:rPr>
      </w:pPr>
      <w:r>
        <w:rPr>
          <w:rFonts w:eastAsia="Times New Roman" w:cs="Times New Roman" w:ascii="Times New Roman" w:hAnsi="Times New Roman"/>
          <w:sz w:val="18"/>
          <w:szCs w:val="18"/>
          <w:lang w:val="en-US"/>
        </w:rPr>
      </w:r>
    </w:p>
    <w:p>
      <w:pPr>
        <w:pStyle w:val="LO-normal"/>
        <w:spacing w:lineRule="auto" w:line="360"/>
        <w:rPr>
          <w:rFonts w:ascii="Times New Roman" w:hAnsi="Times New Roman" w:eastAsia="Times New Roman" w:cs="Times New Roman"/>
          <w:b/>
          <w:bCs/>
          <w:sz w:val="18"/>
          <w:szCs w:val="18"/>
          <w:lang w:val="en-US"/>
        </w:rPr>
      </w:pPr>
      <w:r>
        <w:rPr>
          <w:rFonts w:eastAsia="Times New Roman" w:cs="Times New Roman" w:ascii="Times New Roman" w:hAnsi="Times New Roman"/>
          <w:b/>
          <w:bCs/>
          <w:sz w:val="18"/>
          <w:szCs w:val="18"/>
          <w:lang w:val="en-US"/>
        </w:rPr>
        <w:t>Supplementary References</w:t>
      </w:r>
    </w:p>
    <w:p>
      <w:pPr>
        <w:pStyle w:val="LO-normal"/>
        <w:spacing w:lineRule="auto" w:line="360"/>
        <w:rPr>
          <w:rFonts w:ascii="Times New Roman" w:hAnsi="Times New Roman"/>
          <w:b w:val="false"/>
          <w:bCs w:val="false"/>
          <w:sz w:val="18"/>
          <w:szCs w:val="18"/>
        </w:rPr>
      </w:pPr>
      <w:r>
        <w:rPr>
          <w:rFonts w:eastAsia="Times New Roman" w:cs="Times New Roman" w:ascii="Times New Roman" w:hAnsi="Times New Roman"/>
          <w:b w:val="false"/>
          <w:bCs w:val="false"/>
          <w:sz w:val="18"/>
          <w:szCs w:val="18"/>
          <w:lang w:val="en-US"/>
        </w:rPr>
        <w:t xml:space="preserve">[1] </w:t>
      </w:r>
      <w:r>
        <w:rPr>
          <w:rFonts w:ascii="Times New Roman" w:hAnsi="Times New Roman"/>
          <w:b w:val="false"/>
          <w:bCs w:val="false"/>
          <w:sz w:val="18"/>
          <w:szCs w:val="18"/>
        </w:rPr>
        <w:t>Duse DC, Reed ML, Fanning KM, Bostic R, Dodick DW, Schwedt TJ</w:t>
      </w:r>
      <w:r>
        <w:rPr>
          <w:rFonts w:eastAsia="Times New Roman" w:cs="Times New Roman" w:ascii="Times New Roman" w:hAnsi="Times New Roman"/>
          <w:b w:val="false"/>
          <w:bCs w:val="false"/>
          <w:sz w:val="18"/>
          <w:szCs w:val="18"/>
          <w:lang w:val="en-US"/>
        </w:rPr>
        <w:t xml:space="preserve">,  Munjal S,     Singh P, Lipton RB. Comorbid and co-occurring conditions in migraine and associated risk of increasing headache pain intensity and headache frequency: results of the migraine in America symptoms and treatment (MAST) study. J Headache Pain. 2020;21(1):23. </w:t>
      </w:r>
      <w:r>
        <w:rPr>
          <w:rFonts w:eastAsia="Times New Roman" w:cs="Times New Roman" w:ascii="Times New Roman" w:hAnsi="Times New Roman"/>
          <w:b w:val="false"/>
          <w:bCs w:val="false"/>
          <w:i w:val="false"/>
          <w:caps w:val="false"/>
          <w:smallCaps w:val="false"/>
          <w:color w:val="333333"/>
          <w:spacing w:val="0"/>
          <w:sz w:val="18"/>
          <w:szCs w:val="18"/>
          <w:lang w:val="en-US"/>
        </w:rPr>
        <w:t>https://doi.org/10.1186/s10194-020-1084-y</w:t>
      </w:r>
    </w:p>
    <w:p>
      <w:pPr>
        <w:pStyle w:val="LO-normal"/>
        <w:spacing w:lineRule="auto" w:line="360"/>
        <w:rPr>
          <w:rFonts w:ascii="Times New Roman" w:hAnsi="Times New Roman" w:eastAsia="Times New Roman" w:cs="Times New Roman"/>
          <w:b w:val="false"/>
          <w:bCs w:val="false"/>
          <w:sz w:val="18"/>
          <w:szCs w:val="18"/>
          <w:lang w:val="en-US"/>
        </w:rPr>
      </w:pPr>
      <w:r>
        <w:rPr>
          <w:rFonts w:eastAsia="Times New Roman" w:cs="Times New Roman" w:ascii="Times New Roman" w:hAnsi="Times New Roman"/>
          <w:b w:val="false"/>
          <w:bCs w:val="false"/>
          <w:sz w:val="18"/>
          <w:szCs w:val="18"/>
          <w:lang w:val="en-US"/>
        </w:rPr>
        <w:t xml:space="preserve"> </w:t>
      </w:r>
    </w:p>
    <w:p>
      <w:pPr>
        <w:pStyle w:val="LO-normal"/>
        <w:spacing w:lineRule="auto" w:line="360"/>
        <w:rPr>
          <w:rFonts w:ascii="Times New Roman" w:hAnsi="Times New Roman"/>
          <w:b w:val="false"/>
          <w:bCs w:val="false"/>
          <w:sz w:val="18"/>
          <w:szCs w:val="18"/>
        </w:rPr>
      </w:pPr>
      <w:r>
        <w:rPr>
          <w:rFonts w:eastAsia="Times New Roman" w:cs="Times New Roman" w:ascii="Times New Roman" w:hAnsi="Times New Roman"/>
          <w:b w:val="false"/>
          <w:bCs w:val="false"/>
          <w:sz w:val="18"/>
          <w:szCs w:val="18"/>
          <w:lang w:val="en-US"/>
        </w:rPr>
        <w:t xml:space="preserve">[2] </w:t>
      </w:r>
      <w:r>
        <w:rPr>
          <w:rFonts w:ascii="Times New Roman" w:hAnsi="Times New Roman"/>
          <w:b w:val="false"/>
          <w:bCs w:val="false"/>
          <w:sz w:val="18"/>
          <w:szCs w:val="18"/>
        </w:rPr>
        <w:t>Vetvik KG, MacGregor EA. Sex differences in the epidemiology, clinical features, and pathophysiology of migraine. Lancet Neurol. 2017;16(1):76–87</w:t>
      </w:r>
      <w:r>
        <w:rPr>
          <w:rFonts w:eastAsia="Times New Roman" w:cs="Times New Roman" w:ascii="Times New Roman" w:hAnsi="Times New Roman"/>
          <w:b w:val="false"/>
          <w:bCs w:val="false"/>
          <w:sz w:val="18"/>
          <w:szCs w:val="18"/>
          <w:lang w:val="en-US"/>
        </w:rPr>
        <w:t>. https://doi.org/10.1016/S1474-4422(16)30293-9</w:t>
      </w:r>
    </w:p>
    <w:p>
      <w:pPr>
        <w:pStyle w:val="LO-normal"/>
        <w:spacing w:lineRule="auto" w:line="360"/>
        <w:rPr>
          <w:rFonts w:ascii="Times New Roman" w:hAnsi="Times New Roman" w:eastAsia="Times New Roman" w:cs="Times New Roman"/>
          <w:b w:val="false"/>
          <w:bCs w:val="false"/>
          <w:sz w:val="18"/>
          <w:szCs w:val="18"/>
          <w:lang w:val="en-US"/>
        </w:rPr>
      </w:pPr>
      <w:r>
        <w:rPr>
          <w:rFonts w:eastAsia="Times New Roman" w:cs="Times New Roman" w:ascii="Times New Roman" w:hAnsi="Times New Roman"/>
          <w:b w:val="false"/>
          <w:bCs w:val="false"/>
          <w:sz w:val="18"/>
          <w:szCs w:val="18"/>
          <w:lang w:val="en-US"/>
        </w:rPr>
      </w:r>
    </w:p>
    <w:p>
      <w:pPr>
        <w:pStyle w:val="LO-normal"/>
        <w:spacing w:lineRule="auto" w:line="360"/>
        <w:rPr/>
      </w:pPr>
      <w:r>
        <w:rPr>
          <w:rFonts w:eastAsia="Times New Roman" w:cs="Times New Roman" w:ascii="Times New Roman" w:hAnsi="Times New Roman"/>
          <w:b w:val="false"/>
          <w:bCs w:val="false"/>
          <w:sz w:val="18"/>
          <w:szCs w:val="18"/>
          <w:lang w:val="en-US"/>
        </w:rPr>
        <w:t xml:space="preserve">[3] </w:t>
      </w:r>
      <w:r>
        <w:rPr>
          <w:rFonts w:ascii="Times New Roman" w:hAnsi="Times New Roman"/>
          <w:b w:val="false"/>
          <w:bCs w:val="false"/>
          <w:sz w:val="18"/>
          <w:szCs w:val="18"/>
        </w:rPr>
        <w:t xml:space="preserve">Li X, Wu D, Cooper NGF, Rai SN. Sample size calculations for the differential expression analysis of RNA-seq data using a negative binomial regression model. Stat Appl Genet Mol Biol. 2019;18(1):20180021. </w:t>
      </w:r>
      <w:r>
        <w:rPr>
          <w:rFonts w:eastAsia="Times New Roman" w:cs="Times New Roman" w:ascii="Times New Roman" w:hAnsi="Times New Roman"/>
          <w:b w:val="false"/>
          <w:bCs w:val="false"/>
          <w:sz w:val="18"/>
          <w:szCs w:val="18"/>
          <w:lang w:val="en-US"/>
        </w:rPr>
        <w:t>https://</w:t>
      </w:r>
      <w:r>
        <w:rPr>
          <w:rFonts w:ascii="Times New Roman" w:hAnsi="Times New Roman"/>
          <w:b w:val="false"/>
          <w:bCs w:val="false"/>
          <w:sz w:val="18"/>
          <w:szCs w:val="18"/>
        </w:rPr>
        <w:t xml:space="preserve">doi:10.1515/sagmb-2018-0021. </w:t>
      </w:r>
    </w:p>
    <w:p>
      <w:pPr>
        <w:pStyle w:val="LO-normal"/>
        <w:spacing w:lineRule="auto" w:line="360"/>
        <w:rPr>
          <w:rFonts w:ascii="Times New Roman" w:hAnsi="Times New Roman" w:eastAsia="Times New Roman" w:cs="Times New Roman"/>
          <w:b/>
          <w:bCs/>
          <w:sz w:val="18"/>
          <w:szCs w:val="18"/>
          <w:lang w:val="en-US"/>
        </w:rPr>
      </w:pPr>
      <w:r>
        <w:rPr>
          <w:rFonts w:eastAsia="Times New Roman" w:cs="Times New Roman" w:ascii="Times New Roman" w:hAnsi="Times New Roman"/>
          <w:b/>
          <w:bCs/>
          <w:sz w:val="18"/>
          <w:szCs w:val="18"/>
          <w:lang w:val="en-US"/>
        </w:rPr>
      </w:r>
    </w:p>
    <w:p>
      <w:pPr>
        <w:pStyle w:val="LO-normal"/>
        <w:spacing w:lineRule="auto" w:line="360"/>
        <w:rPr>
          <w:rFonts w:ascii="Times New Roman" w:hAnsi="Times New Roman" w:eastAsia="Times New Roman" w:cs="Times New Roman"/>
          <w:b/>
          <w:bCs/>
          <w:sz w:val="18"/>
          <w:szCs w:val="18"/>
          <w:lang w:val="en-US"/>
        </w:rPr>
      </w:pPr>
      <w:r>
        <w:rPr>
          <w:rFonts w:eastAsia="Times New Roman" w:cs="Times New Roman" w:ascii="Times New Roman" w:hAnsi="Times New Roman"/>
          <w:b/>
          <w:bCs/>
          <w:sz w:val="18"/>
          <w:szCs w:val="18"/>
          <w:lang w:val="en-US"/>
        </w:rPr>
      </w:r>
    </w:p>
    <w:sectPr>
      <w:headerReference w:type="default" r:id="rId15"/>
      <w:footerReference w:type="default" r:id="rId16"/>
      <w:type w:val="nextPage"/>
      <w:pgSz w:w="11906" w:h="16838"/>
      <w:pgMar w:left="1440" w:right="1440" w:gutter="0" w:header="720" w:top="1440" w:footer="72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variable"/>
  </w:font>
  <w:font w:name="Times new roman">
    <w:charset w:val="01"/>
    <w:family w:val="roman"/>
    <w:pitch w:val="variable"/>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rPr>
        <w:lang w:val="en-US"/>
      </w:rPr>
    </w:pPr>
    <w:r>
      <w:rPr>
        <w:lang w:val="en-US"/>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rPr>
        <w:lang w:val="en-US"/>
      </w:rPr>
    </w:pPr>
    <w:r>
      <w:rPr>
        <w:lang w:val="en-U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1.%2."/>
      <w:lvlJc w:val="left"/>
      <w:pPr>
        <w:tabs>
          <w:tab w:val="num" w:pos="1080"/>
        </w:tabs>
        <w:ind w:left="1080" w:hanging="360"/>
      </w:pPr>
      <w:rPr/>
    </w:lvl>
    <w:lvl w:ilvl="2">
      <w:start w:val="1"/>
      <w:numFmt w:val="decimal"/>
      <w:lvlText w:val="%1.%2.%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0"/>
  <w:revisionView w:insDel="0" w:formatting="0"/>
  <w:defaultTabStop w:val="720"/>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hu-HU"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de-DE"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LO-normal"/>
    <w:next w:val="LO-normal"/>
    <w:uiPriority w:val="9"/>
    <w:qFormat/>
    <w:pPr>
      <w:keepNext w:val="true"/>
      <w:keepLines/>
      <w:spacing w:lineRule="auto" w:line="240" w:before="400" w:after="120"/>
      <w:outlineLvl w:val="0"/>
    </w:pPr>
    <w:rPr>
      <w:sz w:val="40"/>
      <w:szCs w:val="40"/>
    </w:rPr>
  </w:style>
  <w:style w:type="paragraph" w:styleId="Heading2">
    <w:name w:val="Heading 2"/>
    <w:basedOn w:val="LO-normal"/>
    <w:next w:val="LO-normal"/>
    <w:uiPriority w:val="9"/>
    <w:semiHidden/>
    <w:unhideWhenUsed/>
    <w:qFormat/>
    <w:pPr>
      <w:keepNext w:val="true"/>
      <w:keepLines/>
      <w:spacing w:lineRule="auto" w:line="240" w:before="360" w:after="120"/>
      <w:outlineLvl w:val="1"/>
    </w:pPr>
    <w:rPr>
      <w:sz w:val="32"/>
      <w:szCs w:val="32"/>
    </w:rPr>
  </w:style>
  <w:style w:type="paragraph" w:styleId="Heading3">
    <w:name w:val="Heading 3"/>
    <w:basedOn w:val="LO-normal"/>
    <w:next w:val="LO-normal"/>
    <w:uiPriority w:val="9"/>
    <w:semiHidden/>
    <w:unhideWhenUsed/>
    <w:qFormat/>
    <w:pPr>
      <w:keepNext w:val="true"/>
      <w:keepLines/>
      <w:spacing w:lineRule="auto" w:line="240" w:before="320" w:after="80"/>
      <w:outlineLvl w:val="2"/>
    </w:pPr>
    <w:rPr>
      <w:color w:val="434343"/>
      <w:sz w:val="28"/>
      <w:szCs w:val="28"/>
    </w:rPr>
  </w:style>
  <w:style w:type="paragraph" w:styleId="Heading4">
    <w:name w:val="Heading 4"/>
    <w:basedOn w:val="LO-normal"/>
    <w:next w:val="LO-normal"/>
    <w:uiPriority w:val="9"/>
    <w:semiHidden/>
    <w:unhideWhenUsed/>
    <w:qFormat/>
    <w:pPr>
      <w:keepNext w:val="true"/>
      <w:keepLines/>
      <w:spacing w:lineRule="auto" w:line="240" w:before="280" w:after="80"/>
      <w:outlineLvl w:val="3"/>
    </w:pPr>
    <w:rPr>
      <w:color w:val="666666"/>
      <w:sz w:val="24"/>
      <w:szCs w:val="24"/>
    </w:rPr>
  </w:style>
  <w:style w:type="paragraph" w:styleId="Heading5">
    <w:name w:val="Heading 5"/>
    <w:basedOn w:val="LO-normal"/>
    <w:next w:val="LO-normal"/>
    <w:uiPriority w:val="9"/>
    <w:semiHidden/>
    <w:unhideWhenUsed/>
    <w:qFormat/>
    <w:pPr>
      <w:keepNext w:val="true"/>
      <w:keepLines/>
      <w:spacing w:lineRule="auto" w:line="240" w:before="240" w:after="80"/>
      <w:outlineLvl w:val="4"/>
    </w:pPr>
    <w:rPr>
      <w:color w:val="666666"/>
    </w:rPr>
  </w:style>
  <w:style w:type="paragraph" w:styleId="Heading6">
    <w:name w:val="Heading 6"/>
    <w:basedOn w:val="LO-normal"/>
    <w:next w:val="LO-normal"/>
    <w:uiPriority w:val="9"/>
    <w:semiHidden/>
    <w:unhideWhenUsed/>
    <w:qFormat/>
    <w:pPr>
      <w:keepNext w:val="true"/>
      <w:keepLines/>
      <w:spacing w:lineRule="auto" w:line="240" w:before="240" w:after="80"/>
      <w:outlineLvl w:val="5"/>
    </w:pPr>
    <w:rPr>
      <w:i/>
      <w:color w:val="666666"/>
    </w:rPr>
  </w:style>
  <w:style w:type="character" w:styleId="DefaultParagraphFont" w:default="1">
    <w:name w:val="Default Paragraph Font"/>
    <w:uiPriority w:val="1"/>
    <w:unhideWhenUsed/>
    <w:qFormat/>
    <w:rPr/>
  </w:style>
  <w:style w:type="character" w:styleId="LineNumber">
    <w:name w:val="Line Number"/>
    <w:rPr/>
  </w:style>
  <w:style w:type="character" w:styleId="Hyperlink">
    <w:name w:val="Hyperlink"/>
    <w:rPr>
      <w:color w:val="0000FF"/>
      <w:u w:val="single"/>
    </w:rPr>
  </w:style>
  <w:style w:type="character" w:styleId="FollowedHyperlink">
    <w:name w:val="FollowedHyperlink"/>
    <w:rPr>
      <w:color w:val="800080"/>
      <w:u w:val="single"/>
    </w:rPr>
  </w:style>
  <w:style w:type="character" w:styleId="WW8Num2z0">
    <w:name w:val="WW8Num2z0"/>
    <w:qFormat/>
    <w:rPr>
      <w:rFonts w:cs="Symbol"/>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customStyle="1">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rFonts w:cs="Lohit Devanagari"/>
    </w:rPr>
  </w:style>
  <w:style w:type="paragraph" w:styleId="Title">
    <w:name w:val="Title"/>
    <w:basedOn w:val="LO-normal"/>
    <w:next w:val="LO-normal"/>
    <w:uiPriority w:val="10"/>
    <w:qFormat/>
    <w:pPr>
      <w:keepNext w:val="true"/>
      <w:keepLines/>
      <w:spacing w:lineRule="auto" w:line="240" w:before="240" w:after="60"/>
    </w:pPr>
    <w:rPr>
      <w:sz w:val="52"/>
      <w:szCs w:val="52"/>
    </w:rPr>
  </w:style>
  <w:style w:type="paragraph" w:styleId="Caption1">
    <w:name w:val="caption1"/>
    <w:basedOn w:val="Normal"/>
    <w:qFormat/>
    <w:pPr>
      <w:suppressLineNumbers/>
      <w:spacing w:before="120" w:after="120"/>
    </w:pPr>
    <w:rPr>
      <w:rFonts w:cs="Lohit Devanagari"/>
      <w:i/>
      <w:iCs/>
      <w:sz w:val="24"/>
      <w:szCs w:val="24"/>
    </w:rPr>
  </w:style>
  <w:style w:type="paragraph" w:styleId="LO-normal" w:customStyle="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de-DE" w:eastAsia="zh-CN" w:bidi="hi-IN"/>
    </w:rPr>
  </w:style>
  <w:style w:type="paragraph" w:styleId="Subtitle">
    <w:name w:val="Subtitle"/>
    <w:basedOn w:val="Normal"/>
    <w:next w:val="Normal"/>
    <w:uiPriority w:val="11"/>
    <w:qFormat/>
    <w:pPr>
      <w:keepNext w:val="true"/>
      <w:keepLines/>
      <w:spacing w:lineRule="auto" w:line="240" w:before="0" w:after="320"/>
    </w:pPr>
    <w:rPr>
      <w:color w:val="666666"/>
      <w:sz w:val="30"/>
      <w:szCs w:val="30"/>
    </w:rPr>
  </w:style>
  <w:style w:type="paragraph" w:styleId="HeaderandFooter" w:customStyle="1">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Revision">
    <w:name w:val="Revision"/>
    <w:uiPriority w:val="99"/>
    <w:semiHidden/>
    <w:qFormat/>
    <w:rsid w:val="008c0a02"/>
    <w:pPr>
      <w:widowControl/>
      <w:suppressAutoHyphens w:val="true"/>
      <w:bidi w:val="0"/>
      <w:spacing w:lineRule="auto" w:line="240" w:before="0" w:after="0"/>
      <w:jc w:val="left"/>
    </w:pPr>
    <w:rPr>
      <w:rFonts w:ascii="Arial" w:hAnsi="Arial" w:eastAsia="Arial" w:cs="Mangal"/>
      <w:color w:val="auto"/>
      <w:kern w:val="0"/>
      <w:sz w:val="22"/>
      <w:szCs w:val="20"/>
      <w:lang w:val="en-US" w:eastAsia="zh-CN" w:bidi="hi-IN"/>
    </w:rPr>
  </w:style>
  <w:style w:type="paragraph" w:styleId="BaseText">
    <w:name w:val="Base_Text"/>
    <w:qFormat/>
    <w:pPr>
      <w:widowControl/>
      <w:suppressAutoHyphens w:val="true"/>
      <w:bidi w:val="0"/>
      <w:spacing w:lineRule="auto" w:line="276" w:before="120" w:after="0"/>
      <w:jc w:val="left"/>
    </w:pPr>
    <w:rPr>
      <w:rFonts w:ascii="Times New Roman" w:hAnsi="Times New Roman" w:eastAsia="Times New Roman" w:cs="Times New Roman"/>
      <w:color w:val="auto"/>
      <w:kern w:val="0"/>
      <w:sz w:val="24"/>
      <w:szCs w:val="24"/>
      <w:lang w:val="en-US" w:eastAsia="en-US" w:bidi="ar-SA"/>
    </w:rPr>
  </w:style>
  <w:style w:type="paragraph" w:styleId="Paragraph">
    <w:name w:val="Paragraph"/>
    <w:basedOn w:val="BaseText"/>
    <w:qFormat/>
    <w:pPr>
      <w:ind w:firstLine="720"/>
    </w:pPr>
    <w:rPr/>
  </w:style>
  <w:style w:type="paragraph" w:styleId="Teaser">
    <w:name w:val="Teaser"/>
    <w:basedOn w:val="BaseText"/>
    <w:qFormat/>
    <w:pPr/>
    <w:rPr/>
  </w:style>
  <w:style w:type="paragraph" w:styleId="NoSpacing">
    <w:name w:val="No Spacing"/>
    <w:basedOn w:val="Normal"/>
    <w:qFormat/>
    <w:pPr>
      <w:spacing w:lineRule="auto" w:line="240" w:before="0" w:after="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numbering" w:styleId="WW8Num2">
    <w:name w:val="WW8Num2"/>
    <w:qFormat/>
  </w:style>
  <w:style w:type="table" w:default="1" w:styleId="Normltblzat">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styleId="Rcsostblzat">
    <w:name w:val="Table Grid"/>
    <w:basedOn w:val="Normltblzat"/>
    <w:uiPriority w:val="39"/>
    <w:rsid w:val="009d59fa"/>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juhasz.gabriella@semmelweis.hu" TargetMode="External"/><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2.jpeg"/><Relationship Id="rId7" Type="http://schemas.openxmlformats.org/officeDocument/2006/relationships/image" Target="media/image2.jpeg"/><Relationship Id="rId8" Type="http://schemas.openxmlformats.org/officeDocument/2006/relationships/image" Target="media/image2.jpeg"/><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R00Ckm3btfUHjZ39Fy6mk+piI5g==">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</go:docsCustomData>
</go:gDocsCustomXmlDataStorage>
</file>

<file path=customXml/itemProps1.xml><?xml version="1.0" encoding="utf-8"?>
<ds:datastoreItem xmlns:ds="http://schemas.openxmlformats.org/officeDocument/2006/customXml" ds:itemID="{10EA87BD-09F7-4112-8500-ABC12D57E09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Application>LibreOffice/7.6.7.2$Linux_X86_64 LibreOffice_project/60$Build-2</Application>
  <AppVersion>15.0000</AppVersion>
  <Pages>22</Pages>
  <Words>3367</Words>
  <Characters>19697</Characters>
  <CharactersWithSpaces>22807</CharactersWithSpaces>
  <Paragraphs>339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2024-05-16T15:22:00Z</dcterms:created>
  <dc:creator/>
  <dc:description/>
  <dc:language>en-US</dc:language>
  <cp:lastModifiedBy>Sahel Kumar</cp:lastModifiedBy>
  <dcterms:modified xsi:type="dcterms:W3CDTF">2025-03-30T15:32:18Z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f2f3497add2f8de1e7c79fa4d5570f1531ba03c945644f5e07697b4228c9136d</vt:lpwstr>
  </property>
</Properties>
</file>