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81243">
      <w:pPr>
        <w:rPr>
          <w:rFonts w:eastAsia="Times New Roman"/>
          <w:b/>
          <w:sz w:val="20"/>
          <w:szCs w:val="20"/>
          <w:lang w:eastAsia="en-GB"/>
        </w:rPr>
      </w:pPr>
      <w:r>
        <w:rPr>
          <w:rFonts w:eastAsia="Times New Roman"/>
          <w:b/>
          <w:sz w:val="20"/>
          <w:szCs w:val="20"/>
          <w:lang w:eastAsia="en-GB"/>
        </w:rPr>
        <w:t>STROBE-MR checklist of recommended items to address in reports of Mendelian randomization studies</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14:paraId="78521282">
      <w:pPr>
        <w:rPr>
          <w:rFonts w:eastAsia="Times New Roman"/>
          <w:b/>
          <w:sz w:val="20"/>
          <w:szCs w:val="20"/>
          <w:lang w:eastAsia="en-GB"/>
        </w:rPr>
      </w:pPr>
    </w:p>
    <w:tbl>
      <w:tblPr>
        <w:tblStyle w:val="3"/>
        <w:tblW w:w="14490" w:type="dxa"/>
        <w:tblInd w:w="0" w:type="dxa"/>
        <w:tblLayout w:type="autofit"/>
        <w:tblCellMar>
          <w:top w:w="0" w:type="dxa"/>
          <w:left w:w="108" w:type="dxa"/>
          <w:bottom w:w="0" w:type="dxa"/>
          <w:right w:w="108" w:type="dxa"/>
        </w:tblCellMar>
      </w:tblPr>
      <w:tblGrid>
        <w:gridCol w:w="587"/>
        <w:gridCol w:w="1822"/>
        <w:gridCol w:w="7041"/>
        <w:gridCol w:w="720"/>
        <w:gridCol w:w="4320"/>
      </w:tblGrid>
      <w:tr w14:paraId="2F053672">
        <w:tblPrEx>
          <w:tblCellMar>
            <w:top w:w="0" w:type="dxa"/>
            <w:left w:w="108" w:type="dxa"/>
            <w:bottom w:w="0" w:type="dxa"/>
            <w:right w:w="108" w:type="dxa"/>
          </w:tblCellMar>
        </w:tblPrEx>
        <w:tc>
          <w:tcPr>
            <w:tcW w:w="587" w:type="dxa"/>
            <w:tcBorders>
              <w:top w:val="single" w:color="auto" w:sz="4" w:space="0"/>
              <w:bottom w:val="single" w:color="7F7F7F" w:sz="6" w:space="0"/>
            </w:tcBorders>
            <w:shd w:val="clear" w:color="auto" w:fill="auto"/>
          </w:tcPr>
          <w:p w14:paraId="586482A7">
            <w:pPr>
              <w:keepNext w:val="0"/>
              <w:keepLines w:val="0"/>
              <w:widowControl/>
              <w:suppressLineNumbers w:val="0"/>
              <w:spacing w:before="96" w:beforeLines="40" w:beforeAutospacing="0" w:after="96" w:afterLines="40" w:afterAutospacing="0" w:line="24" w:lineRule="atLeast"/>
              <w:ind w:left="0" w:right="0"/>
              <w:rPr>
                <w:rFonts w:hint="default" w:eastAsia="Cambria"/>
                <w:b/>
                <w:bCs/>
                <w:sz w:val="18"/>
                <w:szCs w:val="18"/>
                <w:lang w:val="en-GB" w:eastAsia="en-US"/>
              </w:rPr>
            </w:pPr>
            <w:r>
              <w:rPr>
                <w:rFonts w:hint="default" w:eastAsia="Cambria"/>
                <w:b/>
                <w:bCs/>
                <w:sz w:val="18"/>
                <w:szCs w:val="18"/>
                <w:lang w:val="en-GB" w:eastAsia="en-US"/>
              </w:rPr>
              <w:t>Item No.</w:t>
            </w:r>
          </w:p>
        </w:tc>
        <w:tc>
          <w:tcPr>
            <w:tcW w:w="1822" w:type="dxa"/>
            <w:tcBorders>
              <w:top w:val="single" w:color="auto" w:sz="4" w:space="0"/>
              <w:bottom w:val="single" w:color="7F7F7F" w:sz="6" w:space="0"/>
            </w:tcBorders>
            <w:shd w:val="clear" w:color="auto" w:fill="auto"/>
          </w:tcPr>
          <w:p w14:paraId="696869CB">
            <w:pPr>
              <w:keepNext w:val="0"/>
              <w:keepLines w:val="0"/>
              <w:widowControl/>
              <w:suppressLineNumbers w:val="0"/>
              <w:spacing w:before="96" w:beforeLines="40" w:beforeAutospacing="0" w:after="96" w:afterLines="40" w:afterAutospacing="0" w:line="24" w:lineRule="atLeast"/>
              <w:ind w:left="0" w:right="0"/>
              <w:rPr>
                <w:rFonts w:hint="default" w:eastAsia="Cambria"/>
                <w:b/>
                <w:bCs/>
                <w:sz w:val="18"/>
                <w:szCs w:val="18"/>
                <w:lang w:val="en-GB" w:eastAsia="en-US"/>
              </w:rPr>
            </w:pPr>
            <w:r>
              <w:rPr>
                <w:rFonts w:hint="default" w:eastAsia="Cambria"/>
                <w:b/>
                <w:bCs/>
                <w:sz w:val="18"/>
                <w:szCs w:val="18"/>
                <w:lang w:val="en-GB" w:eastAsia="en-US"/>
              </w:rPr>
              <w:t>Section</w:t>
            </w:r>
          </w:p>
        </w:tc>
        <w:tc>
          <w:tcPr>
            <w:tcW w:w="7041" w:type="dxa"/>
            <w:tcBorders>
              <w:top w:val="single" w:color="auto" w:sz="4" w:space="0"/>
              <w:bottom w:val="single" w:color="7F7F7F" w:sz="6" w:space="0"/>
            </w:tcBorders>
            <w:shd w:val="clear" w:color="auto" w:fill="auto"/>
          </w:tcPr>
          <w:p w14:paraId="6051A941">
            <w:pPr>
              <w:keepNext w:val="0"/>
              <w:keepLines w:val="0"/>
              <w:widowControl/>
              <w:suppressLineNumbers w:val="0"/>
              <w:spacing w:before="96" w:beforeLines="40" w:beforeAutospacing="0" w:after="96" w:afterLines="40" w:afterAutospacing="0" w:line="24" w:lineRule="atLeast"/>
              <w:ind w:left="0" w:right="0"/>
              <w:rPr>
                <w:rFonts w:hint="default" w:eastAsia="Cambria"/>
                <w:b/>
                <w:bCs/>
                <w:sz w:val="18"/>
                <w:szCs w:val="18"/>
                <w:lang w:val="en-GB" w:eastAsia="en-US"/>
              </w:rPr>
            </w:pPr>
            <w:r>
              <w:rPr>
                <w:rFonts w:hint="default" w:eastAsia="Cambria"/>
                <w:b/>
                <w:bCs/>
                <w:sz w:val="18"/>
                <w:szCs w:val="18"/>
                <w:lang w:val="en-GB" w:eastAsia="en-US"/>
              </w:rPr>
              <w:t xml:space="preserve">Checklist item </w:t>
            </w:r>
          </w:p>
        </w:tc>
        <w:tc>
          <w:tcPr>
            <w:tcW w:w="720" w:type="dxa"/>
            <w:tcBorders>
              <w:top w:val="single" w:color="auto" w:sz="4" w:space="0"/>
              <w:bottom w:val="single" w:color="7F7F7F" w:sz="6" w:space="0"/>
            </w:tcBorders>
          </w:tcPr>
          <w:p w14:paraId="3EC46620">
            <w:pPr>
              <w:keepNext w:val="0"/>
              <w:keepLines w:val="0"/>
              <w:widowControl/>
              <w:suppressLineNumbers w:val="0"/>
              <w:spacing w:before="96" w:beforeLines="40" w:beforeAutospacing="0" w:after="96" w:afterLines="40" w:afterAutospacing="0" w:line="24" w:lineRule="atLeast"/>
              <w:ind w:left="0" w:right="0"/>
              <w:rPr>
                <w:rFonts w:hint="default" w:eastAsia="Cambria"/>
                <w:b/>
                <w:bCs/>
                <w:sz w:val="18"/>
                <w:szCs w:val="18"/>
                <w:lang w:val="en-GB" w:eastAsia="en-US"/>
              </w:rPr>
            </w:pPr>
            <w:r>
              <w:rPr>
                <w:rFonts w:hint="default" w:eastAsia="Cambria"/>
                <w:b/>
                <w:bCs/>
                <w:sz w:val="18"/>
                <w:szCs w:val="18"/>
                <w:lang w:val="en-GB" w:eastAsia="en-US"/>
              </w:rPr>
              <w:t>Page No.</w:t>
            </w:r>
          </w:p>
        </w:tc>
        <w:tc>
          <w:tcPr>
            <w:tcW w:w="4320" w:type="dxa"/>
            <w:tcBorders>
              <w:top w:val="single" w:color="auto" w:sz="4" w:space="0"/>
              <w:bottom w:val="single" w:color="7F7F7F" w:sz="6" w:space="0"/>
            </w:tcBorders>
          </w:tcPr>
          <w:p w14:paraId="7C2EEC4F">
            <w:pPr>
              <w:keepNext w:val="0"/>
              <w:keepLines w:val="0"/>
              <w:widowControl/>
              <w:suppressLineNumbers w:val="0"/>
              <w:spacing w:before="96" w:beforeLines="40" w:beforeAutospacing="0" w:after="96" w:afterLines="40" w:afterAutospacing="0" w:line="24" w:lineRule="atLeast"/>
              <w:ind w:left="0" w:right="0"/>
              <w:rPr>
                <w:rFonts w:hint="default" w:eastAsia="Cambria"/>
                <w:b/>
                <w:bCs/>
                <w:sz w:val="18"/>
                <w:szCs w:val="18"/>
                <w:lang w:val="en-GB" w:eastAsia="en-US"/>
              </w:rPr>
            </w:pPr>
            <w:r>
              <w:rPr>
                <w:rFonts w:hint="default" w:eastAsia="Cambria"/>
                <w:b/>
                <w:bCs/>
                <w:sz w:val="18"/>
                <w:szCs w:val="18"/>
                <w:lang w:val="en-GB" w:eastAsia="en-US"/>
              </w:rPr>
              <w:t>Relevant text from manuscript</w:t>
            </w:r>
          </w:p>
        </w:tc>
      </w:tr>
      <w:tr w14:paraId="357CEC92">
        <w:tblPrEx>
          <w:tblCellMar>
            <w:top w:w="0" w:type="dxa"/>
            <w:left w:w="108" w:type="dxa"/>
            <w:bottom w:w="0" w:type="dxa"/>
            <w:right w:w="108" w:type="dxa"/>
          </w:tblCellMar>
        </w:tblPrEx>
        <w:tc>
          <w:tcPr>
            <w:tcW w:w="587" w:type="dxa"/>
            <w:tcBorders>
              <w:top w:val="single" w:color="7F7F7F" w:sz="6" w:space="0"/>
              <w:bottom w:val="single" w:color="7F7F7F" w:sz="6" w:space="0"/>
            </w:tcBorders>
            <w:shd w:val="clear" w:color="auto" w:fill="EEEEEE"/>
          </w:tcPr>
          <w:p w14:paraId="123D07D7">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w:t>
            </w:r>
          </w:p>
        </w:tc>
        <w:tc>
          <w:tcPr>
            <w:tcW w:w="1822" w:type="dxa"/>
            <w:tcBorders>
              <w:top w:val="single" w:color="7F7F7F" w:sz="6" w:space="0"/>
              <w:bottom w:val="single" w:color="7F7F7F" w:sz="6" w:space="0"/>
            </w:tcBorders>
            <w:shd w:val="clear" w:color="auto" w:fill="EEEEEE"/>
          </w:tcPr>
          <w:p w14:paraId="0E4A7F57">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TITLE and ABSTRACT</w:t>
            </w:r>
          </w:p>
        </w:tc>
        <w:tc>
          <w:tcPr>
            <w:tcW w:w="7041" w:type="dxa"/>
            <w:tcBorders>
              <w:top w:val="single" w:color="7F7F7F" w:sz="6" w:space="0"/>
              <w:bottom w:val="single" w:color="7F7F7F" w:sz="6" w:space="0"/>
            </w:tcBorders>
            <w:shd w:val="clear" w:color="auto" w:fill="EEEEEE"/>
          </w:tcPr>
          <w:p w14:paraId="69F98A3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Indicate Mendelian randomization (MR) as the study’s design in the title and/or the abstract if that is a main purpose of the study</w:t>
            </w:r>
          </w:p>
        </w:tc>
        <w:tc>
          <w:tcPr>
            <w:tcW w:w="720" w:type="dxa"/>
            <w:tcBorders>
              <w:top w:val="single" w:color="7F7F7F" w:sz="6" w:space="0"/>
              <w:bottom w:val="single" w:color="7F7F7F" w:sz="6" w:space="0"/>
            </w:tcBorders>
            <w:shd w:val="clear" w:color="auto" w:fill="EEEEEE"/>
          </w:tcPr>
          <w:p w14:paraId="5B74D31C">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1-2</w:t>
            </w:r>
          </w:p>
        </w:tc>
        <w:tc>
          <w:tcPr>
            <w:tcW w:w="4320" w:type="dxa"/>
            <w:tcBorders>
              <w:top w:val="single" w:color="7F7F7F" w:sz="6" w:space="0"/>
              <w:bottom w:val="single" w:color="7F7F7F" w:sz="6" w:space="0"/>
            </w:tcBorders>
            <w:shd w:val="clear" w:color="auto" w:fill="EEEEEE"/>
            <w:vAlign w:val="center"/>
          </w:tcPr>
          <w:p w14:paraId="0DFB5F12">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rPr>
            </w:pPr>
            <w:r>
              <w:rPr>
                <w:rFonts w:hint="default" w:ascii="Times New Roman" w:hAnsi="Times New Roman" w:eastAsia="等线" w:cs="Times New Roman"/>
                <w:color w:val="000000"/>
                <w:sz w:val="20"/>
                <w:szCs w:val="20"/>
                <w:lang w:val="en-US" w:eastAsia="zh-CN" w:bidi="ar"/>
              </w:rPr>
              <w:t>"Mendelian randomization" is named in the title and abstract</w:t>
            </w:r>
          </w:p>
        </w:tc>
      </w:tr>
      <w:tr w14:paraId="230FD9AB">
        <w:tblPrEx>
          <w:tblCellMar>
            <w:top w:w="0" w:type="dxa"/>
            <w:left w:w="108" w:type="dxa"/>
            <w:bottom w:w="0" w:type="dxa"/>
            <w:right w:w="108" w:type="dxa"/>
          </w:tblCellMar>
        </w:tblPrEx>
        <w:tc>
          <w:tcPr>
            <w:tcW w:w="587" w:type="dxa"/>
            <w:tcBorders>
              <w:top w:val="single" w:color="7F7F7F" w:sz="6" w:space="0"/>
            </w:tcBorders>
            <w:shd w:val="clear" w:color="auto" w:fill="auto"/>
          </w:tcPr>
          <w:p w14:paraId="7CCA112E">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p>
        </w:tc>
        <w:tc>
          <w:tcPr>
            <w:tcW w:w="1822" w:type="dxa"/>
            <w:tcBorders>
              <w:top w:val="single" w:color="7F7F7F" w:sz="6" w:space="0"/>
            </w:tcBorders>
            <w:shd w:val="clear" w:color="auto" w:fill="auto"/>
          </w:tcPr>
          <w:p w14:paraId="0F4C2312">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INTRODUCTION</w:t>
            </w:r>
          </w:p>
        </w:tc>
        <w:tc>
          <w:tcPr>
            <w:tcW w:w="7041" w:type="dxa"/>
            <w:tcBorders>
              <w:top w:val="single" w:color="7F7F7F" w:sz="6" w:space="0"/>
            </w:tcBorders>
            <w:shd w:val="clear" w:color="auto" w:fill="auto"/>
          </w:tcPr>
          <w:p w14:paraId="4EFC29A4">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720" w:type="dxa"/>
            <w:tcBorders>
              <w:top w:val="single" w:color="7F7F7F" w:sz="6" w:space="0"/>
            </w:tcBorders>
          </w:tcPr>
          <w:p w14:paraId="6FA9DCD5">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4320" w:type="dxa"/>
            <w:tcBorders>
              <w:top w:val="single" w:color="7F7F7F" w:sz="6" w:space="0"/>
            </w:tcBorders>
          </w:tcPr>
          <w:p w14:paraId="476F4B72">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r>
      <w:tr w14:paraId="23947A30">
        <w:tblPrEx>
          <w:tblCellMar>
            <w:top w:w="0" w:type="dxa"/>
            <w:left w:w="108" w:type="dxa"/>
            <w:bottom w:w="0" w:type="dxa"/>
            <w:right w:w="108" w:type="dxa"/>
          </w:tblCellMar>
        </w:tblPrEx>
        <w:tc>
          <w:tcPr>
            <w:tcW w:w="587" w:type="dxa"/>
            <w:shd w:val="clear" w:color="auto" w:fill="EEEEEE"/>
          </w:tcPr>
          <w:p w14:paraId="53108CC0">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2</w:t>
            </w:r>
          </w:p>
        </w:tc>
        <w:tc>
          <w:tcPr>
            <w:tcW w:w="1822" w:type="dxa"/>
            <w:shd w:val="clear" w:color="auto" w:fill="EEEEEE"/>
          </w:tcPr>
          <w:p w14:paraId="3522A8B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Background</w:t>
            </w:r>
          </w:p>
        </w:tc>
        <w:tc>
          <w:tcPr>
            <w:tcW w:w="7041" w:type="dxa"/>
            <w:shd w:val="clear" w:color="auto" w:fill="EEEEEE"/>
          </w:tcPr>
          <w:p w14:paraId="37CE0918">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720" w:type="dxa"/>
            <w:shd w:val="clear" w:color="auto" w:fill="EEEEEE"/>
          </w:tcPr>
          <w:p w14:paraId="065C1688">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4</w:t>
            </w:r>
          </w:p>
        </w:tc>
        <w:tc>
          <w:tcPr>
            <w:tcW w:w="4320" w:type="dxa"/>
            <w:shd w:val="clear" w:color="auto" w:fill="EEEEEE"/>
            <w:vAlign w:val="center"/>
          </w:tcPr>
          <w:p w14:paraId="64C3A78B">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r>
              <w:rPr>
                <w:rFonts w:hint="default" w:ascii="Times New Roman" w:hAnsi="Times New Roman" w:eastAsia="等线" w:cs="Times New Roman"/>
                <w:color w:val="000000"/>
                <w:sz w:val="20"/>
                <w:szCs w:val="20"/>
                <w:lang w:val="en-US" w:eastAsia="zh-CN" w:bidi="ar"/>
              </w:rPr>
              <w:t>In the “Introduction” section, we discussed why</w:t>
            </w:r>
            <w:r>
              <w:rPr>
                <w:rFonts w:hint="eastAsia" w:ascii="Times New Roman" w:hAnsi="Times New Roman" w:eastAsia="等线" w:cs="Times New Roman"/>
                <w:color w:val="000000"/>
                <w:sz w:val="20"/>
                <w:szCs w:val="20"/>
                <w:lang w:val="en-US" w:eastAsia="zh-CN" w:bidi="ar"/>
              </w:rPr>
              <w:t xml:space="preserve"> the brain imaging phenotypes, brain and cerebrospinal fluid metabolites and brain genes </w:t>
            </w:r>
            <w:r>
              <w:rPr>
                <w:rFonts w:hint="eastAsia" w:ascii="Times New Roman" w:hAnsi="Times New Roman" w:eastAsia="等线" w:cs="Times New Roman"/>
                <w:color w:val="000000"/>
                <w:sz w:val="20"/>
                <w:szCs w:val="20"/>
                <w:lang w:val="en-US" w:eastAsia="zh-CN" w:bidi="ar"/>
              </w:rPr>
              <w:t>are</w:t>
            </w:r>
            <w:r>
              <w:rPr>
                <w:rFonts w:hint="default" w:ascii="Times New Roman" w:hAnsi="Times New Roman" w:eastAsia="等线" w:cs="Times New Roman"/>
                <w:color w:val="000000"/>
                <w:sz w:val="20"/>
                <w:szCs w:val="20"/>
                <w:lang w:val="en-US" w:eastAsia="zh-CN" w:bidi="ar"/>
              </w:rPr>
              <w:t xml:space="preserve"> causal exposure</w:t>
            </w:r>
            <w:r>
              <w:rPr>
                <w:rFonts w:hint="eastAsia" w:ascii="Times New Roman" w:hAnsi="Times New Roman" w:eastAsia="等线" w:cs="Times New Roman"/>
                <w:color w:val="000000"/>
                <w:sz w:val="20"/>
                <w:szCs w:val="20"/>
                <w:lang w:val="en-US" w:eastAsia="zh-CN" w:bidi="ar"/>
              </w:rPr>
              <w:t>s</w:t>
            </w:r>
            <w:r>
              <w:rPr>
                <w:rFonts w:hint="default" w:ascii="Times New Roman" w:hAnsi="Times New Roman" w:eastAsia="等线" w:cs="Times New Roman"/>
                <w:color w:val="000000"/>
                <w:sz w:val="20"/>
                <w:szCs w:val="20"/>
                <w:lang w:val="en-US" w:eastAsia="zh-CN" w:bidi="ar"/>
              </w:rPr>
              <w:t xml:space="preserve"> for </w:t>
            </w:r>
            <w:r>
              <w:rPr>
                <w:rFonts w:hint="eastAsia" w:ascii="Times New Roman" w:hAnsi="Times New Roman" w:eastAsia="等线" w:cs="Times New Roman"/>
                <w:color w:val="000000"/>
                <w:sz w:val="20"/>
                <w:szCs w:val="20"/>
                <w:lang w:val="en-US" w:eastAsia="zh-CN" w:bidi="ar"/>
              </w:rPr>
              <w:t>migraine subtypes</w:t>
            </w:r>
            <w:r>
              <w:rPr>
                <w:rFonts w:hint="default" w:ascii="Times New Roman" w:hAnsi="Times New Roman" w:eastAsia="等线" w:cs="Times New Roman"/>
                <w:color w:val="000000"/>
                <w:sz w:val="20"/>
                <w:szCs w:val="20"/>
                <w:lang w:val="en-US" w:eastAsia="zh-CN" w:bidi="ar"/>
              </w:rPr>
              <w:t xml:space="preserve">. In the </w:t>
            </w:r>
            <w:r>
              <w:rPr>
                <w:rFonts w:hint="eastAsia" w:ascii="Times New Roman" w:hAnsi="Times New Roman" w:eastAsia="等线" w:cs="Times New Roman"/>
                <w:color w:val="000000"/>
                <w:sz w:val="20"/>
                <w:szCs w:val="20"/>
                <w:lang w:val="en-US" w:eastAsia="zh-CN" w:bidi="ar"/>
              </w:rPr>
              <w:t>forth</w:t>
            </w:r>
            <w:r>
              <w:rPr>
                <w:rFonts w:hint="default" w:ascii="Times New Roman" w:hAnsi="Times New Roman" w:eastAsia="等线" w:cs="Times New Roman"/>
                <w:color w:val="000000"/>
                <w:sz w:val="20"/>
                <w:szCs w:val="20"/>
                <w:lang w:val="en-US" w:eastAsia="zh-CN" w:bidi="ar"/>
              </w:rPr>
              <w:t xml:space="preserve"> paragraph of the Introduction section, we discuss why Mendelian randomization is useful.</w:t>
            </w:r>
          </w:p>
        </w:tc>
      </w:tr>
      <w:tr w14:paraId="37BAABE5">
        <w:tblPrEx>
          <w:tblCellMar>
            <w:top w:w="0" w:type="dxa"/>
            <w:left w:w="108" w:type="dxa"/>
            <w:bottom w:w="0" w:type="dxa"/>
            <w:right w:w="108" w:type="dxa"/>
          </w:tblCellMar>
        </w:tblPrEx>
        <w:tc>
          <w:tcPr>
            <w:tcW w:w="587" w:type="dxa"/>
            <w:tcBorders>
              <w:bottom w:val="single" w:color="7F7F7F" w:sz="6" w:space="0"/>
            </w:tcBorders>
            <w:shd w:val="clear" w:color="auto" w:fill="auto"/>
          </w:tcPr>
          <w:p w14:paraId="5F32EC61">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3</w:t>
            </w:r>
          </w:p>
        </w:tc>
        <w:tc>
          <w:tcPr>
            <w:tcW w:w="1822" w:type="dxa"/>
            <w:tcBorders>
              <w:bottom w:val="single" w:color="7F7F7F" w:sz="6" w:space="0"/>
            </w:tcBorders>
            <w:shd w:val="clear" w:color="auto" w:fill="auto"/>
          </w:tcPr>
          <w:p w14:paraId="3A1BC59A">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Objectives</w:t>
            </w:r>
          </w:p>
        </w:tc>
        <w:tc>
          <w:tcPr>
            <w:tcW w:w="7041" w:type="dxa"/>
            <w:tcBorders>
              <w:bottom w:val="single" w:color="7F7F7F" w:sz="6" w:space="0"/>
            </w:tcBorders>
            <w:shd w:val="clear" w:color="auto" w:fill="auto"/>
          </w:tcPr>
          <w:p w14:paraId="2A80E631">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color="7F7F7F" w:sz="6" w:space="0"/>
            </w:tcBorders>
          </w:tcPr>
          <w:p w14:paraId="6E80D717">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4</w:t>
            </w:r>
          </w:p>
        </w:tc>
        <w:tc>
          <w:tcPr>
            <w:tcW w:w="4320" w:type="dxa"/>
            <w:tcBorders>
              <w:bottom w:val="single" w:color="7F7F7F" w:sz="6" w:space="0"/>
            </w:tcBorders>
            <w:vAlign w:val="center"/>
          </w:tcPr>
          <w:p w14:paraId="019990EB">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r>
              <w:rPr>
                <w:rFonts w:hint="default" w:ascii="Times New Roman" w:hAnsi="Times New Roman" w:eastAsia="等线" w:cs="Times New Roman"/>
                <w:color w:val="000000"/>
                <w:sz w:val="20"/>
                <w:szCs w:val="20"/>
                <w:lang w:val="en-US" w:eastAsia="zh-CN" w:bidi="ar"/>
              </w:rPr>
              <w:t xml:space="preserve">In the </w:t>
            </w:r>
            <w:r>
              <w:rPr>
                <w:rFonts w:hint="eastAsia" w:ascii="Times New Roman" w:hAnsi="Times New Roman" w:eastAsia="等线" w:cs="Times New Roman"/>
                <w:color w:val="000000"/>
                <w:sz w:val="20"/>
                <w:szCs w:val="20"/>
                <w:lang w:val="en-US" w:eastAsia="zh-CN" w:bidi="ar"/>
              </w:rPr>
              <w:t xml:space="preserve">forth </w:t>
            </w:r>
            <w:r>
              <w:rPr>
                <w:rFonts w:hint="default" w:ascii="Times New Roman" w:hAnsi="Times New Roman" w:eastAsia="等线" w:cs="Times New Roman"/>
                <w:color w:val="000000"/>
                <w:sz w:val="20"/>
                <w:szCs w:val="20"/>
                <w:lang w:val="en-US" w:eastAsia="zh-CN" w:bidi="ar"/>
              </w:rPr>
              <w:t>paragraph of “Introduction”, we describe the causal hypotheses of our study</w:t>
            </w:r>
          </w:p>
        </w:tc>
      </w:tr>
      <w:tr w14:paraId="14C26D88">
        <w:tblPrEx>
          <w:tblCellMar>
            <w:top w:w="0" w:type="dxa"/>
            <w:left w:w="108" w:type="dxa"/>
            <w:bottom w:w="0" w:type="dxa"/>
            <w:right w:w="108" w:type="dxa"/>
          </w:tblCellMar>
        </w:tblPrEx>
        <w:tc>
          <w:tcPr>
            <w:tcW w:w="587" w:type="dxa"/>
            <w:tcBorders>
              <w:top w:val="single" w:color="7F7F7F" w:sz="6" w:space="0"/>
            </w:tcBorders>
            <w:shd w:val="clear" w:color="auto" w:fill="EEEEEE"/>
          </w:tcPr>
          <w:p w14:paraId="63F9C321">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p>
        </w:tc>
        <w:tc>
          <w:tcPr>
            <w:tcW w:w="1822" w:type="dxa"/>
            <w:tcBorders>
              <w:top w:val="single" w:color="7F7F7F" w:sz="6" w:space="0"/>
            </w:tcBorders>
            <w:shd w:val="clear" w:color="auto" w:fill="EEEEEE"/>
          </w:tcPr>
          <w:p w14:paraId="04D29F89">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METHODS</w:t>
            </w:r>
          </w:p>
        </w:tc>
        <w:tc>
          <w:tcPr>
            <w:tcW w:w="7041" w:type="dxa"/>
            <w:tcBorders>
              <w:top w:val="single" w:color="7F7F7F" w:sz="6" w:space="0"/>
            </w:tcBorders>
            <w:shd w:val="clear" w:color="auto" w:fill="EEEEEE"/>
          </w:tcPr>
          <w:p w14:paraId="08C70CB9">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720" w:type="dxa"/>
            <w:tcBorders>
              <w:top w:val="single" w:color="7F7F7F" w:sz="6" w:space="0"/>
            </w:tcBorders>
            <w:shd w:val="clear" w:color="auto" w:fill="EEEEEE"/>
          </w:tcPr>
          <w:p w14:paraId="2E6B1C4D">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4320" w:type="dxa"/>
            <w:tcBorders>
              <w:top w:val="single" w:color="7F7F7F" w:sz="6" w:space="0"/>
            </w:tcBorders>
            <w:shd w:val="clear" w:color="auto" w:fill="EEEEEE"/>
          </w:tcPr>
          <w:p w14:paraId="73240649">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US" w:bidi="ar"/>
              </w:rPr>
            </w:pPr>
          </w:p>
        </w:tc>
      </w:tr>
      <w:tr w14:paraId="58073111">
        <w:tblPrEx>
          <w:tblCellMar>
            <w:top w:w="0" w:type="dxa"/>
            <w:left w:w="108" w:type="dxa"/>
            <w:bottom w:w="0" w:type="dxa"/>
            <w:right w:w="108" w:type="dxa"/>
          </w:tblCellMar>
        </w:tblPrEx>
        <w:tc>
          <w:tcPr>
            <w:tcW w:w="587" w:type="dxa"/>
            <w:shd w:val="clear" w:color="auto" w:fill="auto"/>
          </w:tcPr>
          <w:p w14:paraId="3392C41F">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4</w:t>
            </w:r>
          </w:p>
        </w:tc>
        <w:tc>
          <w:tcPr>
            <w:tcW w:w="1822" w:type="dxa"/>
            <w:shd w:val="clear" w:color="auto" w:fill="auto"/>
          </w:tcPr>
          <w:p w14:paraId="2C72FCD7">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Study design and data sources</w:t>
            </w:r>
          </w:p>
        </w:tc>
        <w:tc>
          <w:tcPr>
            <w:tcW w:w="7041" w:type="dxa"/>
            <w:shd w:val="clear" w:color="auto" w:fill="auto"/>
          </w:tcPr>
          <w:p w14:paraId="124639C3">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14:paraId="66D72103">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6-7</w:t>
            </w:r>
          </w:p>
        </w:tc>
        <w:tc>
          <w:tcPr>
            <w:tcW w:w="4320" w:type="dxa"/>
            <w:vMerge w:val="restart"/>
            <w:vAlign w:val="center"/>
          </w:tcPr>
          <w:p w14:paraId="56C87D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等线" w:cs="Times New Roman"/>
                <w:color w:val="000000"/>
                <w:sz w:val="20"/>
                <w:szCs w:val="20"/>
                <w:lang w:val="en-GB" w:eastAsia="en-GB" w:bidi="ar"/>
              </w:rPr>
            </w:pPr>
            <w:r>
              <w:rPr>
                <w:rFonts w:hint="eastAsia" w:ascii="Times New Roman" w:hAnsi="Times New Roman" w:eastAsia="宋体" w:cs="Times New Roman"/>
                <w:kern w:val="2"/>
                <w:sz w:val="21"/>
                <w:szCs w:val="24"/>
                <w:lang w:val="en-GB" w:eastAsia="en-GB" w:bidi="ar"/>
              </w:rPr>
              <w:t>The "Data Sources" section of the Research Design and Methods section provides existing information about GWAS research. For more information, please refer to GWAS's original publication.</w:t>
            </w:r>
          </w:p>
        </w:tc>
      </w:tr>
      <w:tr w14:paraId="7AAC3929">
        <w:tblPrEx>
          <w:tblCellMar>
            <w:top w:w="0" w:type="dxa"/>
            <w:left w:w="108" w:type="dxa"/>
            <w:bottom w:w="0" w:type="dxa"/>
            <w:right w:w="108" w:type="dxa"/>
          </w:tblCellMar>
        </w:tblPrEx>
        <w:tc>
          <w:tcPr>
            <w:tcW w:w="587" w:type="dxa"/>
            <w:shd w:val="clear" w:color="auto" w:fill="EEEEEE"/>
          </w:tcPr>
          <w:p w14:paraId="256F73C3">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1CD64512">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041" w:type="dxa"/>
            <w:shd w:val="clear" w:color="auto" w:fill="EEEEEE"/>
          </w:tcPr>
          <w:p w14:paraId="4B3B4BEA">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shd w:val="clear" w:color="auto" w:fill="FFFFFF"/>
                <w:lang w:val="en-GB" w:eastAsia="en-GB"/>
              </w:rPr>
              <w:t xml:space="preserve">Setting: </w:t>
            </w:r>
            <w:r>
              <w:rPr>
                <w:rFonts w:hint="default" w:eastAsia="Times New Roman"/>
                <w:sz w:val="18"/>
                <w:szCs w:val="18"/>
                <w:lang w:val="en-GB" w:eastAsia="en-GB"/>
              </w:rPr>
              <w:t xml:space="preserve">Describe the study design and the underlying population, if possible. </w:t>
            </w:r>
            <w:r>
              <w:rPr>
                <w:rFonts w:hint="default" w:eastAsia="Times New Roman"/>
                <w:sz w:val="18"/>
                <w:szCs w:val="18"/>
                <w:shd w:val="clear" w:color="auto" w:fill="FFFFFF"/>
                <w:lang w:val="en-GB" w:eastAsia="en-GB"/>
              </w:rPr>
              <w:t xml:space="preserve">Describe the setting, locations, and relevant dates, including periods </w:t>
            </w:r>
            <w:r>
              <w:rPr>
                <w:rFonts w:hint="default" w:eastAsia="Times New Roman"/>
                <w:color w:val="000000"/>
                <w:sz w:val="18"/>
                <w:szCs w:val="18"/>
                <w:shd w:val="clear" w:color="auto" w:fill="FFFFFF"/>
                <w:lang w:val="en-GB" w:eastAsia="en-GB"/>
              </w:rPr>
              <w:t>of recruitment, exposure, follow-up, and data collection, when available.</w:t>
            </w:r>
          </w:p>
        </w:tc>
        <w:tc>
          <w:tcPr>
            <w:tcW w:w="720" w:type="dxa"/>
            <w:shd w:val="clear" w:color="auto" w:fill="EEEEEE"/>
          </w:tcPr>
          <w:p w14:paraId="6E8B28BE">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shd w:val="clear" w:color="auto" w:fill="FFFFFF"/>
                <w:lang w:val="en-US" w:eastAsia="zh-CN"/>
              </w:rPr>
            </w:pPr>
            <w:r>
              <w:rPr>
                <w:rFonts w:hint="eastAsia" w:eastAsia="宋体"/>
                <w:sz w:val="18"/>
                <w:szCs w:val="18"/>
                <w:lang w:val="en-US" w:eastAsia="zh-CN"/>
              </w:rPr>
              <w:t>6-7</w:t>
            </w:r>
          </w:p>
        </w:tc>
        <w:tc>
          <w:tcPr>
            <w:tcW w:w="4320" w:type="dxa"/>
            <w:vMerge w:val="continue"/>
            <w:shd w:val="clear" w:color="auto" w:fill="EEEEEE"/>
          </w:tcPr>
          <w:p w14:paraId="0D96CA8F">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p>
        </w:tc>
      </w:tr>
      <w:tr w14:paraId="2B94370B">
        <w:tblPrEx>
          <w:tblCellMar>
            <w:top w:w="0" w:type="dxa"/>
            <w:left w:w="108" w:type="dxa"/>
            <w:bottom w:w="0" w:type="dxa"/>
            <w:right w:w="108" w:type="dxa"/>
          </w:tblCellMar>
        </w:tblPrEx>
        <w:tc>
          <w:tcPr>
            <w:tcW w:w="587" w:type="dxa"/>
            <w:shd w:val="clear" w:color="auto" w:fill="auto"/>
          </w:tcPr>
          <w:p w14:paraId="36CC32EF">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45832EE6">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041" w:type="dxa"/>
            <w:shd w:val="clear" w:color="auto" w:fill="auto"/>
          </w:tcPr>
          <w:p w14:paraId="13BCF21E">
            <w:pPr>
              <w:keepNext w:val="0"/>
              <w:keepLines w:val="0"/>
              <w:widowControl/>
              <w:suppressLineNumbers w:val="0"/>
              <w:spacing w:before="96" w:beforeLines="40" w:beforeAutospacing="0" w:after="96" w:afterLines="40" w:afterAutospacing="0" w:line="24" w:lineRule="atLeast"/>
              <w:ind w:left="0" w:right="0"/>
              <w:textAlignment w:val="baseline"/>
              <w:rPr>
                <w:rFonts w:hint="default" w:eastAsia="Cambria"/>
                <w:sz w:val="18"/>
                <w:szCs w:val="18"/>
                <w:lang w:val="en-GB" w:eastAsia="en-US"/>
              </w:rPr>
            </w:pPr>
            <w:r>
              <w:rPr>
                <w:rFonts w:hint="default" w:eastAsia="Times New Roman"/>
                <w:sz w:val="18"/>
                <w:szCs w:val="18"/>
                <w:shd w:val="clear" w:color="auto" w:fill="FFFFFF"/>
                <w:lang w:val="en-GB" w:eastAsia="en-GB"/>
              </w:rPr>
              <w:t xml:space="preserve">Participants: Give the eligibility criteria, and the sources and methods of selection of participants. </w:t>
            </w:r>
            <w:r>
              <w:rPr>
                <w:rFonts w:hint="default" w:eastAsia="Times New Roman"/>
                <w:color w:val="000000"/>
                <w:sz w:val="18"/>
                <w:szCs w:val="18"/>
              </w:rPr>
              <w:t>Report the sample size, and whether any power or sample size calculations were carried out prior to the main analysis</w:t>
            </w:r>
            <w:r>
              <w:rPr>
                <w:rFonts w:hint="default" w:eastAsia="Times New Roman"/>
                <w:sz w:val="18"/>
                <w:szCs w:val="18"/>
                <w:lang w:val="en-GB" w:eastAsia="en-GB"/>
              </w:rPr>
              <w:t> </w:t>
            </w:r>
          </w:p>
        </w:tc>
        <w:tc>
          <w:tcPr>
            <w:tcW w:w="720" w:type="dxa"/>
          </w:tcPr>
          <w:p w14:paraId="072674F3">
            <w:pPr>
              <w:keepNext w:val="0"/>
              <w:keepLines w:val="0"/>
              <w:widowControl/>
              <w:suppressLineNumbers w:val="0"/>
              <w:spacing w:before="96" w:beforeLines="40" w:beforeAutospacing="0" w:after="96" w:afterLines="40" w:afterAutospacing="0" w:line="24" w:lineRule="atLeast"/>
              <w:ind w:left="0" w:right="0"/>
              <w:textAlignment w:val="baseline"/>
              <w:rPr>
                <w:rFonts w:hint="default" w:eastAsia="宋体"/>
                <w:sz w:val="18"/>
                <w:szCs w:val="18"/>
                <w:shd w:val="clear" w:color="auto" w:fill="FFFFFF"/>
                <w:lang w:val="en-US" w:eastAsia="zh-CN"/>
              </w:rPr>
            </w:pPr>
            <w:r>
              <w:rPr>
                <w:rFonts w:hint="eastAsia" w:eastAsia="宋体"/>
                <w:sz w:val="18"/>
                <w:szCs w:val="18"/>
                <w:lang w:val="en-US" w:eastAsia="zh-CN"/>
              </w:rPr>
              <w:t>6-7</w:t>
            </w:r>
          </w:p>
        </w:tc>
        <w:tc>
          <w:tcPr>
            <w:tcW w:w="4320" w:type="dxa"/>
            <w:vMerge w:val="continue"/>
          </w:tcPr>
          <w:p w14:paraId="03880BFA">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p>
        </w:tc>
      </w:tr>
      <w:tr w14:paraId="225B27F4">
        <w:tblPrEx>
          <w:tblCellMar>
            <w:top w:w="0" w:type="dxa"/>
            <w:left w:w="108" w:type="dxa"/>
            <w:bottom w:w="0" w:type="dxa"/>
            <w:right w:w="108" w:type="dxa"/>
          </w:tblCellMar>
        </w:tblPrEx>
        <w:tc>
          <w:tcPr>
            <w:tcW w:w="587" w:type="dxa"/>
            <w:shd w:val="clear" w:color="auto" w:fill="EEEEEE"/>
          </w:tcPr>
          <w:p w14:paraId="2B6296D3">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13A1D304">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041" w:type="dxa"/>
            <w:shd w:val="clear" w:color="auto" w:fill="EEEEEE"/>
          </w:tcPr>
          <w:p w14:paraId="4572544A">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measurement, quality control and selection of genetic variants</w:t>
            </w:r>
          </w:p>
        </w:tc>
        <w:tc>
          <w:tcPr>
            <w:tcW w:w="720" w:type="dxa"/>
            <w:shd w:val="clear" w:color="auto" w:fill="EEEEEE"/>
          </w:tcPr>
          <w:p w14:paraId="2A94A40A">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6-7</w:t>
            </w:r>
          </w:p>
        </w:tc>
        <w:tc>
          <w:tcPr>
            <w:tcW w:w="4320" w:type="dxa"/>
            <w:vMerge w:val="continue"/>
            <w:shd w:val="clear" w:color="auto" w:fill="EEEEEE"/>
          </w:tcPr>
          <w:p w14:paraId="56159027">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p>
        </w:tc>
      </w:tr>
      <w:tr w14:paraId="700646BC">
        <w:tblPrEx>
          <w:tblCellMar>
            <w:top w:w="0" w:type="dxa"/>
            <w:left w:w="108" w:type="dxa"/>
            <w:bottom w:w="0" w:type="dxa"/>
            <w:right w:w="108" w:type="dxa"/>
          </w:tblCellMar>
        </w:tblPrEx>
        <w:tc>
          <w:tcPr>
            <w:tcW w:w="587" w:type="dxa"/>
            <w:shd w:val="clear" w:color="auto" w:fill="auto"/>
          </w:tcPr>
          <w:p w14:paraId="39862F93">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673CC652">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d)</w:t>
            </w:r>
          </w:p>
        </w:tc>
        <w:tc>
          <w:tcPr>
            <w:tcW w:w="7041" w:type="dxa"/>
            <w:shd w:val="clear" w:color="auto" w:fill="auto"/>
          </w:tcPr>
          <w:p w14:paraId="71EBC9BB">
            <w:pPr>
              <w:keepNext w:val="0"/>
              <w:keepLines w:val="0"/>
              <w:widowControl/>
              <w:suppressLineNumbers w:val="0"/>
              <w:spacing w:before="96" w:beforeLines="40" w:beforeAutospacing="0" w:after="96" w:afterLines="40" w:afterAutospacing="0" w:line="24" w:lineRule="atLeast"/>
              <w:ind w:left="0" w:right="0"/>
              <w:textAlignment w:val="baseline"/>
              <w:rPr>
                <w:rFonts w:hint="default" w:eastAsia="Cambria"/>
                <w:sz w:val="18"/>
                <w:szCs w:val="18"/>
                <w:lang w:val="en-GB" w:eastAsia="en-US"/>
              </w:rPr>
            </w:pPr>
            <w:r>
              <w:rPr>
                <w:rFonts w:hint="default"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Pr>
          <w:p w14:paraId="64D845B4">
            <w:pPr>
              <w:keepNext w:val="0"/>
              <w:keepLines w:val="0"/>
              <w:widowControl/>
              <w:suppressLineNumbers w:val="0"/>
              <w:spacing w:before="96" w:beforeLines="40" w:beforeAutospacing="0" w:after="96" w:afterLines="40" w:afterAutospacing="0" w:line="24" w:lineRule="atLeast"/>
              <w:ind w:left="0" w:right="0"/>
              <w:textAlignment w:val="baseline"/>
              <w:rPr>
                <w:rFonts w:hint="default" w:eastAsia="宋体"/>
                <w:sz w:val="18"/>
                <w:szCs w:val="18"/>
                <w:shd w:val="clear" w:color="auto" w:fill="FFFFFF"/>
                <w:lang w:val="en-US" w:eastAsia="zh-CN"/>
              </w:rPr>
            </w:pPr>
            <w:r>
              <w:rPr>
                <w:rFonts w:hint="eastAsia" w:eastAsia="宋体"/>
                <w:sz w:val="18"/>
                <w:szCs w:val="18"/>
                <w:lang w:val="en-US" w:eastAsia="zh-CN"/>
              </w:rPr>
              <w:t>6-7</w:t>
            </w:r>
          </w:p>
        </w:tc>
        <w:tc>
          <w:tcPr>
            <w:tcW w:w="4320" w:type="dxa"/>
            <w:vMerge w:val="continue"/>
          </w:tcPr>
          <w:p w14:paraId="40500590">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p>
        </w:tc>
      </w:tr>
      <w:tr w14:paraId="06B79D80">
        <w:tblPrEx>
          <w:tblCellMar>
            <w:top w:w="0" w:type="dxa"/>
            <w:left w:w="108" w:type="dxa"/>
            <w:bottom w:w="0" w:type="dxa"/>
            <w:right w:w="108" w:type="dxa"/>
          </w:tblCellMar>
        </w:tblPrEx>
        <w:tc>
          <w:tcPr>
            <w:tcW w:w="587" w:type="dxa"/>
            <w:shd w:val="clear" w:color="auto" w:fill="EEEEEE"/>
          </w:tcPr>
          <w:p w14:paraId="0D023AC5">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646F82AE">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e)</w:t>
            </w:r>
          </w:p>
        </w:tc>
        <w:tc>
          <w:tcPr>
            <w:tcW w:w="7041" w:type="dxa"/>
            <w:shd w:val="clear" w:color="auto" w:fill="EEEEEE"/>
          </w:tcPr>
          <w:p w14:paraId="61EF6120">
            <w:pPr>
              <w:keepNext w:val="0"/>
              <w:keepLines w:val="0"/>
              <w:widowControl/>
              <w:suppressLineNumbers w:val="0"/>
              <w:spacing w:before="96" w:beforeLines="40" w:beforeAutospacing="0" w:after="96" w:afterLines="40" w:afterAutospacing="0" w:line="24" w:lineRule="atLeast"/>
              <w:ind w:left="0" w:right="0"/>
              <w:textAlignment w:val="baseline"/>
              <w:rPr>
                <w:rFonts w:hint="default" w:eastAsia="Cambria"/>
                <w:sz w:val="18"/>
                <w:szCs w:val="18"/>
                <w:lang w:val="en-GB" w:eastAsia="en-US"/>
              </w:rPr>
            </w:pPr>
            <w:r>
              <w:rPr>
                <w:rFonts w:hint="default"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Pr>
          <w:p w14:paraId="7B716C91">
            <w:pPr>
              <w:keepNext w:val="0"/>
              <w:keepLines w:val="0"/>
              <w:widowControl/>
              <w:suppressLineNumbers w:val="0"/>
              <w:spacing w:before="96" w:beforeLines="40" w:beforeAutospacing="0" w:after="96" w:afterLines="40" w:afterAutospacing="0" w:line="24" w:lineRule="atLeast"/>
              <w:ind w:left="0" w:right="0"/>
              <w:textAlignment w:val="baseline"/>
              <w:rPr>
                <w:rFonts w:hint="default" w:eastAsia="宋体"/>
                <w:sz w:val="18"/>
                <w:szCs w:val="18"/>
                <w:shd w:val="clear" w:color="auto" w:fill="FFFFFF"/>
                <w:lang w:val="en-US" w:eastAsia="zh-CN"/>
              </w:rPr>
            </w:pPr>
            <w:r>
              <w:rPr>
                <w:rFonts w:hint="eastAsia" w:eastAsia="宋体"/>
                <w:sz w:val="18"/>
                <w:szCs w:val="18"/>
                <w:lang w:val="en-US" w:eastAsia="zh-CN"/>
              </w:rPr>
              <w:t>6-7</w:t>
            </w:r>
          </w:p>
        </w:tc>
        <w:tc>
          <w:tcPr>
            <w:tcW w:w="4320" w:type="dxa"/>
            <w:vMerge w:val="continue"/>
            <w:shd w:val="clear" w:color="auto" w:fill="EEEEEE"/>
          </w:tcPr>
          <w:p w14:paraId="786FDBA1">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p>
        </w:tc>
      </w:tr>
      <w:tr w14:paraId="5883E6C4">
        <w:tblPrEx>
          <w:tblCellMar>
            <w:top w:w="0" w:type="dxa"/>
            <w:left w:w="108" w:type="dxa"/>
            <w:bottom w:w="0" w:type="dxa"/>
            <w:right w:w="108" w:type="dxa"/>
          </w:tblCellMar>
        </w:tblPrEx>
        <w:tc>
          <w:tcPr>
            <w:tcW w:w="587" w:type="dxa"/>
            <w:shd w:val="clear" w:color="auto" w:fill="auto"/>
          </w:tcPr>
          <w:p w14:paraId="089E3A04">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5</w:t>
            </w:r>
          </w:p>
        </w:tc>
        <w:tc>
          <w:tcPr>
            <w:tcW w:w="1822" w:type="dxa"/>
            <w:shd w:val="clear" w:color="auto" w:fill="auto"/>
          </w:tcPr>
          <w:p w14:paraId="7E980425">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Assumptions</w:t>
            </w:r>
          </w:p>
          <w:p w14:paraId="102A2CD5">
            <w:pPr>
              <w:keepNext w:val="0"/>
              <w:keepLines w:val="0"/>
              <w:widowControl/>
              <w:suppressLineNumbers w:val="0"/>
              <w:spacing w:before="96" w:beforeLines="40" w:beforeAutospacing="0" w:after="96" w:afterLines="40" w:afterAutospacing="0" w:line="24" w:lineRule="atLeast"/>
              <w:ind w:left="0" w:right="0"/>
              <w:jc w:val="center"/>
              <w:rPr>
                <w:rFonts w:hint="default" w:eastAsia="Cambria"/>
                <w:sz w:val="18"/>
                <w:szCs w:val="18"/>
                <w:lang w:val="en-GB" w:eastAsia="en-US"/>
              </w:rPr>
            </w:pPr>
          </w:p>
        </w:tc>
        <w:tc>
          <w:tcPr>
            <w:tcW w:w="7041" w:type="dxa"/>
            <w:shd w:val="clear" w:color="auto" w:fill="auto"/>
          </w:tcPr>
          <w:p w14:paraId="5805467A">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tcPr>
          <w:p w14:paraId="1ED7F0AE">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6-7</w:t>
            </w:r>
          </w:p>
        </w:tc>
        <w:tc>
          <w:tcPr>
            <w:tcW w:w="4320" w:type="dxa"/>
          </w:tcPr>
          <w:p w14:paraId="7789E8BA">
            <w:pPr>
              <w:keepNext w:val="0"/>
              <w:keepLines w:val="0"/>
              <w:widowControl w:val="0"/>
              <w:suppressLineNumbers w:val="0"/>
              <w:spacing w:before="0" w:beforeAutospacing="0" w:after="0" w:afterAutospacing="0" w:line="360" w:lineRule="auto"/>
              <w:ind w:left="0" w:right="0"/>
              <w:jc w:val="both"/>
              <w:rPr>
                <w:rFonts w:hint="default" w:ascii="Times New Roman" w:hAnsi="Times New Roman" w:eastAsia="等线" w:cs="Times New Roman"/>
                <w:color w:val="000000"/>
                <w:sz w:val="20"/>
                <w:szCs w:val="20"/>
                <w:lang w:val="en-US" w:eastAsia="zh-CN" w:bidi="ar"/>
              </w:rPr>
            </w:pPr>
            <w:r>
              <w:rPr>
                <w:rFonts w:hint="eastAsia" w:ascii="Times New Roman" w:hAnsi="Times New Roman" w:eastAsia="宋体" w:cs="Times New Roman"/>
                <w:kern w:val="2"/>
                <w:sz w:val="21"/>
                <w:szCs w:val="24"/>
                <w:lang w:val="en-US" w:eastAsia="zh-CN" w:bidi="ar"/>
              </w:rPr>
              <w:t>T</w:t>
            </w:r>
            <w:r>
              <w:rPr>
                <w:rFonts w:hint="eastAsia" w:ascii="Times New Roman" w:hAnsi="Times New Roman" w:eastAsia="宋体" w:cs="Times New Roman"/>
                <w:kern w:val="2"/>
                <w:sz w:val="21"/>
                <w:szCs w:val="24"/>
                <w:lang w:val="en-GB" w:eastAsia="en-GB" w:bidi="ar"/>
              </w:rPr>
              <w:t>he three core IV assumptions</w:t>
            </w:r>
            <w:r>
              <w:rPr>
                <w:rFonts w:hint="eastAsia" w:ascii="Times New Roman" w:hAnsi="Times New Roman" w:eastAsia="宋体" w:cs="Times New Roman"/>
                <w:kern w:val="2"/>
                <w:sz w:val="21"/>
                <w:szCs w:val="24"/>
                <w:lang w:val="en-US" w:eastAsia="zh-CN" w:bidi="ar"/>
              </w:rPr>
              <w:t xml:space="preserve"> explained in the "</w:t>
            </w:r>
            <w:r>
              <w:rPr>
                <w:rFonts w:hint="eastAsia" w:ascii="Times New Roman" w:hAnsi="Times New Roman" w:eastAsia="宋体" w:cs="Times New Roman"/>
                <w:kern w:val="2"/>
                <w:sz w:val="21"/>
                <w:szCs w:val="24"/>
                <w:lang w:val="en-GB" w:eastAsia="en-GB" w:bidi="ar"/>
              </w:rPr>
              <w:t>Study design</w:t>
            </w:r>
            <w:r>
              <w:rPr>
                <w:rFonts w:hint="eastAsia" w:ascii="Times New Roman" w:hAnsi="Times New Roman" w:eastAsia="宋体" w:cs="Times New Roman"/>
                <w:kern w:val="2"/>
                <w:sz w:val="21"/>
                <w:szCs w:val="24"/>
                <w:lang w:val="en-US" w:eastAsia="zh-CN" w:bidi="ar"/>
              </w:rPr>
              <w:t>" section.The main analysis and sensitivity analysis are explained in the “</w:t>
            </w:r>
            <w:r>
              <w:rPr>
                <w:rFonts w:hint="default" w:ascii="Times New Roman" w:hAnsi="Times New Roman" w:eastAsia="宋体" w:cs="Times New Roman"/>
                <w:kern w:val="2"/>
                <w:sz w:val="21"/>
                <w:szCs w:val="24"/>
                <w:lang w:val="en-US" w:eastAsia="zh-CN" w:bidi="ar"/>
              </w:rPr>
              <w:t>Two-sample Mendelian randomization analysis</w:t>
            </w:r>
            <w:r>
              <w:rPr>
                <w:rFonts w:hint="eastAsia" w:ascii="Times New Roman" w:hAnsi="Times New Roman" w:eastAsia="宋体" w:cs="Times New Roman"/>
                <w:kern w:val="2"/>
                <w:sz w:val="21"/>
                <w:szCs w:val="24"/>
                <w:lang w:val="en-US" w:eastAsia="zh-CN" w:bidi="ar"/>
              </w:rPr>
              <w:t>” and “</w:t>
            </w:r>
            <w:r>
              <w:rPr>
                <w:rFonts w:hint="default" w:ascii="Times New Roman" w:hAnsi="Times New Roman" w:eastAsia="宋体" w:cs="Times New Roman"/>
                <w:kern w:val="2"/>
                <w:sz w:val="21"/>
                <w:szCs w:val="24"/>
                <w:lang w:val="en-US" w:eastAsia="zh-CN" w:bidi="ar"/>
              </w:rPr>
              <w:t>Sensitivity analysis</w:t>
            </w:r>
            <w:r>
              <w:rPr>
                <w:rFonts w:hint="eastAsia" w:ascii="Times New Roman" w:hAnsi="Times New Roman" w:eastAsia="宋体" w:cs="Times New Roman"/>
                <w:kern w:val="2"/>
                <w:sz w:val="21"/>
                <w:szCs w:val="24"/>
                <w:lang w:val="en-US" w:eastAsia="zh-CN" w:bidi="ar"/>
              </w:rPr>
              <w:t xml:space="preserve">” sections. </w:t>
            </w:r>
          </w:p>
        </w:tc>
      </w:tr>
      <w:tr w14:paraId="291783D6">
        <w:tblPrEx>
          <w:tblCellMar>
            <w:top w:w="0" w:type="dxa"/>
            <w:left w:w="108" w:type="dxa"/>
            <w:bottom w:w="0" w:type="dxa"/>
            <w:right w:w="108" w:type="dxa"/>
          </w:tblCellMar>
        </w:tblPrEx>
        <w:tc>
          <w:tcPr>
            <w:tcW w:w="587" w:type="dxa"/>
            <w:shd w:val="clear" w:color="auto" w:fill="EEEEEE"/>
          </w:tcPr>
          <w:p w14:paraId="17BD0916">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6</w:t>
            </w:r>
          </w:p>
        </w:tc>
        <w:tc>
          <w:tcPr>
            <w:tcW w:w="1822" w:type="dxa"/>
            <w:shd w:val="clear" w:color="auto" w:fill="EEEEEE"/>
          </w:tcPr>
          <w:p w14:paraId="09D4A865">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Statistical methods: main analysis</w:t>
            </w:r>
          </w:p>
        </w:tc>
        <w:tc>
          <w:tcPr>
            <w:tcW w:w="7041" w:type="dxa"/>
            <w:shd w:val="clear" w:color="auto" w:fill="EEEEEE"/>
          </w:tcPr>
          <w:p w14:paraId="39B2761C">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statistical methods and statistics used</w:t>
            </w:r>
          </w:p>
        </w:tc>
        <w:tc>
          <w:tcPr>
            <w:tcW w:w="720" w:type="dxa"/>
            <w:shd w:val="clear" w:color="auto" w:fill="EEEEEE"/>
          </w:tcPr>
          <w:p w14:paraId="1A962512">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7-8</w:t>
            </w:r>
          </w:p>
        </w:tc>
        <w:tc>
          <w:tcPr>
            <w:tcW w:w="4320" w:type="dxa"/>
            <w:shd w:val="clear" w:color="auto" w:fill="EEEEEE"/>
          </w:tcPr>
          <w:p w14:paraId="749FED56">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p>
        </w:tc>
      </w:tr>
      <w:tr w14:paraId="1B480906">
        <w:tblPrEx>
          <w:tblCellMar>
            <w:top w:w="0" w:type="dxa"/>
            <w:left w:w="108" w:type="dxa"/>
            <w:bottom w:w="0" w:type="dxa"/>
            <w:right w:w="108" w:type="dxa"/>
          </w:tblCellMar>
        </w:tblPrEx>
        <w:tc>
          <w:tcPr>
            <w:tcW w:w="587" w:type="dxa"/>
            <w:shd w:val="clear" w:color="auto" w:fill="auto"/>
          </w:tcPr>
          <w:p w14:paraId="184E1875">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5E6C5E28">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041" w:type="dxa"/>
            <w:shd w:val="clear" w:color="auto" w:fill="auto"/>
          </w:tcPr>
          <w:p w14:paraId="6662A601">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how quantitative variables were handled in the analyses (i.e., scale, units, model)</w:t>
            </w:r>
          </w:p>
        </w:tc>
        <w:tc>
          <w:tcPr>
            <w:tcW w:w="720" w:type="dxa"/>
          </w:tcPr>
          <w:p w14:paraId="7A4ABB3C">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7-8</w:t>
            </w:r>
          </w:p>
        </w:tc>
        <w:tc>
          <w:tcPr>
            <w:tcW w:w="4320" w:type="dxa"/>
          </w:tcPr>
          <w:p w14:paraId="6A8C2F7A">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a)We refer to the relevant data description of GWAs public databases.</w:t>
            </w:r>
          </w:p>
        </w:tc>
      </w:tr>
      <w:tr w14:paraId="6B79FEB4">
        <w:tblPrEx>
          <w:tblCellMar>
            <w:top w:w="0" w:type="dxa"/>
            <w:left w:w="108" w:type="dxa"/>
            <w:bottom w:w="0" w:type="dxa"/>
            <w:right w:w="108" w:type="dxa"/>
          </w:tblCellMar>
        </w:tblPrEx>
        <w:tc>
          <w:tcPr>
            <w:tcW w:w="587" w:type="dxa"/>
            <w:shd w:val="clear" w:color="auto" w:fill="EEEEEE"/>
          </w:tcPr>
          <w:p w14:paraId="1F7D8EA2">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7B99D40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041" w:type="dxa"/>
            <w:shd w:val="clear" w:color="auto" w:fill="EEEEEE"/>
          </w:tcPr>
          <w:p w14:paraId="313CA6E6">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14:paraId="1D48B43B">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7</w:t>
            </w:r>
          </w:p>
        </w:tc>
        <w:tc>
          <w:tcPr>
            <w:tcW w:w="4320" w:type="dxa"/>
            <w:shd w:val="clear" w:color="auto" w:fill="EEEEEE"/>
          </w:tcPr>
          <w:p w14:paraId="1104C62F">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US" w:eastAsia="zh-CN" w:bidi="ar"/>
              </w:rPr>
            </w:pPr>
            <w:r>
              <w:rPr>
                <w:rFonts w:hint="eastAsia" w:ascii="Times New Roman" w:hAnsi="Times New Roman" w:eastAsia="等线" w:cs="Times New Roman"/>
                <w:color w:val="000000"/>
                <w:sz w:val="20"/>
                <w:szCs w:val="20"/>
                <w:lang w:val="en-GB" w:eastAsia="en-GB" w:bidi="ar"/>
              </w:rPr>
              <w:t>b) We will describe it in the "</w:t>
            </w:r>
            <w:r>
              <w:rPr>
                <w:rFonts w:hint="eastAsia" w:ascii="Times New Roman" w:hAnsi="Times New Roman" w:eastAsia="等线" w:cs="Times New Roman"/>
                <w:color w:val="000000"/>
                <w:sz w:val="20"/>
                <w:szCs w:val="20"/>
                <w:lang w:val="en-US" w:eastAsia="zh-CN" w:bidi="ar"/>
              </w:rPr>
              <w:t xml:space="preserve"> </w:t>
            </w:r>
            <w:r>
              <w:rPr>
                <w:rFonts w:hint="eastAsia" w:ascii="Times New Roman" w:hAnsi="Times New Roman" w:eastAsia="等线" w:cs="Times New Roman"/>
                <w:color w:val="000000"/>
                <w:sz w:val="20"/>
                <w:szCs w:val="20"/>
                <w:lang w:val="en-GB" w:eastAsia="en-GB" w:bidi="ar"/>
              </w:rPr>
              <w:t>Selection of instrumental variables" section</w:t>
            </w:r>
            <w:r>
              <w:rPr>
                <w:rFonts w:hint="eastAsia" w:ascii="Times New Roman" w:hAnsi="Times New Roman" w:eastAsia="等线" w:cs="Times New Roman"/>
                <w:color w:val="000000"/>
                <w:sz w:val="20"/>
                <w:szCs w:val="20"/>
                <w:lang w:val="en-US" w:eastAsia="zh-CN" w:bidi="ar"/>
              </w:rPr>
              <w:t>.</w:t>
            </w:r>
          </w:p>
        </w:tc>
      </w:tr>
      <w:tr w14:paraId="733D9410">
        <w:tblPrEx>
          <w:tblCellMar>
            <w:top w:w="0" w:type="dxa"/>
            <w:left w:w="108" w:type="dxa"/>
            <w:bottom w:w="0" w:type="dxa"/>
            <w:right w:w="108" w:type="dxa"/>
          </w:tblCellMar>
        </w:tblPrEx>
        <w:trPr>
          <w:trHeight w:val="822" w:hRule="atLeast"/>
        </w:trPr>
        <w:tc>
          <w:tcPr>
            <w:tcW w:w="587" w:type="dxa"/>
            <w:shd w:val="clear" w:color="auto" w:fill="auto"/>
          </w:tcPr>
          <w:p w14:paraId="5DCA8614">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32D8D83C">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041" w:type="dxa"/>
            <w:shd w:val="clear" w:color="auto" w:fill="auto"/>
          </w:tcPr>
          <w:p w14:paraId="1DC2626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color w:val="000000" w:themeColor="text1"/>
                <w:sz w:val="18"/>
                <w:szCs w:val="18"/>
                <w:lang w:val="en-GB" w:eastAsia="en-GB"/>
                <w14:textFill>
                  <w14:solidFill>
                    <w14:schemeClr w14:val="tx1"/>
                  </w14:solidFill>
                </w14:textFill>
              </w:rPr>
              <w:t>Describe the MR estimator (e.g. two-stage least squares, Wald ratio) and related statistics. Detail the included covariates and, in case of two-sample MR, whether the same covariate set was used for adjustment in the two samples</w:t>
            </w:r>
          </w:p>
        </w:tc>
        <w:tc>
          <w:tcPr>
            <w:tcW w:w="720" w:type="dxa"/>
          </w:tcPr>
          <w:p w14:paraId="3F236EB1">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NA</w:t>
            </w:r>
            <w:bookmarkStart w:id="0" w:name="_GoBack"/>
            <w:bookmarkEnd w:id="0"/>
          </w:p>
        </w:tc>
        <w:tc>
          <w:tcPr>
            <w:tcW w:w="4320" w:type="dxa"/>
          </w:tcPr>
          <w:p w14:paraId="3605AC93">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p>
        </w:tc>
      </w:tr>
      <w:tr w14:paraId="395793B9">
        <w:tblPrEx>
          <w:tblCellMar>
            <w:top w:w="0" w:type="dxa"/>
            <w:left w:w="108" w:type="dxa"/>
            <w:bottom w:w="0" w:type="dxa"/>
            <w:right w:w="108" w:type="dxa"/>
          </w:tblCellMar>
        </w:tblPrEx>
        <w:tc>
          <w:tcPr>
            <w:tcW w:w="587" w:type="dxa"/>
            <w:shd w:val="clear" w:color="auto" w:fill="EEEEEE"/>
          </w:tcPr>
          <w:p w14:paraId="0078BEA7">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085E1E21">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d)</w:t>
            </w:r>
          </w:p>
        </w:tc>
        <w:tc>
          <w:tcPr>
            <w:tcW w:w="7041" w:type="dxa"/>
            <w:shd w:val="clear" w:color="auto" w:fill="EEEEEE"/>
          </w:tcPr>
          <w:p w14:paraId="59D62708">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Explain how missing data were addressed</w:t>
            </w:r>
          </w:p>
        </w:tc>
        <w:tc>
          <w:tcPr>
            <w:tcW w:w="720" w:type="dxa"/>
            <w:shd w:val="clear" w:color="auto" w:fill="EEEEEE"/>
          </w:tcPr>
          <w:p w14:paraId="37C8F6E0">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7</w:t>
            </w:r>
          </w:p>
        </w:tc>
        <w:tc>
          <w:tcPr>
            <w:tcW w:w="4320" w:type="dxa"/>
            <w:shd w:val="clear" w:color="auto" w:fill="EEEEEE"/>
          </w:tcPr>
          <w:p w14:paraId="0B63C571">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US" w:eastAsia="zh-CN" w:bidi="ar"/>
              </w:rPr>
            </w:pPr>
            <w:r>
              <w:rPr>
                <w:rFonts w:hint="eastAsia" w:ascii="Times New Roman" w:hAnsi="Times New Roman" w:eastAsia="等线" w:cs="Times New Roman"/>
                <w:color w:val="000000"/>
                <w:sz w:val="20"/>
                <w:szCs w:val="20"/>
                <w:lang w:val="en-GB" w:eastAsia="en-GB" w:bidi="ar"/>
              </w:rPr>
              <w:t>d) We described the screening criteria for SNPs and explained the use of independent SNPs in the "</w:t>
            </w:r>
            <w:r>
              <w:rPr>
                <w:rFonts w:hint="eastAsia" w:ascii="Times New Roman" w:hAnsi="Times New Roman" w:eastAsia="等线" w:cs="Times New Roman"/>
                <w:color w:val="000000"/>
                <w:sz w:val="20"/>
                <w:szCs w:val="20"/>
                <w:lang w:val="en-US" w:eastAsia="zh-CN" w:bidi="ar"/>
              </w:rPr>
              <w:t xml:space="preserve"> </w:t>
            </w:r>
            <w:r>
              <w:rPr>
                <w:rFonts w:hint="eastAsia" w:ascii="Times New Roman" w:hAnsi="Times New Roman" w:eastAsia="等线" w:cs="Times New Roman"/>
                <w:color w:val="000000"/>
                <w:sz w:val="20"/>
                <w:szCs w:val="20"/>
                <w:lang w:val="en-GB" w:eastAsia="en-GB" w:bidi="ar"/>
              </w:rPr>
              <w:t>Selection of instrumental variables" section</w:t>
            </w:r>
            <w:r>
              <w:rPr>
                <w:rFonts w:hint="eastAsia" w:ascii="Times New Roman" w:hAnsi="Times New Roman" w:eastAsia="等线" w:cs="Times New Roman"/>
                <w:color w:val="000000"/>
                <w:sz w:val="20"/>
                <w:szCs w:val="20"/>
                <w:lang w:val="en-US" w:eastAsia="zh-CN" w:bidi="ar"/>
              </w:rPr>
              <w:t>.</w:t>
            </w:r>
          </w:p>
        </w:tc>
      </w:tr>
      <w:tr w14:paraId="51672C50">
        <w:tblPrEx>
          <w:tblCellMar>
            <w:top w:w="0" w:type="dxa"/>
            <w:left w:w="108" w:type="dxa"/>
            <w:bottom w:w="0" w:type="dxa"/>
            <w:right w:w="108" w:type="dxa"/>
          </w:tblCellMar>
        </w:tblPrEx>
        <w:tc>
          <w:tcPr>
            <w:tcW w:w="587" w:type="dxa"/>
            <w:shd w:val="clear" w:color="auto" w:fill="auto"/>
          </w:tcPr>
          <w:p w14:paraId="38873C17">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45950F4E">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e)</w:t>
            </w:r>
          </w:p>
        </w:tc>
        <w:tc>
          <w:tcPr>
            <w:tcW w:w="7041" w:type="dxa"/>
            <w:shd w:val="clear" w:color="auto" w:fill="auto"/>
          </w:tcPr>
          <w:p w14:paraId="1B543881">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If applicable, indicate how multiple testing was addressed</w:t>
            </w:r>
          </w:p>
        </w:tc>
        <w:tc>
          <w:tcPr>
            <w:tcW w:w="720" w:type="dxa"/>
          </w:tcPr>
          <w:p w14:paraId="265DFF47">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p>
        </w:tc>
        <w:tc>
          <w:tcPr>
            <w:tcW w:w="4320" w:type="dxa"/>
          </w:tcPr>
          <w:p w14:paraId="022A9C14">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e) N/A</w:t>
            </w:r>
          </w:p>
        </w:tc>
      </w:tr>
      <w:tr w14:paraId="7D93B511">
        <w:tblPrEx>
          <w:tblCellMar>
            <w:top w:w="0" w:type="dxa"/>
            <w:left w:w="108" w:type="dxa"/>
            <w:bottom w:w="0" w:type="dxa"/>
            <w:right w:w="108" w:type="dxa"/>
          </w:tblCellMar>
        </w:tblPrEx>
        <w:tc>
          <w:tcPr>
            <w:tcW w:w="587" w:type="dxa"/>
            <w:shd w:val="clear" w:color="auto" w:fill="EEEEEE"/>
          </w:tcPr>
          <w:p w14:paraId="69BD2B38">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7</w:t>
            </w:r>
          </w:p>
        </w:tc>
        <w:tc>
          <w:tcPr>
            <w:tcW w:w="1822" w:type="dxa"/>
            <w:shd w:val="clear" w:color="auto" w:fill="EEEEEE"/>
          </w:tcPr>
          <w:p w14:paraId="540E96B7">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Assessment of assumptions</w:t>
            </w:r>
          </w:p>
        </w:tc>
        <w:tc>
          <w:tcPr>
            <w:tcW w:w="7041" w:type="dxa"/>
            <w:shd w:val="clear" w:color="auto" w:fill="EEEEEE"/>
          </w:tcPr>
          <w:p w14:paraId="0691AECE">
            <w:pPr>
              <w:keepNext w:val="0"/>
              <w:keepLines w:val="0"/>
              <w:widowControl/>
              <w:suppressLineNumbers w:val="0"/>
              <w:tabs>
                <w:tab w:val="left" w:pos="1620"/>
              </w:tabs>
              <w:spacing w:before="96" w:beforeLines="40" w:beforeAutospacing="0" w:after="96" w:afterLines="40" w:afterAutospacing="0" w:line="24" w:lineRule="atLeast"/>
              <w:ind w:left="0" w:right="0"/>
              <w:rPr>
                <w:rFonts w:hint="default" w:eastAsia="宋体"/>
                <w:sz w:val="18"/>
                <w:szCs w:val="18"/>
                <w:lang w:val="en-US" w:eastAsia="zh-CN"/>
              </w:rPr>
            </w:pPr>
            <w:r>
              <w:rPr>
                <w:rFonts w:hint="default" w:eastAsia="Times New Roman"/>
                <w:sz w:val="18"/>
                <w:szCs w:val="18"/>
                <w:lang w:val="en-GB" w:eastAsia="en-GB"/>
              </w:rPr>
              <w:t>Describe any methods or prior knowledge used to assess the assumptions or justify their validity</w:t>
            </w:r>
            <w:r>
              <w:rPr>
                <w:rFonts w:hint="default" w:eastAsia="Cambria"/>
                <w:sz w:val="18"/>
                <w:szCs w:val="18"/>
                <w:lang w:val="en-GB" w:eastAsia="en-US"/>
              </w:rPr>
              <w:tab/>
            </w:r>
          </w:p>
        </w:tc>
        <w:tc>
          <w:tcPr>
            <w:tcW w:w="720" w:type="dxa"/>
            <w:shd w:val="clear" w:color="auto" w:fill="EEEEEE"/>
          </w:tcPr>
          <w:p w14:paraId="2F1EEB52">
            <w:pPr>
              <w:keepNext w:val="0"/>
              <w:keepLines w:val="0"/>
              <w:widowControl/>
              <w:suppressLineNumbers w:val="0"/>
              <w:tabs>
                <w:tab w:val="left" w:pos="1620"/>
              </w:tabs>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6-8</w:t>
            </w:r>
          </w:p>
        </w:tc>
        <w:tc>
          <w:tcPr>
            <w:tcW w:w="4320" w:type="dxa"/>
            <w:shd w:val="clear" w:color="auto" w:fill="EEEEEE"/>
            <w:vAlign w:val="top"/>
          </w:tcPr>
          <w:p w14:paraId="25097373">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US" w:eastAsia="zh-CN" w:bidi="ar"/>
              </w:rPr>
              <w:t>T</w:t>
            </w:r>
            <w:r>
              <w:rPr>
                <w:rFonts w:hint="eastAsia" w:ascii="Times New Roman" w:hAnsi="Times New Roman" w:eastAsia="等线" w:cs="Times New Roman"/>
                <w:color w:val="000000"/>
                <w:sz w:val="20"/>
                <w:szCs w:val="20"/>
                <w:lang w:val="en-GB" w:eastAsia="en-GB" w:bidi="ar"/>
              </w:rPr>
              <w:t>he three core IV assumptions</w:t>
            </w:r>
            <w:r>
              <w:rPr>
                <w:rFonts w:hint="eastAsia" w:ascii="Times New Roman" w:hAnsi="Times New Roman" w:eastAsia="等线" w:cs="Times New Roman"/>
                <w:color w:val="000000"/>
                <w:sz w:val="20"/>
                <w:szCs w:val="20"/>
                <w:lang w:val="en-US" w:eastAsia="zh-CN" w:bidi="ar"/>
              </w:rPr>
              <w:t xml:space="preserve"> explained in the "</w:t>
            </w:r>
            <w:r>
              <w:rPr>
                <w:rFonts w:hint="eastAsia" w:ascii="Times New Roman" w:hAnsi="Times New Roman" w:eastAsia="等线" w:cs="Times New Roman"/>
                <w:color w:val="000000"/>
                <w:sz w:val="20"/>
                <w:szCs w:val="20"/>
                <w:lang w:val="en-GB" w:eastAsia="en-GB" w:bidi="ar"/>
              </w:rPr>
              <w:t>Study design</w:t>
            </w:r>
            <w:r>
              <w:rPr>
                <w:rFonts w:hint="eastAsia" w:ascii="Times New Roman" w:hAnsi="Times New Roman" w:eastAsia="等线" w:cs="Times New Roman"/>
                <w:color w:val="000000"/>
                <w:sz w:val="20"/>
                <w:szCs w:val="20"/>
                <w:lang w:val="en-US" w:eastAsia="zh-CN" w:bidi="ar"/>
              </w:rPr>
              <w:t>" section. The main analysis and sensitivity analysis are explained in the “T</w:t>
            </w:r>
            <w:r>
              <w:rPr>
                <w:rFonts w:hint="default" w:ascii="Times New Roman" w:hAnsi="Times New Roman" w:eastAsia="等线" w:cs="Times New Roman"/>
                <w:color w:val="000000"/>
                <w:sz w:val="20"/>
                <w:szCs w:val="20"/>
                <w:lang w:val="en-US" w:eastAsia="zh-CN" w:bidi="ar"/>
              </w:rPr>
              <w:t>wo-sample MR analysi</w:t>
            </w:r>
            <w:r>
              <w:rPr>
                <w:rFonts w:hint="eastAsia" w:ascii="Times New Roman" w:hAnsi="Times New Roman" w:eastAsia="等线" w:cs="Times New Roman"/>
                <w:color w:val="000000"/>
                <w:sz w:val="20"/>
                <w:szCs w:val="20"/>
                <w:lang w:val="en-US" w:eastAsia="zh-CN" w:bidi="ar"/>
              </w:rPr>
              <w:t>s” and “</w:t>
            </w:r>
            <w:r>
              <w:rPr>
                <w:rFonts w:hint="default" w:ascii="Times New Roman" w:hAnsi="Times New Roman" w:eastAsia="等线" w:cs="Times New Roman"/>
                <w:color w:val="000000"/>
                <w:sz w:val="20"/>
                <w:szCs w:val="20"/>
                <w:lang w:val="en-US" w:eastAsia="zh-CN" w:bidi="ar"/>
              </w:rPr>
              <w:t>Sensitivity analysis</w:t>
            </w:r>
            <w:r>
              <w:rPr>
                <w:rFonts w:hint="eastAsia" w:ascii="Times New Roman" w:hAnsi="Times New Roman" w:eastAsia="等线" w:cs="Times New Roman"/>
                <w:color w:val="000000"/>
                <w:sz w:val="20"/>
                <w:szCs w:val="20"/>
                <w:lang w:val="en-US" w:eastAsia="zh-CN" w:bidi="ar"/>
              </w:rPr>
              <w:t xml:space="preserve">” sections. </w:t>
            </w:r>
          </w:p>
        </w:tc>
      </w:tr>
      <w:tr w14:paraId="0901108D">
        <w:tblPrEx>
          <w:tblCellMar>
            <w:top w:w="0" w:type="dxa"/>
            <w:left w:w="108" w:type="dxa"/>
            <w:bottom w:w="0" w:type="dxa"/>
            <w:right w:w="108" w:type="dxa"/>
          </w:tblCellMar>
        </w:tblPrEx>
        <w:tc>
          <w:tcPr>
            <w:tcW w:w="587" w:type="dxa"/>
            <w:shd w:val="clear" w:color="auto" w:fill="auto"/>
          </w:tcPr>
          <w:p w14:paraId="2218C91E">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8</w:t>
            </w:r>
          </w:p>
        </w:tc>
        <w:tc>
          <w:tcPr>
            <w:tcW w:w="1822" w:type="dxa"/>
            <w:shd w:val="clear" w:color="auto" w:fill="auto"/>
          </w:tcPr>
          <w:p w14:paraId="3F8F3BD9">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Sensitivity analyses and additional analyses</w:t>
            </w:r>
          </w:p>
        </w:tc>
        <w:tc>
          <w:tcPr>
            <w:tcW w:w="7041" w:type="dxa"/>
            <w:shd w:val="clear" w:color="auto" w:fill="auto"/>
          </w:tcPr>
          <w:p w14:paraId="30AB7F88">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Pr>
          <w:p w14:paraId="337C54DA">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7-8</w:t>
            </w:r>
          </w:p>
        </w:tc>
        <w:tc>
          <w:tcPr>
            <w:tcW w:w="4320" w:type="dxa"/>
          </w:tcPr>
          <w:p w14:paraId="6FEA5F3B">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 xml:space="preserve">We have described the relevant content in the </w:t>
            </w:r>
            <w:r>
              <w:rPr>
                <w:rFonts w:hint="eastAsia" w:ascii="Times New Roman" w:hAnsi="Times New Roman" w:eastAsia="等线" w:cs="Times New Roman"/>
                <w:color w:val="000000"/>
                <w:sz w:val="20"/>
                <w:szCs w:val="20"/>
                <w:lang w:val="en-US" w:eastAsia="zh-CN" w:bidi="ar"/>
              </w:rPr>
              <w:t>“T</w:t>
            </w:r>
            <w:r>
              <w:rPr>
                <w:rFonts w:hint="default" w:ascii="Times New Roman" w:hAnsi="Times New Roman" w:eastAsia="等线" w:cs="Times New Roman"/>
                <w:color w:val="000000"/>
                <w:sz w:val="20"/>
                <w:szCs w:val="20"/>
                <w:lang w:val="en-US" w:eastAsia="zh-CN" w:bidi="ar"/>
              </w:rPr>
              <w:t>wo-sample MR analysi</w:t>
            </w:r>
            <w:r>
              <w:rPr>
                <w:rFonts w:hint="eastAsia" w:ascii="Times New Roman" w:hAnsi="Times New Roman" w:eastAsia="等线" w:cs="Times New Roman"/>
                <w:color w:val="000000"/>
                <w:sz w:val="20"/>
                <w:szCs w:val="20"/>
                <w:lang w:val="en-US" w:eastAsia="zh-CN" w:bidi="ar"/>
              </w:rPr>
              <w:t>s” and “</w:t>
            </w:r>
            <w:r>
              <w:rPr>
                <w:rFonts w:hint="default" w:ascii="Times New Roman" w:hAnsi="Times New Roman" w:eastAsia="等线" w:cs="Times New Roman"/>
                <w:color w:val="000000"/>
                <w:sz w:val="20"/>
                <w:szCs w:val="20"/>
                <w:lang w:val="en-US" w:eastAsia="zh-CN" w:bidi="ar"/>
              </w:rPr>
              <w:t>Sensitivity analysis</w:t>
            </w:r>
            <w:r>
              <w:rPr>
                <w:rFonts w:hint="eastAsia" w:ascii="Times New Roman" w:hAnsi="Times New Roman" w:eastAsia="等线" w:cs="Times New Roman"/>
                <w:color w:val="000000"/>
                <w:sz w:val="20"/>
                <w:szCs w:val="20"/>
                <w:lang w:val="en-US" w:eastAsia="zh-CN" w:bidi="ar"/>
              </w:rPr>
              <w:t xml:space="preserve">” sections. </w:t>
            </w:r>
          </w:p>
        </w:tc>
      </w:tr>
      <w:tr w14:paraId="59152428">
        <w:tblPrEx>
          <w:tblCellMar>
            <w:top w:w="0" w:type="dxa"/>
            <w:left w:w="108" w:type="dxa"/>
            <w:bottom w:w="0" w:type="dxa"/>
            <w:right w:w="108" w:type="dxa"/>
          </w:tblCellMar>
        </w:tblPrEx>
        <w:trPr>
          <w:trHeight w:val="802" w:hRule="atLeast"/>
        </w:trPr>
        <w:tc>
          <w:tcPr>
            <w:tcW w:w="587" w:type="dxa"/>
            <w:shd w:val="clear" w:color="auto" w:fill="EEEEEE"/>
          </w:tcPr>
          <w:p w14:paraId="5BF47EAA">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9</w:t>
            </w:r>
          </w:p>
        </w:tc>
        <w:tc>
          <w:tcPr>
            <w:tcW w:w="1822" w:type="dxa"/>
            <w:shd w:val="clear" w:color="auto" w:fill="EEEEEE"/>
          </w:tcPr>
          <w:p w14:paraId="3282213F">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Software and pre-registration</w:t>
            </w:r>
          </w:p>
        </w:tc>
        <w:tc>
          <w:tcPr>
            <w:tcW w:w="7041" w:type="dxa"/>
            <w:shd w:val="clear" w:color="auto" w:fill="EEEEEE"/>
          </w:tcPr>
          <w:p w14:paraId="2CE8C13E">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720" w:type="dxa"/>
            <w:shd w:val="clear" w:color="auto" w:fill="EEEEEE"/>
          </w:tcPr>
          <w:p w14:paraId="0C754AAC">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p>
        </w:tc>
        <w:tc>
          <w:tcPr>
            <w:tcW w:w="4320" w:type="dxa"/>
            <w:shd w:val="clear" w:color="auto" w:fill="EEEEEE"/>
          </w:tcPr>
          <w:p w14:paraId="40B7A2DA">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US" w:bidi="ar"/>
              </w:rPr>
            </w:pPr>
          </w:p>
        </w:tc>
      </w:tr>
      <w:tr w14:paraId="1ABA8C8C">
        <w:tblPrEx>
          <w:tblCellMar>
            <w:top w:w="0" w:type="dxa"/>
            <w:left w:w="108" w:type="dxa"/>
            <w:bottom w:w="0" w:type="dxa"/>
            <w:right w:w="108" w:type="dxa"/>
          </w:tblCellMar>
        </w:tblPrEx>
        <w:tc>
          <w:tcPr>
            <w:tcW w:w="587" w:type="dxa"/>
            <w:shd w:val="clear" w:color="auto" w:fill="auto"/>
          </w:tcPr>
          <w:p w14:paraId="3AF0CC96">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4E615B0B">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041" w:type="dxa"/>
            <w:shd w:val="clear" w:color="auto" w:fill="auto"/>
          </w:tcPr>
          <w:p w14:paraId="25B5C80A">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Name statistical software and package(s), including version and settings used </w:t>
            </w:r>
          </w:p>
        </w:tc>
        <w:tc>
          <w:tcPr>
            <w:tcW w:w="720" w:type="dxa"/>
          </w:tcPr>
          <w:p w14:paraId="25971C9C">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GB" w:eastAsia="en-GB"/>
              </w:rPr>
            </w:pPr>
            <w:r>
              <w:rPr>
                <w:rFonts w:hint="eastAsia" w:eastAsia="宋体"/>
                <w:sz w:val="18"/>
                <w:szCs w:val="18"/>
                <w:lang w:val="en-US" w:eastAsia="zh-CN"/>
              </w:rPr>
              <w:t>6</w:t>
            </w:r>
          </w:p>
        </w:tc>
        <w:tc>
          <w:tcPr>
            <w:tcW w:w="4320" w:type="dxa"/>
          </w:tcPr>
          <w:p w14:paraId="26CB462A">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US" w:eastAsia="zh-CN" w:bidi="ar"/>
              </w:rPr>
              <w:t>W</w:t>
            </w:r>
            <w:r>
              <w:rPr>
                <w:rFonts w:hint="eastAsia" w:ascii="Times New Roman" w:hAnsi="Times New Roman" w:eastAsia="等线" w:cs="Times New Roman"/>
                <w:color w:val="000000"/>
                <w:sz w:val="20"/>
                <w:szCs w:val="20"/>
                <w:lang w:val="en-GB" w:eastAsia="en-GB" w:bidi="ar"/>
              </w:rPr>
              <w:t>e carried out the MR analysis</w:t>
            </w:r>
            <w:r>
              <w:rPr>
                <w:rFonts w:hint="eastAsia" w:ascii="Times New Roman" w:hAnsi="Times New Roman" w:eastAsia="等线" w:cs="Times New Roman"/>
                <w:color w:val="000000"/>
                <w:sz w:val="20"/>
                <w:szCs w:val="20"/>
                <w:lang w:val="en-US" w:eastAsia="zh-CN" w:bidi="ar"/>
              </w:rPr>
              <w:t xml:space="preserve"> u</w:t>
            </w:r>
            <w:r>
              <w:rPr>
                <w:rFonts w:hint="eastAsia" w:ascii="Times New Roman" w:hAnsi="Times New Roman" w:eastAsia="等线" w:cs="Times New Roman"/>
                <w:color w:val="000000"/>
                <w:sz w:val="20"/>
                <w:szCs w:val="20"/>
                <w:lang w:val="en-GB" w:eastAsia="en-GB" w:bidi="ar"/>
              </w:rPr>
              <w:t>sing the R version 4.3.1 software's "TwoSampleMR" package</w:t>
            </w:r>
            <w:r>
              <w:rPr>
                <w:rFonts w:hint="eastAsia" w:ascii="Times New Roman" w:hAnsi="Times New Roman" w:eastAsia="等线" w:cs="Times New Roman"/>
                <w:color w:val="000000"/>
                <w:sz w:val="20"/>
                <w:szCs w:val="20"/>
                <w:lang w:val="en-US" w:eastAsia="zh-CN" w:bidi="ar"/>
              </w:rPr>
              <w:t>(</w:t>
            </w:r>
            <w:r>
              <w:rPr>
                <w:rFonts w:hint="eastAsia" w:ascii="Times New Roman" w:hAnsi="Times New Roman" w:eastAsia="等线" w:cs="Times New Roman"/>
                <w:color w:val="000000"/>
                <w:sz w:val="20"/>
                <w:szCs w:val="20"/>
                <w:lang w:val="en-GB" w:eastAsia="en-GB" w:bidi="ar"/>
              </w:rPr>
              <w:t>version 0.5.7.</w:t>
            </w:r>
            <w:r>
              <w:rPr>
                <w:rFonts w:hint="eastAsia" w:ascii="Times New Roman" w:hAnsi="Times New Roman" w:eastAsia="等线" w:cs="Times New Roman"/>
                <w:color w:val="000000"/>
                <w:sz w:val="20"/>
                <w:szCs w:val="20"/>
                <w:lang w:val="en-US" w:eastAsia="zh-CN" w:bidi="ar"/>
              </w:rPr>
              <w:t xml:space="preserve"> ) and “MendelianRandomization” (</w:t>
            </w:r>
            <w:r>
              <w:rPr>
                <w:rFonts w:hint="eastAsia" w:ascii="Times New Roman" w:hAnsi="Times New Roman" w:eastAsia="等线" w:cs="Times New Roman"/>
                <w:color w:val="000000"/>
                <w:sz w:val="20"/>
                <w:szCs w:val="20"/>
                <w:lang w:val="en-GB" w:eastAsia="en-GB" w:bidi="ar"/>
              </w:rPr>
              <w:t xml:space="preserve">version </w:t>
            </w:r>
            <w:r>
              <w:rPr>
                <w:rFonts w:hint="eastAsia" w:ascii="Times New Roman" w:hAnsi="Times New Roman" w:eastAsia="等线" w:cs="Times New Roman"/>
                <w:color w:val="000000"/>
                <w:sz w:val="20"/>
                <w:szCs w:val="20"/>
                <w:lang w:val="en-US" w:eastAsia="zh-CN" w:bidi="ar"/>
              </w:rPr>
              <w:t xml:space="preserve"> 0.10.0). </w:t>
            </w:r>
          </w:p>
        </w:tc>
      </w:tr>
      <w:tr w14:paraId="19F9D2A0">
        <w:tblPrEx>
          <w:tblCellMar>
            <w:top w:w="0" w:type="dxa"/>
            <w:left w:w="108" w:type="dxa"/>
            <w:bottom w:w="0" w:type="dxa"/>
            <w:right w:w="108" w:type="dxa"/>
          </w:tblCellMar>
        </w:tblPrEx>
        <w:trPr>
          <w:trHeight w:val="630" w:hRule="atLeast"/>
        </w:trPr>
        <w:tc>
          <w:tcPr>
            <w:tcW w:w="587" w:type="dxa"/>
            <w:tcBorders>
              <w:bottom w:val="single" w:color="7F7F7F" w:sz="6" w:space="0"/>
            </w:tcBorders>
            <w:shd w:val="clear" w:color="auto" w:fill="EEEEEE"/>
          </w:tcPr>
          <w:p w14:paraId="473DC22A">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tcBorders>
              <w:bottom w:val="single" w:color="7F7F7F" w:sz="6" w:space="0"/>
            </w:tcBorders>
            <w:shd w:val="clear" w:color="auto" w:fill="EEEEEE"/>
          </w:tcPr>
          <w:p w14:paraId="0189023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041" w:type="dxa"/>
            <w:tcBorders>
              <w:bottom w:val="single" w:color="7F7F7F" w:sz="6" w:space="0"/>
            </w:tcBorders>
            <w:shd w:val="clear" w:color="auto" w:fill="EEEEEE"/>
          </w:tcPr>
          <w:p w14:paraId="26594F84">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State whether the study protocol and details were pre-registered (as well as when and where)</w:t>
            </w:r>
          </w:p>
        </w:tc>
        <w:tc>
          <w:tcPr>
            <w:tcW w:w="720" w:type="dxa"/>
            <w:tcBorders>
              <w:bottom w:val="single" w:color="7F7F7F" w:sz="6" w:space="0"/>
            </w:tcBorders>
            <w:shd w:val="clear" w:color="auto" w:fill="EEEEEE"/>
          </w:tcPr>
          <w:p w14:paraId="62D60B31">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p>
        </w:tc>
        <w:tc>
          <w:tcPr>
            <w:tcW w:w="4320" w:type="dxa"/>
            <w:tcBorders>
              <w:bottom w:val="single" w:color="7F7F7F" w:sz="6" w:space="0"/>
            </w:tcBorders>
            <w:shd w:val="clear" w:color="auto" w:fill="EEEEEE"/>
          </w:tcPr>
          <w:p w14:paraId="05AAFDE1">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The study protocol and details was not pre-registered.</w:t>
            </w:r>
          </w:p>
        </w:tc>
      </w:tr>
      <w:tr w14:paraId="1D7CC59A">
        <w:tblPrEx>
          <w:tblCellMar>
            <w:top w:w="0" w:type="dxa"/>
            <w:left w:w="108" w:type="dxa"/>
            <w:bottom w:w="0" w:type="dxa"/>
            <w:right w:w="108" w:type="dxa"/>
          </w:tblCellMar>
        </w:tblPrEx>
        <w:tc>
          <w:tcPr>
            <w:tcW w:w="587" w:type="dxa"/>
            <w:tcBorders>
              <w:top w:val="single" w:color="7F7F7F" w:sz="6" w:space="0"/>
            </w:tcBorders>
            <w:shd w:val="clear" w:color="auto" w:fill="auto"/>
          </w:tcPr>
          <w:p w14:paraId="28AA73AA">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p>
        </w:tc>
        <w:tc>
          <w:tcPr>
            <w:tcW w:w="1822" w:type="dxa"/>
            <w:tcBorders>
              <w:top w:val="single" w:color="7F7F7F" w:sz="6" w:space="0"/>
            </w:tcBorders>
            <w:shd w:val="clear" w:color="auto" w:fill="auto"/>
          </w:tcPr>
          <w:p w14:paraId="790C7548">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RESULTS</w:t>
            </w:r>
          </w:p>
        </w:tc>
        <w:tc>
          <w:tcPr>
            <w:tcW w:w="7041" w:type="dxa"/>
            <w:tcBorders>
              <w:top w:val="single" w:color="7F7F7F" w:sz="6" w:space="0"/>
            </w:tcBorders>
            <w:shd w:val="clear" w:color="auto" w:fill="auto"/>
          </w:tcPr>
          <w:p w14:paraId="2C152CEB">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720" w:type="dxa"/>
            <w:tcBorders>
              <w:top w:val="single" w:color="7F7F7F" w:sz="6" w:space="0"/>
            </w:tcBorders>
          </w:tcPr>
          <w:p w14:paraId="5A283772">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4320" w:type="dxa"/>
            <w:tcBorders>
              <w:top w:val="single" w:color="7F7F7F" w:sz="6" w:space="0"/>
            </w:tcBorders>
          </w:tcPr>
          <w:p w14:paraId="6CAEC2D3">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US" w:bidi="ar"/>
              </w:rPr>
            </w:pPr>
          </w:p>
        </w:tc>
      </w:tr>
      <w:tr w14:paraId="421B78B4">
        <w:tblPrEx>
          <w:tblCellMar>
            <w:top w:w="0" w:type="dxa"/>
            <w:left w:w="108" w:type="dxa"/>
            <w:bottom w:w="0" w:type="dxa"/>
            <w:right w:w="108" w:type="dxa"/>
          </w:tblCellMar>
        </w:tblPrEx>
        <w:tc>
          <w:tcPr>
            <w:tcW w:w="587" w:type="dxa"/>
            <w:shd w:val="clear" w:color="auto" w:fill="EEEEEE"/>
          </w:tcPr>
          <w:p w14:paraId="6C659BAB">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10</w:t>
            </w:r>
          </w:p>
        </w:tc>
        <w:tc>
          <w:tcPr>
            <w:tcW w:w="1822" w:type="dxa"/>
            <w:shd w:val="clear" w:color="auto" w:fill="EEEEEE"/>
          </w:tcPr>
          <w:p w14:paraId="74EA09EF">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Descriptive data</w:t>
            </w:r>
          </w:p>
        </w:tc>
        <w:tc>
          <w:tcPr>
            <w:tcW w:w="7041" w:type="dxa"/>
            <w:shd w:val="clear" w:color="auto" w:fill="EEEEEE"/>
          </w:tcPr>
          <w:p w14:paraId="34C7967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720" w:type="dxa"/>
            <w:shd w:val="clear" w:color="auto" w:fill="EEEEEE"/>
          </w:tcPr>
          <w:p w14:paraId="02176337">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4320" w:type="dxa"/>
            <w:shd w:val="clear" w:color="auto" w:fill="EEEEEE"/>
          </w:tcPr>
          <w:p w14:paraId="62B5FD04">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US" w:bidi="ar"/>
              </w:rPr>
            </w:pPr>
          </w:p>
        </w:tc>
      </w:tr>
      <w:tr w14:paraId="58883132">
        <w:tblPrEx>
          <w:tblCellMar>
            <w:top w:w="0" w:type="dxa"/>
            <w:left w:w="108" w:type="dxa"/>
            <w:bottom w:w="0" w:type="dxa"/>
            <w:right w:w="108" w:type="dxa"/>
          </w:tblCellMar>
        </w:tblPrEx>
        <w:tc>
          <w:tcPr>
            <w:tcW w:w="587" w:type="dxa"/>
            <w:shd w:val="clear" w:color="auto" w:fill="auto"/>
          </w:tcPr>
          <w:p w14:paraId="0A21A288">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24214B20">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041" w:type="dxa"/>
            <w:shd w:val="clear" w:color="auto" w:fill="auto"/>
          </w:tcPr>
          <w:p w14:paraId="650FE44F">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the numbers of individuals at each stage of included studies and reasons for exclusion. Consider use of a flow diagram</w:t>
            </w:r>
          </w:p>
        </w:tc>
        <w:tc>
          <w:tcPr>
            <w:tcW w:w="720" w:type="dxa"/>
          </w:tcPr>
          <w:p w14:paraId="33AFB22A">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6</w:t>
            </w:r>
          </w:p>
        </w:tc>
        <w:tc>
          <w:tcPr>
            <w:tcW w:w="4320" w:type="dxa"/>
          </w:tcPr>
          <w:p w14:paraId="2E3F4A99">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 xml:space="preserve">The relevant information is listed in the "Data Sources" section </w:t>
            </w:r>
          </w:p>
        </w:tc>
      </w:tr>
      <w:tr w14:paraId="248CD58F">
        <w:tblPrEx>
          <w:tblCellMar>
            <w:top w:w="0" w:type="dxa"/>
            <w:left w:w="108" w:type="dxa"/>
            <w:bottom w:w="0" w:type="dxa"/>
            <w:right w:w="108" w:type="dxa"/>
          </w:tblCellMar>
        </w:tblPrEx>
        <w:tc>
          <w:tcPr>
            <w:tcW w:w="587" w:type="dxa"/>
            <w:shd w:val="clear" w:color="auto" w:fill="EEEEEE"/>
          </w:tcPr>
          <w:p w14:paraId="2B71B9C5">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1B32D744">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041" w:type="dxa"/>
            <w:shd w:val="clear" w:color="auto" w:fill="EEEEEE"/>
          </w:tcPr>
          <w:p w14:paraId="4CFAB8C4">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Report summary statistics for phenotypic exposure(s), outcome(s), and other relevant variables (e.g. means, SDs, proportions)</w:t>
            </w:r>
          </w:p>
        </w:tc>
        <w:tc>
          <w:tcPr>
            <w:tcW w:w="720" w:type="dxa"/>
            <w:shd w:val="clear" w:color="auto" w:fill="EEEEEE"/>
          </w:tcPr>
          <w:p w14:paraId="317F42C5">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6</w:t>
            </w:r>
          </w:p>
        </w:tc>
        <w:tc>
          <w:tcPr>
            <w:tcW w:w="4320" w:type="dxa"/>
            <w:shd w:val="clear" w:color="auto" w:fill="EEEEEE"/>
          </w:tcPr>
          <w:p w14:paraId="7BE5747F">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 xml:space="preserve">The relevant information is listed in the "Data Sources" section </w:t>
            </w:r>
            <w:r>
              <w:rPr>
                <w:rFonts w:hint="eastAsia" w:ascii="Times New Roman" w:hAnsi="Times New Roman" w:eastAsia="等线" w:cs="Times New Roman"/>
                <w:color w:val="000000"/>
                <w:sz w:val="20"/>
                <w:szCs w:val="20"/>
                <w:lang w:val="en-US" w:eastAsia="zh-CN" w:bidi="ar"/>
              </w:rPr>
              <w:t xml:space="preserve"> </w:t>
            </w:r>
          </w:p>
        </w:tc>
      </w:tr>
      <w:tr w14:paraId="6B1B534E">
        <w:tblPrEx>
          <w:tblCellMar>
            <w:top w:w="0" w:type="dxa"/>
            <w:left w:w="108" w:type="dxa"/>
            <w:bottom w:w="0" w:type="dxa"/>
            <w:right w:w="108" w:type="dxa"/>
          </w:tblCellMar>
        </w:tblPrEx>
        <w:tc>
          <w:tcPr>
            <w:tcW w:w="587" w:type="dxa"/>
            <w:shd w:val="clear" w:color="auto" w:fill="auto"/>
          </w:tcPr>
          <w:p w14:paraId="1076E623">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02965FBC">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041" w:type="dxa"/>
            <w:shd w:val="clear" w:color="auto" w:fill="auto"/>
          </w:tcPr>
          <w:p w14:paraId="1A156D19">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If the data sources include meta-analyses of previous studies, provide the assessments of heterogeneity across these studies</w:t>
            </w:r>
          </w:p>
        </w:tc>
        <w:tc>
          <w:tcPr>
            <w:tcW w:w="720" w:type="dxa"/>
          </w:tcPr>
          <w:p w14:paraId="3EC7A5FA">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p>
        </w:tc>
        <w:tc>
          <w:tcPr>
            <w:tcW w:w="4320" w:type="dxa"/>
          </w:tcPr>
          <w:p w14:paraId="5E39CEC7">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N/A</w:t>
            </w:r>
          </w:p>
        </w:tc>
      </w:tr>
      <w:tr w14:paraId="2CA3C450">
        <w:tblPrEx>
          <w:tblCellMar>
            <w:top w:w="0" w:type="dxa"/>
            <w:left w:w="108" w:type="dxa"/>
            <w:bottom w:w="0" w:type="dxa"/>
            <w:right w:w="108" w:type="dxa"/>
          </w:tblCellMar>
        </w:tblPrEx>
        <w:tc>
          <w:tcPr>
            <w:tcW w:w="587" w:type="dxa"/>
            <w:shd w:val="clear" w:color="auto" w:fill="EEEEEE"/>
          </w:tcPr>
          <w:p w14:paraId="7A06B843">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2DDB6809">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d)</w:t>
            </w:r>
          </w:p>
        </w:tc>
        <w:tc>
          <w:tcPr>
            <w:tcW w:w="7041" w:type="dxa"/>
            <w:shd w:val="clear" w:color="auto" w:fill="EEEEEE"/>
          </w:tcPr>
          <w:p w14:paraId="22EF3D37">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 xml:space="preserve">For </w:t>
            </w:r>
            <w:r>
              <w:rPr>
                <w:rFonts w:hint="default" w:eastAsia="Times New Roman"/>
                <w:iCs/>
                <w:sz w:val="18"/>
                <w:szCs w:val="18"/>
                <w:lang w:val="en-GB" w:eastAsia="en-GB"/>
              </w:rPr>
              <w:t>two-sample</w:t>
            </w:r>
            <w:r>
              <w:rPr>
                <w:rFonts w:hint="default" w:eastAsia="Times New Roman"/>
                <w:sz w:val="18"/>
                <w:szCs w:val="18"/>
                <w:lang w:val="en-GB" w:eastAsia="en-GB"/>
              </w:rPr>
              <w:t xml:space="preserve"> MR:</w:t>
            </w:r>
          </w:p>
          <w:p w14:paraId="34758547">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 xml:space="preserve">   i.  Provide justification of the similarity of the genetic variant-exposure associations between the exposure and outcome samples</w:t>
            </w:r>
          </w:p>
          <w:p w14:paraId="6F03E808">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 xml:space="preserve">   ii.  Provide information on the number of individuals who overlap between the exposure and outcome studies</w:t>
            </w:r>
          </w:p>
        </w:tc>
        <w:tc>
          <w:tcPr>
            <w:tcW w:w="720" w:type="dxa"/>
            <w:shd w:val="clear" w:color="auto" w:fill="EEEEEE"/>
          </w:tcPr>
          <w:p w14:paraId="2C6DB39F">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6</w:t>
            </w:r>
          </w:p>
        </w:tc>
        <w:tc>
          <w:tcPr>
            <w:tcW w:w="4320" w:type="dxa"/>
            <w:shd w:val="clear" w:color="auto" w:fill="EEEEEE"/>
          </w:tcPr>
          <w:p w14:paraId="6AD491F2">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 xml:space="preserve">Our samples do not overlap and are explained in the "Data Sources" section </w:t>
            </w:r>
          </w:p>
        </w:tc>
      </w:tr>
      <w:tr w14:paraId="69256C0B">
        <w:tblPrEx>
          <w:tblCellMar>
            <w:top w:w="0" w:type="dxa"/>
            <w:left w:w="108" w:type="dxa"/>
            <w:bottom w:w="0" w:type="dxa"/>
            <w:right w:w="108" w:type="dxa"/>
          </w:tblCellMar>
        </w:tblPrEx>
        <w:tc>
          <w:tcPr>
            <w:tcW w:w="587" w:type="dxa"/>
            <w:shd w:val="clear" w:color="auto" w:fill="auto"/>
          </w:tcPr>
          <w:p w14:paraId="0E0E98A9">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11</w:t>
            </w:r>
          </w:p>
        </w:tc>
        <w:tc>
          <w:tcPr>
            <w:tcW w:w="1822" w:type="dxa"/>
            <w:shd w:val="clear" w:color="auto" w:fill="auto"/>
          </w:tcPr>
          <w:p w14:paraId="1E9FE60A">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Main results</w:t>
            </w:r>
          </w:p>
        </w:tc>
        <w:tc>
          <w:tcPr>
            <w:tcW w:w="7041" w:type="dxa"/>
            <w:shd w:val="clear" w:color="auto" w:fill="auto"/>
          </w:tcPr>
          <w:p w14:paraId="75F133DD">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720" w:type="dxa"/>
          </w:tcPr>
          <w:p w14:paraId="2431228A">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4320" w:type="dxa"/>
          </w:tcPr>
          <w:p w14:paraId="48E54335">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US" w:bidi="ar"/>
              </w:rPr>
            </w:pPr>
          </w:p>
        </w:tc>
      </w:tr>
      <w:tr w14:paraId="47CD0CBF">
        <w:tblPrEx>
          <w:tblCellMar>
            <w:top w:w="0" w:type="dxa"/>
            <w:left w:w="108" w:type="dxa"/>
            <w:bottom w:w="0" w:type="dxa"/>
            <w:right w:w="108" w:type="dxa"/>
          </w:tblCellMar>
        </w:tblPrEx>
        <w:tc>
          <w:tcPr>
            <w:tcW w:w="587" w:type="dxa"/>
            <w:shd w:val="clear" w:color="auto" w:fill="EEEEEE"/>
          </w:tcPr>
          <w:p w14:paraId="1D165366">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7B3509A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041" w:type="dxa"/>
            <w:shd w:val="clear" w:color="auto" w:fill="EEEEEE"/>
          </w:tcPr>
          <w:p w14:paraId="255FA60B">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Pr>
          <w:p w14:paraId="2F260AF4">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9-14</w:t>
            </w:r>
          </w:p>
        </w:tc>
        <w:tc>
          <w:tcPr>
            <w:tcW w:w="4320" w:type="dxa"/>
            <w:vMerge w:val="restart"/>
            <w:shd w:val="clear" w:color="auto" w:fill="EEEEEE"/>
            <w:vAlign w:val="center"/>
          </w:tcPr>
          <w:p w14:paraId="57D9294E">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In the "Results" section, we presented the relevant results through graphs and tables, with additional text explanations.</w:t>
            </w:r>
          </w:p>
        </w:tc>
      </w:tr>
      <w:tr w14:paraId="21D840EC">
        <w:tblPrEx>
          <w:tblCellMar>
            <w:top w:w="0" w:type="dxa"/>
            <w:left w:w="108" w:type="dxa"/>
            <w:bottom w:w="0" w:type="dxa"/>
            <w:right w:w="108" w:type="dxa"/>
          </w:tblCellMar>
        </w:tblPrEx>
        <w:tc>
          <w:tcPr>
            <w:tcW w:w="587" w:type="dxa"/>
            <w:shd w:val="clear" w:color="auto" w:fill="auto"/>
          </w:tcPr>
          <w:p w14:paraId="503465C1">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1F6C5CDB">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041" w:type="dxa"/>
            <w:shd w:val="clear" w:color="auto" w:fill="auto"/>
          </w:tcPr>
          <w:p w14:paraId="4D746118">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720" w:type="dxa"/>
          </w:tcPr>
          <w:p w14:paraId="727D354F">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eastAsia" w:eastAsia="宋体"/>
                <w:sz w:val="18"/>
                <w:szCs w:val="18"/>
                <w:lang w:val="en-US" w:eastAsia="zh-CN"/>
              </w:rPr>
              <w:t>9-14</w:t>
            </w:r>
          </w:p>
        </w:tc>
        <w:tc>
          <w:tcPr>
            <w:tcW w:w="4320" w:type="dxa"/>
            <w:vMerge w:val="continue"/>
          </w:tcPr>
          <w:p w14:paraId="6D27C5DA">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p>
        </w:tc>
      </w:tr>
      <w:tr w14:paraId="0A33CF5C">
        <w:tblPrEx>
          <w:tblCellMar>
            <w:top w:w="0" w:type="dxa"/>
            <w:left w:w="108" w:type="dxa"/>
            <w:bottom w:w="0" w:type="dxa"/>
            <w:right w:w="108" w:type="dxa"/>
          </w:tblCellMar>
        </w:tblPrEx>
        <w:tc>
          <w:tcPr>
            <w:tcW w:w="587" w:type="dxa"/>
            <w:shd w:val="clear" w:color="auto" w:fill="EEEEEE"/>
          </w:tcPr>
          <w:p w14:paraId="7FE7B999">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34EDC04E">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041" w:type="dxa"/>
            <w:shd w:val="clear" w:color="auto" w:fill="EEEEEE"/>
          </w:tcPr>
          <w:p w14:paraId="3ADBB0D5">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If relevant, consider translating estimates of relative risk into absolute risk for a meaningful time period</w:t>
            </w:r>
          </w:p>
        </w:tc>
        <w:tc>
          <w:tcPr>
            <w:tcW w:w="720" w:type="dxa"/>
            <w:shd w:val="clear" w:color="auto" w:fill="EEEEEE"/>
          </w:tcPr>
          <w:p w14:paraId="35938530">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eastAsia" w:eastAsia="宋体"/>
                <w:sz w:val="18"/>
                <w:szCs w:val="18"/>
                <w:lang w:val="en-US" w:eastAsia="zh-CN"/>
              </w:rPr>
              <w:t>9-14</w:t>
            </w:r>
          </w:p>
        </w:tc>
        <w:tc>
          <w:tcPr>
            <w:tcW w:w="4320" w:type="dxa"/>
            <w:vMerge w:val="continue"/>
            <w:shd w:val="clear" w:color="auto" w:fill="EEEEEE"/>
          </w:tcPr>
          <w:p w14:paraId="610F314D">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p>
        </w:tc>
      </w:tr>
      <w:tr w14:paraId="4114F668">
        <w:tblPrEx>
          <w:tblCellMar>
            <w:top w:w="0" w:type="dxa"/>
            <w:left w:w="108" w:type="dxa"/>
            <w:bottom w:w="0" w:type="dxa"/>
            <w:right w:w="108" w:type="dxa"/>
          </w:tblCellMar>
        </w:tblPrEx>
        <w:tc>
          <w:tcPr>
            <w:tcW w:w="587" w:type="dxa"/>
            <w:shd w:val="clear" w:color="auto" w:fill="auto"/>
          </w:tcPr>
          <w:p w14:paraId="18DD2498">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110F2677">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d)</w:t>
            </w:r>
          </w:p>
        </w:tc>
        <w:tc>
          <w:tcPr>
            <w:tcW w:w="7041" w:type="dxa"/>
            <w:shd w:val="clear" w:color="auto" w:fill="auto"/>
          </w:tcPr>
          <w:p w14:paraId="08F1F85E">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Pr>
          <w:p w14:paraId="4B8B293E">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eastAsia" w:eastAsia="宋体"/>
                <w:sz w:val="18"/>
                <w:szCs w:val="18"/>
                <w:lang w:val="en-US" w:eastAsia="zh-CN"/>
              </w:rPr>
              <w:t>9-14</w:t>
            </w:r>
          </w:p>
        </w:tc>
        <w:tc>
          <w:tcPr>
            <w:tcW w:w="4320" w:type="dxa"/>
            <w:vMerge w:val="continue"/>
          </w:tcPr>
          <w:p w14:paraId="7B0FB401">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p>
        </w:tc>
      </w:tr>
      <w:tr w14:paraId="6E6BB81D">
        <w:tblPrEx>
          <w:tblCellMar>
            <w:top w:w="0" w:type="dxa"/>
            <w:left w:w="108" w:type="dxa"/>
            <w:bottom w:w="0" w:type="dxa"/>
            <w:right w:w="108" w:type="dxa"/>
          </w:tblCellMar>
        </w:tblPrEx>
        <w:tc>
          <w:tcPr>
            <w:tcW w:w="587" w:type="dxa"/>
            <w:shd w:val="clear" w:color="auto" w:fill="EEEEEE"/>
          </w:tcPr>
          <w:p w14:paraId="1CAF758F">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12</w:t>
            </w:r>
          </w:p>
        </w:tc>
        <w:tc>
          <w:tcPr>
            <w:tcW w:w="1822" w:type="dxa"/>
            <w:shd w:val="clear" w:color="auto" w:fill="EEEEEE"/>
          </w:tcPr>
          <w:p w14:paraId="49D4ACB1">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Assessment of assumptions</w:t>
            </w:r>
          </w:p>
        </w:tc>
        <w:tc>
          <w:tcPr>
            <w:tcW w:w="7041" w:type="dxa"/>
            <w:shd w:val="clear" w:color="auto" w:fill="EEEEEE"/>
          </w:tcPr>
          <w:p w14:paraId="07DB9909">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720" w:type="dxa"/>
            <w:shd w:val="clear" w:color="auto" w:fill="EEEEEE"/>
          </w:tcPr>
          <w:p w14:paraId="0DE7C39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4320" w:type="dxa"/>
            <w:shd w:val="clear" w:color="auto" w:fill="EEEEEE"/>
          </w:tcPr>
          <w:p w14:paraId="053012BB">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US" w:bidi="ar"/>
              </w:rPr>
            </w:pPr>
          </w:p>
        </w:tc>
      </w:tr>
      <w:tr w14:paraId="5DC5B0C9">
        <w:tblPrEx>
          <w:tblCellMar>
            <w:top w:w="0" w:type="dxa"/>
            <w:left w:w="108" w:type="dxa"/>
            <w:bottom w:w="0" w:type="dxa"/>
            <w:right w:w="108" w:type="dxa"/>
          </w:tblCellMar>
        </w:tblPrEx>
        <w:tc>
          <w:tcPr>
            <w:tcW w:w="587" w:type="dxa"/>
            <w:shd w:val="clear" w:color="auto" w:fill="auto"/>
          </w:tcPr>
          <w:p w14:paraId="6FD503FB">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6D1E50B3">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041" w:type="dxa"/>
            <w:shd w:val="clear" w:color="auto" w:fill="auto"/>
          </w:tcPr>
          <w:p w14:paraId="382FF58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the assessment of the validity of the assumptions</w:t>
            </w:r>
          </w:p>
        </w:tc>
        <w:tc>
          <w:tcPr>
            <w:tcW w:w="720" w:type="dxa"/>
          </w:tcPr>
          <w:p w14:paraId="30F72D8C">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7-8</w:t>
            </w:r>
          </w:p>
        </w:tc>
        <w:tc>
          <w:tcPr>
            <w:tcW w:w="4320" w:type="dxa"/>
          </w:tcPr>
          <w:p w14:paraId="05F2884B">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 xml:space="preserve">The method of sensitivity analysis is explainedin the </w:t>
            </w:r>
            <w:r>
              <w:rPr>
                <w:rFonts w:hint="eastAsia" w:ascii="Times New Roman" w:hAnsi="Times New Roman" w:eastAsia="等线" w:cs="Times New Roman"/>
                <w:color w:val="000000"/>
                <w:sz w:val="20"/>
                <w:szCs w:val="20"/>
                <w:lang w:val="en-US" w:eastAsia="zh-CN" w:bidi="ar"/>
              </w:rPr>
              <w:t>“</w:t>
            </w:r>
            <w:r>
              <w:rPr>
                <w:rFonts w:hint="default" w:ascii="Times New Roman" w:hAnsi="Times New Roman" w:eastAsia="等线" w:cs="Times New Roman"/>
                <w:color w:val="000000"/>
                <w:sz w:val="20"/>
                <w:szCs w:val="20"/>
                <w:lang w:val="en-US" w:eastAsia="zh-CN" w:bidi="ar"/>
              </w:rPr>
              <w:t>two-sample MR analysi</w:t>
            </w:r>
            <w:r>
              <w:rPr>
                <w:rFonts w:hint="eastAsia" w:ascii="Times New Roman" w:hAnsi="Times New Roman" w:eastAsia="等线" w:cs="Times New Roman"/>
                <w:color w:val="000000"/>
                <w:sz w:val="20"/>
                <w:szCs w:val="20"/>
                <w:lang w:val="en-US" w:eastAsia="zh-CN" w:bidi="ar"/>
              </w:rPr>
              <w:t>s” and “</w:t>
            </w:r>
            <w:r>
              <w:rPr>
                <w:rFonts w:hint="default" w:ascii="Times New Roman" w:hAnsi="Times New Roman" w:eastAsia="等线" w:cs="Times New Roman"/>
                <w:color w:val="000000"/>
                <w:sz w:val="20"/>
                <w:szCs w:val="20"/>
                <w:lang w:val="en-US" w:eastAsia="zh-CN" w:bidi="ar"/>
              </w:rPr>
              <w:t>Sensitivity analysis</w:t>
            </w:r>
            <w:r>
              <w:rPr>
                <w:rFonts w:hint="eastAsia" w:ascii="Times New Roman" w:hAnsi="Times New Roman" w:eastAsia="等线" w:cs="Times New Roman"/>
                <w:color w:val="000000"/>
                <w:sz w:val="20"/>
                <w:szCs w:val="20"/>
                <w:lang w:val="en-US" w:eastAsia="zh-CN" w:bidi="ar"/>
              </w:rPr>
              <w:t xml:space="preserve">” sections. </w:t>
            </w:r>
          </w:p>
        </w:tc>
      </w:tr>
      <w:tr w14:paraId="4221DC6F">
        <w:tblPrEx>
          <w:tblCellMar>
            <w:top w:w="0" w:type="dxa"/>
            <w:left w:w="108" w:type="dxa"/>
            <w:bottom w:w="0" w:type="dxa"/>
            <w:right w:w="108" w:type="dxa"/>
          </w:tblCellMar>
        </w:tblPrEx>
        <w:tc>
          <w:tcPr>
            <w:tcW w:w="587" w:type="dxa"/>
            <w:shd w:val="clear" w:color="auto" w:fill="EEEEEE"/>
          </w:tcPr>
          <w:p w14:paraId="6E245BBB">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598FF964">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041" w:type="dxa"/>
            <w:shd w:val="clear" w:color="auto" w:fill="EEEEEE"/>
          </w:tcPr>
          <w:p w14:paraId="433A11E9">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 xml:space="preserve">Report any additional statistics (e.g., assessments of heterogeneity </w:t>
            </w:r>
            <w:r>
              <w:rPr>
                <w:rFonts w:hint="default" w:eastAsia="Times New Roman"/>
                <w:sz w:val="18"/>
                <w:szCs w:val="18"/>
                <w:lang w:eastAsia="en-GB"/>
              </w:rPr>
              <w:t>across genetic variants</w:t>
            </w:r>
            <w:r>
              <w:rPr>
                <w:rFonts w:hint="default" w:eastAsia="Times New Roman"/>
                <w:sz w:val="18"/>
                <w:szCs w:val="18"/>
                <w:lang w:val="en-GB" w:eastAsia="en-GB"/>
              </w:rPr>
              <w:t xml:space="preserve">, such as </w:t>
            </w:r>
            <w:r>
              <w:rPr>
                <w:rFonts w:hint="default" w:eastAsia="Times New Roman"/>
                <w:i/>
                <w:sz w:val="18"/>
                <w:szCs w:val="18"/>
                <w:lang w:val="en-GB" w:eastAsia="en-GB"/>
              </w:rPr>
              <w:t>I</w:t>
            </w:r>
            <w:r>
              <w:rPr>
                <w:rFonts w:hint="default" w:eastAsia="Times New Roman"/>
                <w:i/>
                <w:sz w:val="18"/>
                <w:szCs w:val="18"/>
                <w:vertAlign w:val="superscript"/>
                <w:lang w:val="en-GB" w:eastAsia="en-GB"/>
              </w:rPr>
              <w:t>2</w:t>
            </w:r>
            <w:r>
              <w:rPr>
                <w:rFonts w:hint="default" w:eastAsia="Times New Roman"/>
                <w:sz w:val="18"/>
                <w:szCs w:val="18"/>
                <w:lang w:val="en-GB" w:eastAsia="en-GB"/>
              </w:rPr>
              <w:t>, Q statistic or E-value)</w:t>
            </w:r>
          </w:p>
        </w:tc>
        <w:tc>
          <w:tcPr>
            <w:tcW w:w="720" w:type="dxa"/>
            <w:shd w:val="clear" w:color="auto" w:fill="EEEEEE"/>
          </w:tcPr>
          <w:p w14:paraId="60C28E13">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p>
        </w:tc>
        <w:tc>
          <w:tcPr>
            <w:tcW w:w="4320" w:type="dxa"/>
            <w:shd w:val="clear" w:color="auto" w:fill="EEEEEE"/>
          </w:tcPr>
          <w:p w14:paraId="750F98EB">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US" w:eastAsia="en-GB" w:bidi="ar"/>
              </w:rPr>
            </w:pPr>
            <w:r>
              <w:rPr>
                <w:rFonts w:hint="eastAsia" w:ascii="Times New Roman" w:hAnsi="Times New Roman" w:eastAsia="等线" w:cs="Times New Roman"/>
                <w:color w:val="000000"/>
                <w:sz w:val="20"/>
                <w:szCs w:val="20"/>
                <w:lang w:val="en-GB" w:eastAsia="en-GB" w:bidi="ar"/>
              </w:rPr>
              <w:t>Relevant information is presented in Supplemental</w:t>
            </w:r>
            <w:r>
              <w:rPr>
                <w:rFonts w:hint="eastAsia" w:ascii="Times New Roman" w:hAnsi="Times New Roman" w:eastAsia="等线" w:cs="Times New Roman"/>
                <w:color w:val="000000"/>
                <w:sz w:val="20"/>
                <w:szCs w:val="20"/>
                <w:lang w:val="en-US" w:eastAsia="zh-CN" w:bidi="ar"/>
              </w:rPr>
              <w:t xml:space="preserve"> 1-3</w:t>
            </w:r>
          </w:p>
        </w:tc>
      </w:tr>
      <w:tr w14:paraId="0DEBFDDD">
        <w:tblPrEx>
          <w:tblCellMar>
            <w:top w:w="0" w:type="dxa"/>
            <w:left w:w="108" w:type="dxa"/>
            <w:bottom w:w="0" w:type="dxa"/>
            <w:right w:w="108" w:type="dxa"/>
          </w:tblCellMar>
        </w:tblPrEx>
        <w:tc>
          <w:tcPr>
            <w:tcW w:w="587" w:type="dxa"/>
            <w:shd w:val="clear" w:color="auto" w:fill="auto"/>
          </w:tcPr>
          <w:p w14:paraId="6FC5F475">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13</w:t>
            </w:r>
          </w:p>
        </w:tc>
        <w:tc>
          <w:tcPr>
            <w:tcW w:w="1822" w:type="dxa"/>
            <w:shd w:val="clear" w:color="auto" w:fill="auto"/>
          </w:tcPr>
          <w:p w14:paraId="7EDC9C6E">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Sensitivity analyses and additional analyses</w:t>
            </w:r>
          </w:p>
        </w:tc>
        <w:tc>
          <w:tcPr>
            <w:tcW w:w="7041" w:type="dxa"/>
            <w:shd w:val="clear" w:color="auto" w:fill="auto"/>
          </w:tcPr>
          <w:p w14:paraId="45EC80C2">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720" w:type="dxa"/>
          </w:tcPr>
          <w:p w14:paraId="217653AF">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4320" w:type="dxa"/>
          </w:tcPr>
          <w:p w14:paraId="53A7A027">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US" w:bidi="ar"/>
              </w:rPr>
            </w:pPr>
          </w:p>
        </w:tc>
      </w:tr>
      <w:tr w14:paraId="1C1703C7">
        <w:tblPrEx>
          <w:tblCellMar>
            <w:top w:w="0" w:type="dxa"/>
            <w:left w:w="108" w:type="dxa"/>
            <w:bottom w:w="0" w:type="dxa"/>
            <w:right w:w="108" w:type="dxa"/>
          </w:tblCellMar>
        </w:tblPrEx>
        <w:tc>
          <w:tcPr>
            <w:tcW w:w="587" w:type="dxa"/>
            <w:shd w:val="clear" w:color="auto" w:fill="EEEEEE"/>
          </w:tcPr>
          <w:p w14:paraId="37774260">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4B5306D4">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041" w:type="dxa"/>
            <w:shd w:val="clear" w:color="auto" w:fill="EEEEEE"/>
          </w:tcPr>
          <w:p w14:paraId="6059F5F6">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14:paraId="48617C62">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eastAsia" w:eastAsia="宋体"/>
                <w:sz w:val="18"/>
                <w:szCs w:val="18"/>
                <w:lang w:val="en-US" w:eastAsia="zh-CN"/>
              </w:rPr>
              <w:t>9-14</w:t>
            </w:r>
          </w:p>
        </w:tc>
        <w:tc>
          <w:tcPr>
            <w:tcW w:w="4320" w:type="dxa"/>
            <w:vMerge w:val="restart"/>
            <w:shd w:val="clear" w:color="auto" w:fill="EEEEEE"/>
            <w:vAlign w:val="center"/>
          </w:tcPr>
          <w:p w14:paraId="3C971C4E">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The results of sensitivity analysis are discussed in the "Results" section</w:t>
            </w:r>
          </w:p>
        </w:tc>
      </w:tr>
      <w:tr w14:paraId="015B11CB">
        <w:tblPrEx>
          <w:tblCellMar>
            <w:top w:w="0" w:type="dxa"/>
            <w:left w:w="108" w:type="dxa"/>
            <w:bottom w:w="0" w:type="dxa"/>
            <w:right w:w="108" w:type="dxa"/>
          </w:tblCellMar>
        </w:tblPrEx>
        <w:tc>
          <w:tcPr>
            <w:tcW w:w="587" w:type="dxa"/>
            <w:shd w:val="clear" w:color="auto" w:fill="auto"/>
          </w:tcPr>
          <w:p w14:paraId="2563FAD9">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1F266F88">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041" w:type="dxa"/>
            <w:shd w:val="clear" w:color="auto" w:fill="auto"/>
          </w:tcPr>
          <w:p w14:paraId="15473F63">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results from other sensitivity analyses or additional analyses</w:t>
            </w:r>
          </w:p>
        </w:tc>
        <w:tc>
          <w:tcPr>
            <w:tcW w:w="720" w:type="dxa"/>
          </w:tcPr>
          <w:p w14:paraId="08EAF5EE">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eastAsia" w:eastAsia="宋体"/>
                <w:sz w:val="18"/>
                <w:szCs w:val="18"/>
                <w:lang w:val="en-US" w:eastAsia="zh-CN"/>
              </w:rPr>
              <w:t>9-14</w:t>
            </w:r>
          </w:p>
        </w:tc>
        <w:tc>
          <w:tcPr>
            <w:tcW w:w="4320" w:type="dxa"/>
            <w:vMerge w:val="continue"/>
          </w:tcPr>
          <w:p w14:paraId="38DC5C0C">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p>
        </w:tc>
      </w:tr>
      <w:tr w14:paraId="3F9662C2">
        <w:tblPrEx>
          <w:tblCellMar>
            <w:top w:w="0" w:type="dxa"/>
            <w:left w:w="108" w:type="dxa"/>
            <w:bottom w:w="0" w:type="dxa"/>
            <w:right w:w="108" w:type="dxa"/>
          </w:tblCellMar>
        </w:tblPrEx>
        <w:tc>
          <w:tcPr>
            <w:tcW w:w="587" w:type="dxa"/>
            <w:shd w:val="clear" w:color="auto" w:fill="EEEEEE"/>
          </w:tcPr>
          <w:p w14:paraId="288E0D1B">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63D4DC07">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041" w:type="dxa"/>
            <w:shd w:val="clear" w:color="auto" w:fill="EEEEEE"/>
          </w:tcPr>
          <w:p w14:paraId="3359C598">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Report any assessment of direction of causal relationship (e.g., bidirectional MR)</w:t>
            </w:r>
          </w:p>
        </w:tc>
        <w:tc>
          <w:tcPr>
            <w:tcW w:w="720" w:type="dxa"/>
            <w:shd w:val="clear" w:color="auto" w:fill="EEEEEE"/>
          </w:tcPr>
          <w:p w14:paraId="7E835D86">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eastAsia" w:eastAsia="宋体"/>
                <w:sz w:val="18"/>
                <w:szCs w:val="18"/>
                <w:lang w:val="en-US" w:eastAsia="zh-CN"/>
              </w:rPr>
              <w:t>9-14</w:t>
            </w:r>
          </w:p>
        </w:tc>
        <w:tc>
          <w:tcPr>
            <w:tcW w:w="4320" w:type="dxa"/>
            <w:vMerge w:val="continue"/>
            <w:shd w:val="clear" w:color="auto" w:fill="EEEEEE"/>
          </w:tcPr>
          <w:p w14:paraId="73609CD7">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p>
        </w:tc>
      </w:tr>
      <w:tr w14:paraId="19944BD2">
        <w:tblPrEx>
          <w:tblCellMar>
            <w:top w:w="0" w:type="dxa"/>
            <w:left w:w="108" w:type="dxa"/>
            <w:bottom w:w="0" w:type="dxa"/>
            <w:right w:w="108" w:type="dxa"/>
          </w:tblCellMar>
        </w:tblPrEx>
        <w:tc>
          <w:tcPr>
            <w:tcW w:w="587" w:type="dxa"/>
            <w:shd w:val="clear" w:color="auto" w:fill="auto"/>
          </w:tcPr>
          <w:p w14:paraId="0A692D05">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2C1CB166">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d)</w:t>
            </w:r>
          </w:p>
        </w:tc>
        <w:tc>
          <w:tcPr>
            <w:tcW w:w="7041" w:type="dxa"/>
            <w:shd w:val="clear" w:color="auto" w:fill="auto"/>
          </w:tcPr>
          <w:p w14:paraId="4A9E7F9C">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When relevant, report and compare with estimates from non-MR analyses</w:t>
            </w:r>
          </w:p>
        </w:tc>
        <w:tc>
          <w:tcPr>
            <w:tcW w:w="720" w:type="dxa"/>
          </w:tcPr>
          <w:p w14:paraId="5B7280AD">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eastAsia" w:eastAsia="宋体"/>
                <w:sz w:val="18"/>
                <w:szCs w:val="18"/>
                <w:lang w:val="en-US" w:eastAsia="zh-CN"/>
              </w:rPr>
              <w:t>9-14</w:t>
            </w:r>
          </w:p>
        </w:tc>
        <w:tc>
          <w:tcPr>
            <w:tcW w:w="4320" w:type="dxa"/>
            <w:vMerge w:val="continue"/>
          </w:tcPr>
          <w:p w14:paraId="6848972F">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p>
        </w:tc>
      </w:tr>
      <w:tr w14:paraId="5B79530D">
        <w:tblPrEx>
          <w:tblCellMar>
            <w:top w:w="0" w:type="dxa"/>
            <w:left w:w="108" w:type="dxa"/>
            <w:bottom w:w="0" w:type="dxa"/>
            <w:right w:w="108" w:type="dxa"/>
          </w:tblCellMar>
        </w:tblPrEx>
        <w:tc>
          <w:tcPr>
            <w:tcW w:w="587" w:type="dxa"/>
            <w:tcBorders>
              <w:bottom w:val="single" w:color="7F7F7F" w:sz="6" w:space="0"/>
            </w:tcBorders>
            <w:shd w:val="clear" w:color="auto" w:fill="EEEEEE"/>
          </w:tcPr>
          <w:p w14:paraId="4FAB469E">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tcBorders>
              <w:bottom w:val="single" w:color="7F7F7F" w:sz="6" w:space="0"/>
            </w:tcBorders>
            <w:shd w:val="clear" w:color="auto" w:fill="EEEEEE"/>
          </w:tcPr>
          <w:p w14:paraId="552AEA5B">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e)</w:t>
            </w:r>
          </w:p>
        </w:tc>
        <w:tc>
          <w:tcPr>
            <w:tcW w:w="7041" w:type="dxa"/>
            <w:tcBorders>
              <w:bottom w:val="single" w:color="7F7F7F" w:sz="6" w:space="0"/>
            </w:tcBorders>
            <w:shd w:val="clear" w:color="auto" w:fill="EEEEEE"/>
          </w:tcPr>
          <w:p w14:paraId="19FEBD1F">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Consider additional plots to visualize results (e.g., leave-one-out analyses)</w:t>
            </w:r>
          </w:p>
        </w:tc>
        <w:tc>
          <w:tcPr>
            <w:tcW w:w="720" w:type="dxa"/>
            <w:tcBorders>
              <w:bottom w:val="single" w:color="7F7F7F" w:sz="6" w:space="0"/>
            </w:tcBorders>
            <w:shd w:val="clear" w:color="auto" w:fill="EEEEEE"/>
          </w:tcPr>
          <w:p w14:paraId="59BB6461">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eastAsia" w:eastAsia="宋体"/>
                <w:sz w:val="18"/>
                <w:szCs w:val="18"/>
                <w:lang w:val="en-US" w:eastAsia="zh-CN"/>
              </w:rPr>
              <w:t>9-14</w:t>
            </w:r>
          </w:p>
        </w:tc>
        <w:tc>
          <w:tcPr>
            <w:tcW w:w="4320" w:type="dxa"/>
            <w:vMerge w:val="continue"/>
            <w:tcBorders>
              <w:bottom w:val="single" w:color="7F7F7F" w:sz="6" w:space="0"/>
            </w:tcBorders>
            <w:shd w:val="clear" w:color="auto" w:fill="EEEEEE"/>
          </w:tcPr>
          <w:p w14:paraId="7A2395B2">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p>
        </w:tc>
      </w:tr>
      <w:tr w14:paraId="28F9089B">
        <w:tblPrEx>
          <w:tblCellMar>
            <w:top w:w="0" w:type="dxa"/>
            <w:left w:w="108" w:type="dxa"/>
            <w:bottom w:w="0" w:type="dxa"/>
            <w:right w:w="108" w:type="dxa"/>
          </w:tblCellMar>
        </w:tblPrEx>
        <w:tc>
          <w:tcPr>
            <w:tcW w:w="587" w:type="dxa"/>
            <w:tcBorders>
              <w:top w:val="single" w:color="7F7F7F" w:sz="6" w:space="0"/>
            </w:tcBorders>
            <w:shd w:val="clear" w:color="auto" w:fill="auto"/>
          </w:tcPr>
          <w:p w14:paraId="0F3661FC">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p>
        </w:tc>
        <w:tc>
          <w:tcPr>
            <w:tcW w:w="1822" w:type="dxa"/>
            <w:tcBorders>
              <w:top w:val="single" w:color="7F7F7F" w:sz="6" w:space="0"/>
            </w:tcBorders>
            <w:shd w:val="clear" w:color="auto" w:fill="auto"/>
          </w:tcPr>
          <w:p w14:paraId="65A8E1BC">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DISCUSSION</w:t>
            </w:r>
          </w:p>
        </w:tc>
        <w:tc>
          <w:tcPr>
            <w:tcW w:w="7041" w:type="dxa"/>
            <w:tcBorders>
              <w:top w:val="single" w:color="7F7F7F" w:sz="6" w:space="0"/>
            </w:tcBorders>
            <w:shd w:val="clear" w:color="auto" w:fill="auto"/>
          </w:tcPr>
          <w:p w14:paraId="344FE13A">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720" w:type="dxa"/>
            <w:tcBorders>
              <w:top w:val="single" w:color="7F7F7F" w:sz="6" w:space="0"/>
            </w:tcBorders>
          </w:tcPr>
          <w:p w14:paraId="78731144">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4320" w:type="dxa"/>
            <w:tcBorders>
              <w:top w:val="single" w:color="7F7F7F" w:sz="6" w:space="0"/>
            </w:tcBorders>
          </w:tcPr>
          <w:p w14:paraId="14091767">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US" w:bidi="ar"/>
              </w:rPr>
            </w:pPr>
          </w:p>
        </w:tc>
      </w:tr>
      <w:tr w14:paraId="177653A9">
        <w:tblPrEx>
          <w:tblCellMar>
            <w:top w:w="0" w:type="dxa"/>
            <w:left w:w="108" w:type="dxa"/>
            <w:bottom w:w="0" w:type="dxa"/>
            <w:right w:w="108" w:type="dxa"/>
          </w:tblCellMar>
        </w:tblPrEx>
        <w:tc>
          <w:tcPr>
            <w:tcW w:w="587" w:type="dxa"/>
            <w:shd w:val="clear" w:color="auto" w:fill="EEEEEE"/>
          </w:tcPr>
          <w:p w14:paraId="26DF0711">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14</w:t>
            </w:r>
          </w:p>
        </w:tc>
        <w:tc>
          <w:tcPr>
            <w:tcW w:w="1822" w:type="dxa"/>
            <w:shd w:val="clear" w:color="auto" w:fill="EEEEEE"/>
          </w:tcPr>
          <w:p w14:paraId="09E86403">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Key results </w:t>
            </w:r>
          </w:p>
        </w:tc>
        <w:tc>
          <w:tcPr>
            <w:tcW w:w="7041" w:type="dxa"/>
            <w:shd w:val="clear" w:color="auto" w:fill="EEEEEE"/>
          </w:tcPr>
          <w:p w14:paraId="7D5341F1">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Summarize key results with reference to study objectives</w:t>
            </w:r>
          </w:p>
        </w:tc>
        <w:tc>
          <w:tcPr>
            <w:tcW w:w="720" w:type="dxa"/>
            <w:shd w:val="clear" w:color="auto" w:fill="EEEEEE"/>
          </w:tcPr>
          <w:p w14:paraId="1491B208">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14-17</w:t>
            </w:r>
          </w:p>
        </w:tc>
        <w:tc>
          <w:tcPr>
            <w:tcW w:w="4320" w:type="dxa"/>
            <w:shd w:val="clear" w:color="auto" w:fill="EEEEEE"/>
          </w:tcPr>
          <w:p w14:paraId="72CB5653">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The main results are described in the first paragraph of the "Discussion" section.</w:t>
            </w:r>
          </w:p>
        </w:tc>
      </w:tr>
      <w:tr w14:paraId="51F57790">
        <w:tblPrEx>
          <w:tblCellMar>
            <w:top w:w="0" w:type="dxa"/>
            <w:left w:w="108" w:type="dxa"/>
            <w:bottom w:w="0" w:type="dxa"/>
            <w:right w:w="108" w:type="dxa"/>
          </w:tblCellMar>
        </w:tblPrEx>
        <w:tc>
          <w:tcPr>
            <w:tcW w:w="587" w:type="dxa"/>
            <w:shd w:val="clear" w:color="auto" w:fill="auto"/>
          </w:tcPr>
          <w:p w14:paraId="21571F85">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15</w:t>
            </w:r>
          </w:p>
        </w:tc>
        <w:tc>
          <w:tcPr>
            <w:tcW w:w="1822" w:type="dxa"/>
            <w:shd w:val="clear" w:color="auto" w:fill="auto"/>
          </w:tcPr>
          <w:p w14:paraId="2EBD2A88">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Limitations</w:t>
            </w:r>
          </w:p>
        </w:tc>
        <w:tc>
          <w:tcPr>
            <w:tcW w:w="7041" w:type="dxa"/>
            <w:shd w:val="clear" w:color="auto" w:fill="auto"/>
          </w:tcPr>
          <w:p w14:paraId="0F75741D">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hint="default" w:eastAsia="Times New Roman"/>
                <w:sz w:val="18"/>
                <w:szCs w:val="18"/>
                <w:shd w:val="clear" w:color="auto" w:fill="FFFFFF"/>
                <w:lang w:val="en-GB" w:eastAsia="en-GB"/>
              </w:rPr>
              <w:t> </w:t>
            </w:r>
          </w:p>
        </w:tc>
        <w:tc>
          <w:tcPr>
            <w:tcW w:w="720" w:type="dxa"/>
          </w:tcPr>
          <w:p w14:paraId="31F60B14">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16-17</w:t>
            </w:r>
          </w:p>
        </w:tc>
        <w:tc>
          <w:tcPr>
            <w:tcW w:w="4320" w:type="dxa"/>
          </w:tcPr>
          <w:p w14:paraId="1EFDDF28">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The limitations of the study are described in the Second last paragraph of the "Discussion" section.</w:t>
            </w:r>
          </w:p>
        </w:tc>
      </w:tr>
      <w:tr w14:paraId="0BAF3CE6">
        <w:tblPrEx>
          <w:tblCellMar>
            <w:top w:w="0" w:type="dxa"/>
            <w:left w:w="108" w:type="dxa"/>
            <w:bottom w:w="0" w:type="dxa"/>
            <w:right w:w="108" w:type="dxa"/>
          </w:tblCellMar>
        </w:tblPrEx>
        <w:tc>
          <w:tcPr>
            <w:tcW w:w="587" w:type="dxa"/>
            <w:shd w:val="clear" w:color="auto" w:fill="EEEEEE"/>
          </w:tcPr>
          <w:p w14:paraId="542365A9">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16</w:t>
            </w:r>
          </w:p>
        </w:tc>
        <w:tc>
          <w:tcPr>
            <w:tcW w:w="1822" w:type="dxa"/>
            <w:shd w:val="clear" w:color="auto" w:fill="EEEEEE"/>
          </w:tcPr>
          <w:p w14:paraId="1F67673E">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Interpretation</w:t>
            </w:r>
          </w:p>
        </w:tc>
        <w:tc>
          <w:tcPr>
            <w:tcW w:w="7041" w:type="dxa"/>
            <w:shd w:val="clear" w:color="auto" w:fill="EEEEEE"/>
          </w:tcPr>
          <w:p w14:paraId="5FD81871">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720" w:type="dxa"/>
            <w:shd w:val="clear" w:color="auto" w:fill="EEEEEE"/>
          </w:tcPr>
          <w:p w14:paraId="17261926">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4320" w:type="dxa"/>
            <w:shd w:val="clear" w:color="auto" w:fill="EEEEEE"/>
          </w:tcPr>
          <w:p w14:paraId="32DD10E2">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US" w:bidi="ar"/>
              </w:rPr>
            </w:pPr>
          </w:p>
        </w:tc>
      </w:tr>
      <w:tr w14:paraId="476A75D2">
        <w:tblPrEx>
          <w:tblCellMar>
            <w:top w:w="0" w:type="dxa"/>
            <w:left w:w="108" w:type="dxa"/>
            <w:bottom w:w="0" w:type="dxa"/>
            <w:right w:w="108" w:type="dxa"/>
          </w:tblCellMar>
        </w:tblPrEx>
        <w:tc>
          <w:tcPr>
            <w:tcW w:w="587" w:type="dxa"/>
            <w:shd w:val="clear" w:color="auto" w:fill="auto"/>
          </w:tcPr>
          <w:p w14:paraId="6BE021B2">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5BC0F54B">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041" w:type="dxa"/>
            <w:shd w:val="clear" w:color="auto" w:fill="auto"/>
          </w:tcPr>
          <w:p w14:paraId="68B26C4F">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Meaning: Give a cautious overall interpretation of results in the context of their limitations and in comparison with other studies</w:t>
            </w:r>
          </w:p>
        </w:tc>
        <w:tc>
          <w:tcPr>
            <w:tcW w:w="720" w:type="dxa"/>
          </w:tcPr>
          <w:p w14:paraId="0DADA27D">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14-17</w:t>
            </w:r>
          </w:p>
        </w:tc>
        <w:tc>
          <w:tcPr>
            <w:tcW w:w="4320" w:type="dxa"/>
            <w:vMerge w:val="restart"/>
            <w:vAlign w:val="center"/>
          </w:tcPr>
          <w:p w14:paraId="5007841F">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In conjunction with the analyzed results of this study, we have elaborated on the relevant elements in the discussion section.</w:t>
            </w:r>
          </w:p>
        </w:tc>
      </w:tr>
      <w:tr w14:paraId="47D9B500">
        <w:tblPrEx>
          <w:tblCellMar>
            <w:top w:w="0" w:type="dxa"/>
            <w:left w:w="108" w:type="dxa"/>
            <w:bottom w:w="0" w:type="dxa"/>
            <w:right w:w="108" w:type="dxa"/>
          </w:tblCellMar>
        </w:tblPrEx>
        <w:tc>
          <w:tcPr>
            <w:tcW w:w="587" w:type="dxa"/>
            <w:shd w:val="clear" w:color="auto" w:fill="EEEEEE"/>
          </w:tcPr>
          <w:p w14:paraId="1AFD2CE3">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351C30BE">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041" w:type="dxa"/>
            <w:shd w:val="clear" w:color="auto" w:fill="EEEEEE"/>
          </w:tcPr>
          <w:p w14:paraId="3BB2CB92">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720" w:type="dxa"/>
            <w:shd w:val="clear" w:color="auto" w:fill="EEEEEE"/>
          </w:tcPr>
          <w:p w14:paraId="05DAFC20">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14-17</w:t>
            </w:r>
          </w:p>
        </w:tc>
        <w:tc>
          <w:tcPr>
            <w:tcW w:w="4320" w:type="dxa"/>
            <w:vMerge w:val="continue"/>
            <w:shd w:val="clear" w:color="auto" w:fill="EEEEEE"/>
          </w:tcPr>
          <w:p w14:paraId="3AB92ED1">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p>
        </w:tc>
      </w:tr>
      <w:tr w14:paraId="6070137E">
        <w:tblPrEx>
          <w:tblCellMar>
            <w:top w:w="0" w:type="dxa"/>
            <w:left w:w="108" w:type="dxa"/>
            <w:bottom w:w="0" w:type="dxa"/>
            <w:right w:w="108" w:type="dxa"/>
          </w:tblCellMar>
        </w:tblPrEx>
        <w:tc>
          <w:tcPr>
            <w:tcW w:w="587" w:type="dxa"/>
            <w:shd w:val="clear" w:color="auto" w:fill="auto"/>
          </w:tcPr>
          <w:p w14:paraId="5F6F3857">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65EB6EE6">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041" w:type="dxa"/>
            <w:shd w:val="clear" w:color="auto" w:fill="auto"/>
          </w:tcPr>
          <w:p w14:paraId="06C6F60D">
            <w:pPr>
              <w:keepNext w:val="0"/>
              <w:keepLines w:val="0"/>
              <w:widowControl/>
              <w:suppressLineNumbers w:val="0"/>
              <w:tabs>
                <w:tab w:val="left" w:pos="1350"/>
              </w:tabs>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 xml:space="preserve">Clinical relevance: Discuss whether the results have clinical or public policy relevance, and </w:t>
            </w:r>
            <w:r>
              <w:rPr>
                <w:rFonts w:hint="default" w:eastAsia="Times New Roman"/>
                <w:color w:val="000000"/>
                <w:sz w:val="18"/>
                <w:szCs w:val="18"/>
                <w:lang w:eastAsia="en-GB"/>
              </w:rPr>
              <w:t>to what extent they inform effect sizes of possible interventions</w:t>
            </w:r>
          </w:p>
        </w:tc>
        <w:tc>
          <w:tcPr>
            <w:tcW w:w="720" w:type="dxa"/>
          </w:tcPr>
          <w:p w14:paraId="0BA2FF0B">
            <w:pPr>
              <w:keepNext w:val="0"/>
              <w:keepLines w:val="0"/>
              <w:widowControl/>
              <w:suppressLineNumbers w:val="0"/>
              <w:tabs>
                <w:tab w:val="left" w:pos="1350"/>
              </w:tabs>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14-17</w:t>
            </w:r>
          </w:p>
        </w:tc>
        <w:tc>
          <w:tcPr>
            <w:tcW w:w="4320" w:type="dxa"/>
            <w:vMerge w:val="continue"/>
          </w:tcPr>
          <w:p w14:paraId="0CECCCEA">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p>
        </w:tc>
      </w:tr>
      <w:tr w14:paraId="1CA00B12">
        <w:tblPrEx>
          <w:tblCellMar>
            <w:top w:w="0" w:type="dxa"/>
            <w:left w:w="108" w:type="dxa"/>
            <w:bottom w:w="0" w:type="dxa"/>
            <w:right w:w="108" w:type="dxa"/>
          </w:tblCellMar>
        </w:tblPrEx>
        <w:tc>
          <w:tcPr>
            <w:tcW w:w="587" w:type="dxa"/>
            <w:tcBorders>
              <w:bottom w:val="single" w:color="7F7F7F" w:sz="6" w:space="0"/>
            </w:tcBorders>
            <w:shd w:val="clear" w:color="auto" w:fill="EEEEEE"/>
          </w:tcPr>
          <w:p w14:paraId="31443A57">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17</w:t>
            </w:r>
          </w:p>
        </w:tc>
        <w:tc>
          <w:tcPr>
            <w:tcW w:w="1822" w:type="dxa"/>
            <w:tcBorders>
              <w:bottom w:val="single" w:color="7F7F7F" w:sz="6" w:space="0"/>
            </w:tcBorders>
            <w:shd w:val="clear" w:color="auto" w:fill="EEEEEE"/>
          </w:tcPr>
          <w:p w14:paraId="6A5C4EE6">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 xml:space="preserve">Generalizability  </w:t>
            </w:r>
            <w:r>
              <w:rPr>
                <w:rFonts w:hint="default" w:eastAsia="Times New Roman"/>
                <w:sz w:val="18"/>
                <w:szCs w:val="18"/>
                <w:lang w:val="en-GB" w:eastAsia="en-GB"/>
              </w:rPr>
              <w:t> </w:t>
            </w:r>
          </w:p>
        </w:tc>
        <w:tc>
          <w:tcPr>
            <w:tcW w:w="7041" w:type="dxa"/>
            <w:tcBorders>
              <w:bottom w:val="single" w:color="7F7F7F" w:sz="6" w:space="0"/>
            </w:tcBorders>
            <w:shd w:val="clear" w:color="auto" w:fill="EEEEEE"/>
          </w:tcPr>
          <w:p w14:paraId="0A5E024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color="7F7F7F" w:sz="6" w:space="0"/>
            </w:tcBorders>
            <w:shd w:val="clear" w:color="auto" w:fill="EEEEEE"/>
          </w:tcPr>
          <w:p w14:paraId="26111BD1">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17</w:t>
            </w:r>
          </w:p>
        </w:tc>
        <w:tc>
          <w:tcPr>
            <w:tcW w:w="4320" w:type="dxa"/>
            <w:tcBorders>
              <w:bottom w:val="single" w:color="7F7F7F" w:sz="6" w:space="0"/>
            </w:tcBorders>
            <w:shd w:val="clear" w:color="auto" w:fill="EEEEEE"/>
          </w:tcPr>
          <w:p w14:paraId="4B4425F1">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US" w:eastAsia="zh-CN" w:bidi="ar"/>
              </w:rPr>
            </w:pPr>
            <w:r>
              <w:rPr>
                <w:rFonts w:hint="eastAsia" w:ascii="Times New Roman" w:hAnsi="Times New Roman" w:eastAsia="宋体" w:cs="Times New Roman"/>
                <w:color w:val="000000"/>
                <w:kern w:val="2"/>
                <w:sz w:val="21"/>
                <w:szCs w:val="24"/>
                <w:lang w:val="en-US" w:eastAsia="zh-CN" w:bidi="ar"/>
              </w:rPr>
              <w:t>T</w:t>
            </w:r>
            <w:r>
              <w:rPr>
                <w:rFonts w:hint="default" w:ascii="Times New Roman" w:hAnsi="Times New Roman" w:eastAsia="宋体" w:cs="Times New Roman"/>
                <w:color w:val="000000"/>
                <w:kern w:val="2"/>
                <w:sz w:val="21"/>
                <w:szCs w:val="24"/>
                <w:lang w:val="en-US" w:eastAsia="zh-CN" w:bidi="ar"/>
              </w:rPr>
              <w:t>he findings of this study are derived from data collected from the European population, indicating that there could be substantial limitations on the applicability of its results</w:t>
            </w:r>
          </w:p>
        </w:tc>
      </w:tr>
      <w:tr w14:paraId="554AE77B">
        <w:tblPrEx>
          <w:tblCellMar>
            <w:top w:w="0" w:type="dxa"/>
            <w:left w:w="108" w:type="dxa"/>
            <w:bottom w:w="0" w:type="dxa"/>
            <w:right w:w="108" w:type="dxa"/>
          </w:tblCellMar>
        </w:tblPrEx>
        <w:tc>
          <w:tcPr>
            <w:tcW w:w="587" w:type="dxa"/>
            <w:tcBorders>
              <w:top w:val="single" w:color="7F7F7F" w:sz="6" w:space="0"/>
            </w:tcBorders>
            <w:shd w:val="clear" w:color="auto" w:fill="auto"/>
          </w:tcPr>
          <w:p w14:paraId="66331495">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p>
        </w:tc>
        <w:tc>
          <w:tcPr>
            <w:tcW w:w="1822" w:type="dxa"/>
            <w:tcBorders>
              <w:top w:val="single" w:color="7F7F7F" w:sz="6" w:space="0"/>
            </w:tcBorders>
            <w:shd w:val="clear" w:color="auto" w:fill="auto"/>
          </w:tcPr>
          <w:p w14:paraId="5F6B7CBC">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OTHER INFORMATION</w:t>
            </w:r>
          </w:p>
        </w:tc>
        <w:tc>
          <w:tcPr>
            <w:tcW w:w="7041" w:type="dxa"/>
            <w:tcBorders>
              <w:top w:val="single" w:color="7F7F7F" w:sz="6" w:space="0"/>
            </w:tcBorders>
            <w:shd w:val="clear" w:color="auto" w:fill="auto"/>
          </w:tcPr>
          <w:p w14:paraId="35AEE073">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720" w:type="dxa"/>
            <w:tcBorders>
              <w:top w:val="single" w:color="7F7F7F" w:sz="6" w:space="0"/>
            </w:tcBorders>
          </w:tcPr>
          <w:p w14:paraId="27EB83AC">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4320" w:type="dxa"/>
            <w:tcBorders>
              <w:top w:val="single" w:color="7F7F7F" w:sz="6" w:space="0"/>
            </w:tcBorders>
          </w:tcPr>
          <w:p w14:paraId="3E192549">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US" w:bidi="ar"/>
              </w:rPr>
            </w:pPr>
          </w:p>
        </w:tc>
      </w:tr>
      <w:tr w14:paraId="3393AC69">
        <w:tblPrEx>
          <w:tblCellMar>
            <w:top w:w="0" w:type="dxa"/>
            <w:left w:w="108" w:type="dxa"/>
            <w:bottom w:w="0" w:type="dxa"/>
            <w:right w:w="108" w:type="dxa"/>
          </w:tblCellMar>
        </w:tblPrEx>
        <w:tc>
          <w:tcPr>
            <w:tcW w:w="587" w:type="dxa"/>
            <w:shd w:val="clear" w:color="auto" w:fill="EEEEEE"/>
          </w:tcPr>
          <w:p w14:paraId="19524B32">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18</w:t>
            </w:r>
          </w:p>
        </w:tc>
        <w:tc>
          <w:tcPr>
            <w:tcW w:w="1822" w:type="dxa"/>
            <w:shd w:val="clear" w:color="auto" w:fill="EEEEEE"/>
          </w:tcPr>
          <w:p w14:paraId="509C99CB">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Funding</w:t>
            </w:r>
          </w:p>
        </w:tc>
        <w:tc>
          <w:tcPr>
            <w:tcW w:w="7041" w:type="dxa"/>
            <w:shd w:val="clear" w:color="auto" w:fill="EEEEEE"/>
          </w:tcPr>
          <w:p w14:paraId="74AB2416">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14:paraId="3AA5A27B">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17</w:t>
            </w:r>
          </w:p>
        </w:tc>
        <w:tc>
          <w:tcPr>
            <w:tcW w:w="4320" w:type="dxa"/>
            <w:shd w:val="clear" w:color="auto" w:fill="EEEEEE"/>
          </w:tcPr>
          <w:p w14:paraId="7AA44609">
            <w:pPr>
              <w:keepNext w:val="0"/>
              <w:keepLines w:val="0"/>
              <w:widowControl/>
              <w:suppressLineNumbers w:val="0"/>
              <w:spacing w:before="0" w:beforeAutospacing="0" w:after="0" w:afterAutospacing="0"/>
              <w:ind w:left="0" w:right="0"/>
              <w:textAlignment w:val="center"/>
              <w:rPr>
                <w:rFonts w:hint="default" w:ascii="Times New Roman" w:hAnsi="Times New Roman" w:eastAsia="宋体" w:cs="Times New Roman"/>
                <w:color w:val="000000"/>
                <w:kern w:val="2"/>
                <w:sz w:val="21"/>
                <w:szCs w:val="24"/>
                <w:lang w:val="en-US" w:eastAsia="zh-CN" w:bidi="ar"/>
              </w:rPr>
            </w:pPr>
            <w:r>
              <w:rPr>
                <w:rFonts w:hint="default" w:ascii="Times New Roman" w:hAnsi="Times New Roman" w:eastAsia="宋体" w:cs="Times New Roman"/>
                <w:color w:val="000000"/>
                <w:kern w:val="2"/>
                <w:sz w:val="21"/>
                <w:szCs w:val="24"/>
                <w:lang w:val="en-US" w:eastAsia="zh-CN" w:bidi="ar"/>
              </w:rPr>
              <w:t>This work was supported by the National Natural Science Foundation of China (82161138020, 82300040, U1801286), the Science and Technology Program of Guangzhou (202102010011); the Zhongnanshan Medical Foundation of Guangdong Province (ZNSA-2020003, ZNSA-2020013).</w:t>
            </w:r>
          </w:p>
          <w:p w14:paraId="1073513C">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p>
        </w:tc>
      </w:tr>
      <w:tr w14:paraId="0AB09D77">
        <w:tblPrEx>
          <w:tblCellMar>
            <w:top w:w="0" w:type="dxa"/>
            <w:left w:w="108" w:type="dxa"/>
            <w:bottom w:w="0" w:type="dxa"/>
            <w:right w:w="108" w:type="dxa"/>
          </w:tblCellMar>
        </w:tblPrEx>
        <w:trPr>
          <w:trHeight w:val="1353" w:hRule="atLeast"/>
        </w:trPr>
        <w:tc>
          <w:tcPr>
            <w:tcW w:w="587" w:type="dxa"/>
            <w:shd w:val="clear" w:color="auto" w:fill="auto"/>
          </w:tcPr>
          <w:p w14:paraId="71B6C92C">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19</w:t>
            </w:r>
          </w:p>
        </w:tc>
        <w:tc>
          <w:tcPr>
            <w:tcW w:w="1822" w:type="dxa"/>
            <w:shd w:val="clear" w:color="auto" w:fill="auto"/>
          </w:tcPr>
          <w:p w14:paraId="40689E08">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Data and data sharing </w:t>
            </w:r>
          </w:p>
        </w:tc>
        <w:tc>
          <w:tcPr>
            <w:tcW w:w="7041" w:type="dxa"/>
            <w:shd w:val="clear" w:color="auto" w:fill="auto"/>
          </w:tcPr>
          <w:p w14:paraId="01BD7B5F">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720" w:type="dxa"/>
          </w:tcPr>
          <w:p w14:paraId="08FB7EBE">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17</w:t>
            </w:r>
          </w:p>
        </w:tc>
        <w:tc>
          <w:tcPr>
            <w:tcW w:w="4320" w:type="dxa"/>
          </w:tcPr>
          <w:p w14:paraId="2DF55552">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 xml:space="preserve">All data needed to evaluate the conclusions are presented in the paper. The resources, tools, and codes used in our analyses were described in the methods section. </w:t>
            </w:r>
          </w:p>
        </w:tc>
      </w:tr>
      <w:tr w14:paraId="71311FAB">
        <w:tblPrEx>
          <w:tblCellMar>
            <w:top w:w="0" w:type="dxa"/>
            <w:left w:w="108" w:type="dxa"/>
            <w:bottom w:w="0" w:type="dxa"/>
            <w:right w:w="108" w:type="dxa"/>
          </w:tblCellMar>
        </w:tblPrEx>
        <w:tc>
          <w:tcPr>
            <w:tcW w:w="587" w:type="dxa"/>
            <w:tcBorders>
              <w:bottom w:val="single" w:color="7F7F7F" w:sz="6" w:space="0"/>
            </w:tcBorders>
            <w:shd w:val="clear" w:color="auto" w:fill="EEEEEE"/>
          </w:tcPr>
          <w:p w14:paraId="3FB57829">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20</w:t>
            </w:r>
          </w:p>
        </w:tc>
        <w:tc>
          <w:tcPr>
            <w:tcW w:w="1822" w:type="dxa"/>
            <w:tcBorders>
              <w:bottom w:val="single" w:color="7F7F7F" w:sz="6" w:space="0"/>
            </w:tcBorders>
            <w:shd w:val="clear" w:color="auto" w:fill="EEEEEE"/>
          </w:tcPr>
          <w:p w14:paraId="3395AEA2">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Conflicts of Interest  </w:t>
            </w:r>
          </w:p>
        </w:tc>
        <w:tc>
          <w:tcPr>
            <w:tcW w:w="7041" w:type="dxa"/>
            <w:tcBorders>
              <w:bottom w:val="single" w:color="7F7F7F" w:sz="6" w:space="0"/>
            </w:tcBorders>
            <w:shd w:val="clear" w:color="auto" w:fill="EEEEEE"/>
          </w:tcPr>
          <w:p w14:paraId="6ED99EE0">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All authors should declare all potential conflicts of interest</w:t>
            </w:r>
          </w:p>
        </w:tc>
        <w:tc>
          <w:tcPr>
            <w:tcW w:w="720" w:type="dxa"/>
            <w:tcBorders>
              <w:bottom w:val="single" w:color="7F7F7F" w:sz="6" w:space="0"/>
            </w:tcBorders>
            <w:shd w:val="clear" w:color="auto" w:fill="EEEEEE"/>
          </w:tcPr>
          <w:p w14:paraId="7085CBFE">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17</w:t>
            </w:r>
          </w:p>
        </w:tc>
        <w:tc>
          <w:tcPr>
            <w:tcW w:w="4320" w:type="dxa"/>
            <w:tcBorders>
              <w:bottom w:val="single" w:color="7F7F7F" w:sz="6" w:space="0"/>
            </w:tcBorders>
            <w:shd w:val="clear" w:color="auto" w:fill="EEEEEE"/>
          </w:tcPr>
          <w:p w14:paraId="5E929971">
            <w:pPr>
              <w:keepNext w:val="0"/>
              <w:keepLines w:val="0"/>
              <w:widowControl/>
              <w:suppressLineNumbers w:val="0"/>
              <w:spacing w:before="0" w:beforeAutospacing="0" w:after="0" w:afterAutospacing="0"/>
              <w:ind w:left="0" w:right="0"/>
              <w:textAlignment w:val="center"/>
              <w:rPr>
                <w:rFonts w:hint="eastAsia" w:ascii="Times New Roman" w:hAnsi="Times New Roman" w:eastAsia="等线" w:cs="Times New Roman"/>
                <w:color w:val="000000"/>
                <w:sz w:val="20"/>
                <w:szCs w:val="20"/>
                <w:lang w:val="en-GB" w:eastAsia="en-GB" w:bidi="ar"/>
              </w:rPr>
            </w:pPr>
            <w:r>
              <w:rPr>
                <w:rFonts w:hint="eastAsia" w:ascii="Times New Roman" w:hAnsi="Times New Roman" w:eastAsia="等线" w:cs="Times New Roman"/>
                <w:color w:val="000000"/>
                <w:sz w:val="20"/>
                <w:szCs w:val="20"/>
                <w:lang w:val="en-GB" w:eastAsia="en-GB" w:bidi="ar"/>
              </w:rPr>
              <w:t>The authors declare that they have no conflict of interest.</w:t>
            </w:r>
          </w:p>
          <w:p w14:paraId="225D55A6">
            <w:pPr>
              <w:keepNext w:val="0"/>
              <w:keepLines w:val="0"/>
              <w:widowControl/>
              <w:suppressLineNumbers w:val="0"/>
              <w:spacing w:before="0" w:beforeAutospacing="0" w:after="0" w:afterAutospacing="0"/>
              <w:ind w:left="0" w:right="0"/>
              <w:textAlignment w:val="center"/>
              <w:rPr>
                <w:rFonts w:hint="default" w:ascii="Times New Roman" w:hAnsi="Times New Roman" w:eastAsia="等线" w:cs="Times New Roman"/>
                <w:color w:val="000000"/>
                <w:sz w:val="20"/>
                <w:szCs w:val="20"/>
                <w:lang w:val="en-GB" w:eastAsia="en-GB" w:bidi="ar"/>
              </w:rPr>
            </w:pPr>
          </w:p>
        </w:tc>
      </w:tr>
    </w:tbl>
    <w:p w14:paraId="441147A7">
      <w:pPr>
        <w:spacing w:before="240" w:after="240"/>
        <w:rPr>
          <w:sz w:val="19"/>
          <w:szCs w:val="19"/>
        </w:rPr>
      </w:pPr>
      <w:r>
        <w:rPr>
          <w:sz w:val="19"/>
          <w:szCs w:val="19"/>
        </w:rPr>
        <w:t>This checklist is copyrighted by the Equator Network under the Creative Commons Attribution 3.0 Unported (CC BY 3.0) license.</w:t>
      </w:r>
    </w:p>
    <w:p w14:paraId="7103E939">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r>
      <w:r>
        <w:rPr>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14:paraId="085B69F9">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r>
      <w:r>
        <w:rPr>
          <w:sz w:val="19"/>
          <w:szCs w:val="19"/>
        </w:rPr>
        <w:t xml:space="preserve">Skrivankova VW, Richmond RC, Woolf BAR, Davies NM, Swanson SA, VanderWeele TJ, et al. Strengthening the Reporting of Observational Studies in Epidemiology using Mendelian Randomisation (STROBE-MR): Explanation and Elaboration. BMJ. 2021;375:n2233. </w:t>
      </w:r>
    </w:p>
    <w:p w14:paraId="34C14817">
      <w:pPr>
        <w:spacing w:before="240" w:after="240"/>
      </w:pPr>
      <w:r>
        <w:rPr>
          <w:sz w:val="19"/>
          <w:szCs w:val="19"/>
        </w:rPr>
        <w:fldChar w:fldCharType="end"/>
      </w:r>
    </w:p>
    <w:sectPr>
      <w:footerReference r:id="rId5" w:type="default"/>
      <w:footerReference r:id="rId6" w:type="even"/>
      <w:pgSz w:w="15840" w:h="12240" w:orient="landscape"/>
      <w:pgMar w:top="1008" w:right="720" w:bottom="1008"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Georgia">
    <w:panose1 w:val="02040502050405020303"/>
    <w:charset w:val="00"/>
    <w:family w:val="roman"/>
    <w:pitch w:val="default"/>
    <w:sig w:usb0="00000287" w:usb1="00000000" w:usb2="00000000" w:usb3="00000000" w:csb0="2000009F"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F2451">
    <w:pPr>
      <w:pStyle w:val="2"/>
      <w:jc w:val="right"/>
    </w:pPr>
    <w:r>
      <w:fldChar w:fldCharType="begin"/>
    </w:r>
    <w:r>
      <w:instrText xml:space="preserve"> PAGE   \* MERGEFORMAT </w:instrText>
    </w:r>
    <w:r>
      <w:fldChar w:fldCharType="separate"/>
    </w:r>
    <w:r>
      <w:t>1</w:t>
    </w:r>
    <w:r>
      <w:fldChar w:fldCharType="end"/>
    </w:r>
  </w:p>
  <w:p w14:paraId="0AE96370">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BA32A">
    <w:pPr>
      <w:pStyle w:val="2"/>
      <w:framePr w:wrap="auto" w:vAnchor="text" w:hAnchor="margin" w:xAlign="right" w:y="1"/>
      <w:rPr>
        <w:rStyle w:val="5"/>
      </w:rPr>
    </w:pPr>
  </w:p>
  <w:p w14:paraId="249F07C0">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lNzE4MmI5MTUwNTQyODc4YTZiZTc3OTRhYTQ5MWIifQ=="/>
  </w:docVars>
  <w:rsids>
    <w:rsidRoot w:val="00914C56"/>
    <w:rsid w:val="000A4CE8"/>
    <w:rsid w:val="002663E6"/>
    <w:rsid w:val="003D447D"/>
    <w:rsid w:val="003D47DD"/>
    <w:rsid w:val="004B5CBB"/>
    <w:rsid w:val="004E11D4"/>
    <w:rsid w:val="00514462"/>
    <w:rsid w:val="005520ED"/>
    <w:rsid w:val="005A0D0D"/>
    <w:rsid w:val="00685D31"/>
    <w:rsid w:val="006912BF"/>
    <w:rsid w:val="006A41D0"/>
    <w:rsid w:val="006B08D5"/>
    <w:rsid w:val="00804498"/>
    <w:rsid w:val="0085270E"/>
    <w:rsid w:val="00914C56"/>
    <w:rsid w:val="00950729"/>
    <w:rsid w:val="009854A9"/>
    <w:rsid w:val="009E033F"/>
    <w:rsid w:val="00B5099E"/>
    <w:rsid w:val="00BB58FC"/>
    <w:rsid w:val="00BB6328"/>
    <w:rsid w:val="00D16409"/>
    <w:rsid w:val="00D65199"/>
    <w:rsid w:val="00D8098C"/>
    <w:rsid w:val="00ED48A3"/>
    <w:rsid w:val="00EF4B94"/>
    <w:rsid w:val="31704A08"/>
    <w:rsid w:val="45B55744"/>
    <w:rsid w:val="59D57126"/>
    <w:rsid w:val="5B185539"/>
    <w:rsid w:val="5D6F070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en" w:eastAsia="de-CH" w:bidi="ar-SA"/>
    </w:rPr>
  </w:style>
  <w:style w:type="character" w:default="1" w:styleId="4">
    <w:name w:val="Default Paragraph Font"/>
    <w:semiHidden/>
    <w:unhideWhenUsed/>
    <w:qFormat/>
    <w:uiPriority w:val="1"/>
  </w:style>
  <w:style w:type="table" w:default="1" w:styleId="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680"/>
        <w:tab w:val="right" w:pos="9360"/>
      </w:tabs>
      <w:spacing w:line="240" w:lineRule="auto"/>
    </w:pPr>
  </w:style>
  <w:style w:type="character" w:styleId="5">
    <w:name w:val="page number"/>
    <w:basedOn w:val="4"/>
    <w:semiHidden/>
    <w:unhideWhenUsed/>
    <w:qFormat/>
    <w:uiPriority w:val="99"/>
  </w:style>
  <w:style w:type="character" w:styleId="6">
    <w:name w:val="line number"/>
    <w:basedOn w:val="4"/>
    <w:semiHidden/>
    <w:unhideWhenUsed/>
    <w:uiPriority w:val="99"/>
  </w:style>
  <w:style w:type="character" w:customStyle="1" w:styleId="7">
    <w:name w:val="页脚 字符"/>
    <w:basedOn w:val="4"/>
    <w:link w:val="2"/>
    <w:qFormat/>
    <w:uiPriority w:val="99"/>
    <w:rPr>
      <w:rFonts w:ascii="Arial" w:hAnsi="Arial" w:eastAsia="Arial" w:cs="Arial"/>
      <w:lang w:val="en" w:eastAsia="de-CH"/>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A32DB-E5B8-4E32-AD11-08F2E668867B}">
  <ds:schemaRefs/>
</ds:datastoreItem>
</file>

<file path=customXml/itemProps2.xml><?xml version="1.0" encoding="utf-8"?>
<ds:datastoreItem xmlns:ds="http://schemas.openxmlformats.org/officeDocument/2006/customXml" ds:itemID="{9FB0931C-FCE2-4CC4-80DE-15614B41F1F9}">
  <ds:schemaRefs/>
</ds:datastoreItem>
</file>

<file path=customXml/itemProps3.xml><?xml version="1.0" encoding="utf-8"?>
<ds:datastoreItem xmlns:ds="http://schemas.openxmlformats.org/officeDocument/2006/customXml" ds:itemID="{5DF20111-77FD-4F18-8E31-D737874646AB}">
  <ds:schemaRefs/>
</ds:datastoreItem>
</file>

<file path=customXml/itemProps4.xml><?xml version="1.0" encoding="utf-8"?>
<ds:datastoreItem xmlns:ds="http://schemas.openxmlformats.org/officeDocument/2006/customXml" ds:itemID="{A9898B61-61B7-44F1-9388-8B27875B1EDA}">
  <ds:schemaRefs/>
</ds:datastoreItem>
</file>

<file path=docProps/app.xml><?xml version="1.0" encoding="utf-8"?>
<Properties xmlns="http://schemas.openxmlformats.org/officeDocument/2006/extended-properties" xmlns:vt="http://schemas.openxmlformats.org/officeDocument/2006/docPropsVTypes">
  <Template>Normal.dotm</Template>
  <Company>University of Bern</Company>
  <Pages>5</Pages>
  <Words>1615</Words>
  <Characters>9190</Characters>
  <Lines>642</Lines>
  <Paragraphs>338</Paragraphs>
  <TotalTime>9</TotalTime>
  <ScaleCrop>false</ScaleCrop>
  <LinksUpToDate>false</LinksUpToDate>
  <CharactersWithSpaces>10628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2022-04-07T08:09:00Z</dcterms:created>
  <dc:creator>Whitesell, Veronika (ISPM)</dc:creator>
  <cp:lastModifiedBy>腐蛋</cp:lastModifiedBy>
  <cp:lastPrinted>2021-09-28T07:08:00Z</cp:lastPrinted>
  <dcterms:modified xsi:type="dcterms:W3CDTF">2025-02-24T20:07:42Z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2052-12.1.0.20305</vt:lpwstr>
  </property>
  <property fmtid="{D5CDD505-2E9C-101B-9397-08002B2CF9AE}" pid="27" name="ICV">
    <vt:lpwstr>2114EC1BA155469B91EBBD0EC157CA76_12</vt:lpwstr>
  </property>
  <property fmtid="{D5CDD505-2E9C-101B-9397-08002B2CF9AE}" pid="28" name="GrammarlyDocumentId">
    <vt:lpwstr>e14596484b4bc60c6dd7debb4aa8f091fd3931c4fba9c3ed4db035c9c66d4e31</vt:lpwstr>
  </property>
  <property fmtid="{D5CDD505-2E9C-101B-9397-08002B2CF9AE}" pid="29" name="KSOTemplateDocerSaveRecord">
    <vt:lpwstr>eyJoZGlkIjoiZThlNzE4MmI5MTUwNTQyODc4YTZiZTc3OTRhYTQ5MWIiLCJ1c2VySWQiOiIzNTgwOTUxMDkifQ==</vt:lpwstr>
  </property>
</Properties>
</file>