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4AC0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b/>
          <w:i w:val="0"/>
          <w:iCs w:val="0"/>
          <w:caps w:val="0"/>
          <w:color w:val="404040"/>
          <w:spacing w:val="0"/>
          <w:sz w:val="24"/>
          <w:szCs w:val="24"/>
        </w:rPr>
        <w:t xml:space="preserve">General </w:t>
      </w:r>
      <w:bookmarkStart w:id="0" w:name="_GoBack"/>
      <w:r>
        <w:rPr>
          <w:rStyle w:val="6"/>
          <w:rFonts w:hint="default" w:ascii="Times New Roman" w:hAnsi="Times New Roman" w:eastAsia="Segoe UI" w:cs="Times New Roman"/>
          <w:b/>
          <w:i w:val="0"/>
          <w:iCs w:val="0"/>
          <w:caps w:val="0"/>
          <w:color w:val="404040"/>
          <w:spacing w:val="0"/>
          <w:sz w:val="24"/>
          <w:szCs w:val="24"/>
        </w:rPr>
        <w:t>Abbreviations</w:t>
      </w:r>
      <w:bookmarkEnd w:id="0"/>
      <w:r>
        <w:rPr>
          <w:rStyle w:val="6"/>
          <w:rFonts w:hint="default" w:ascii="Times New Roman" w:hAnsi="Times New Roman" w:eastAsia="Segoe UI" w:cs="Times New Roman"/>
          <w:b/>
          <w:i w:val="0"/>
          <w:iCs w:val="0"/>
          <w:caps w:val="0"/>
          <w:color w:val="404040"/>
          <w:spacing w:val="0"/>
          <w:sz w:val="24"/>
          <w:szCs w:val="24"/>
        </w:rPr>
        <w:t>:</w:t>
      </w:r>
    </w:p>
    <w:p w14:paraId="6D81B49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ADAMTSL4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ADAMTS Like 4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AMPP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American Migraine Prevalence and Prevention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ATP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Adenosine Triphosphate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BBB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Blood-Brain Barrier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CGRP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Calcitonin Gene-Related Peptide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CSD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Cortical Spreading Depression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eQTL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Expression Quantitative Trait Loci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FDR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False Discovery Rate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GWAS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Genome-Wide Association Study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HDL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High-Definition Likelihood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HEIDI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Heterogeneity in Dependent Instruments Test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ICHD-3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International Classification of Headache Disorders, 3rd edition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LD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Linkage Disequilibrium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LDSC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Linkage Disequilibrium Score Regression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MA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Migraine with Aura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MAF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Minor Allele Frequency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MO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Migraine without Aura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mQTL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Methylation Quantitative Trait Loci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NSAIDs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Non-Steroidal Anti-Inflammatory Drugs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PoPS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Polygenic Priority Score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REML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Restricted Maximum Likelihood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S-LDSC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Sparse Linkage Disequilibrium Score Regression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SMR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Summary Mendelian Randomization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SNP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Single Nucleotide Polymorphism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TWAS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Transcriptome-Wide Association Study</w:t>
      </w:r>
    </w:p>
    <w:p w14:paraId="2ECDCFE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</w:p>
    <w:p w14:paraId="4A68FA9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b/>
          <w:i w:val="0"/>
          <w:iCs w:val="0"/>
          <w:caps w:val="0"/>
          <w:color w:val="404040"/>
          <w:spacing w:val="0"/>
          <w:sz w:val="24"/>
          <w:szCs w:val="24"/>
        </w:rPr>
        <w:t>Gene/Protein Abbreviations:</w:t>
      </w:r>
    </w:p>
    <w:p w14:paraId="6F3588C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CACNA1A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Calcium Voltage-Gated Channel Subunit Alpha1 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CALCA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Calcitonin Gene-Related Peptide Alpha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CFDP1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Craniofacial Development Protein 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FHL5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Four and a Half LIM Domains 5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ITPKB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Inositol-Trisphosphate 3-Kinase B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KLHDC8B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Kelch Domain Containing 8B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LRP1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Low-Density Lipoprotein Receptor-Related Protein 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PHACTR1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Phosphatase and Actin Regulator 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PRDM16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PR Domain Containing 16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RASGRF2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Ras Protein-Specific Guanine Nucleotide-Releasing Factor 2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REEP3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Receptor Accessory Protein 3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STAT6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Signal Transducer and Activator of Transcription 6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TRPM8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Transient Receptor Potential Cation Channel Subfamily M Member 8</w:t>
      </w:r>
    </w:p>
    <w:p w14:paraId="2DD9EE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</w:p>
    <w:p w14:paraId="1C3FA3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b/>
          <w:i w:val="0"/>
          <w:iCs w:val="0"/>
          <w:caps w:val="0"/>
          <w:color w:val="404040"/>
          <w:spacing w:val="0"/>
          <w:sz w:val="24"/>
          <w:szCs w:val="24"/>
        </w:rPr>
        <w:t>Datasets &amp; Consortia:</w:t>
      </w:r>
    </w:p>
    <w:p w14:paraId="3F801EF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BSGS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Brisbane Systems Genetics Study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eQTLGen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Expression Quantitative Trait Loci Consortium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FinnGen R11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Finnish Biobank Study Release 11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GTEx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Genotype-Tissue Expression Project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LBC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Lothian Birth Cohort</w:t>
      </w:r>
    </w:p>
    <w:p w14:paraId="3560733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</w:p>
    <w:p w14:paraId="6D1B86C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b/>
          <w:i w:val="0"/>
          <w:iCs w:val="0"/>
          <w:caps w:val="0"/>
          <w:color w:val="404040"/>
          <w:spacing w:val="0"/>
          <w:sz w:val="24"/>
          <w:szCs w:val="24"/>
        </w:rPr>
        <w:t>Methods &amp; Tools:</w:t>
      </w:r>
    </w:p>
    <w:p w14:paraId="2311565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left="0" w:firstLine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FUSION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Functional Summary-based Imputation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JTI-PrediXcan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Joint-Tissue Imputation Enhanced PrediXcan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MAGMA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Multi-marker Analysis of GenoMic Annotation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LDSC-SEG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: Linkage Disequilibrium Score Regression-Stratified by Expression of Genes</w:t>
      </w:r>
    </w:p>
    <w:p w14:paraId="780144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Nirmala UI">
    <w:panose1 w:val="020B0502040204020203"/>
    <w:charset w:val="00"/>
    <w:family w:val="auto"/>
    <w:pitch w:val="default"/>
    <w:sig w:usb0="80FF8023" w:usb1="0200004A" w:usb2="00000200" w:usb3="00040000" w:csb0="0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F6618"/>
    <w:rsid w:val="687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2025-04-10T15:07:00Z</dcterms:created>
  <dc:creator>奥特巍</dc:creator>
  <cp:lastModifiedBy>奥特巍</cp:lastModifiedBy>
  <dcterms:modified xsi:type="dcterms:W3CDTF">2025-04-10T15:08:34Z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59FEEC9B36B84E81AF75A870FDB9A86D_11</vt:lpwstr>
  </property>
  <property fmtid="{D5CDD505-2E9C-101B-9397-08002B2CF9AE}" pid="4" name="KSOTemplateDocerSaveRecord">
    <vt:lpwstr>eyJoZGlkIjoiMTg2YWE3YjQ2MmEzZjdkMmU0MTVkZDJjYWI5OTE5YWEiLCJ1c2VySWQiOiIzODIzMjYyMjMifQ==</vt:lpwstr>
  </property>
</Properties>
</file>