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9A7EE" w14:textId="77777777" w:rsidR="00C232A5" w:rsidRPr="00CD0644" w:rsidRDefault="00C232A5" w:rsidP="00C232A5">
      <w:pPr>
        <w:pStyle w:val="Titel"/>
        <w:jc w:val="center"/>
        <w:rPr>
          <w:lang w:val="en-US"/>
        </w:rPr>
      </w:pPr>
      <w:r w:rsidRPr="00CD0644">
        <w:rPr>
          <w:lang w:val="en-US"/>
        </w:rPr>
        <w:t xml:space="preserve">Short-Term Prevention of Perimenstrual Migraine With </w:t>
      </w:r>
      <w:r>
        <w:rPr>
          <w:lang w:val="en-US"/>
        </w:rPr>
        <w:t>Rimegepant</w:t>
      </w:r>
      <w:r w:rsidRPr="00CD0644">
        <w:rPr>
          <w:lang w:val="en-US"/>
        </w:rPr>
        <w:t>: A Real-Life Case Series</w:t>
      </w:r>
    </w:p>
    <w:p w14:paraId="6EDC1BE4" w14:textId="77777777" w:rsidR="00C232A5" w:rsidRPr="00CD0644" w:rsidRDefault="00C232A5" w:rsidP="00C232A5">
      <w:pPr>
        <w:rPr>
          <w:lang w:val="en-US"/>
        </w:rPr>
      </w:pPr>
    </w:p>
    <w:p w14:paraId="0D26F025" w14:textId="77777777" w:rsidR="00C232A5" w:rsidRPr="003750BA" w:rsidRDefault="00C232A5" w:rsidP="00C232A5">
      <w:pPr>
        <w:rPr>
          <w:rFonts w:ascii="Arial" w:hAnsi="Arial" w:cs="Arial"/>
        </w:rPr>
      </w:pPr>
      <w:r w:rsidRPr="003750BA">
        <w:rPr>
          <w:rFonts w:ascii="Arial" w:hAnsi="Arial" w:cs="Arial"/>
        </w:rPr>
        <w:t>Florian Frank</w:t>
      </w:r>
      <w:r w:rsidRPr="003750BA">
        <w:rPr>
          <w:rFonts w:ascii="Arial" w:hAnsi="Arial" w:cs="Arial"/>
          <w:vertAlign w:val="superscript"/>
        </w:rPr>
        <w:t>1</w:t>
      </w:r>
      <w:r w:rsidRPr="003750BA">
        <w:rPr>
          <w:rFonts w:ascii="Arial" w:hAnsi="Arial" w:cs="Arial"/>
        </w:rPr>
        <w:t>, Alois Schiefecker</w:t>
      </w:r>
      <w:r w:rsidRPr="003750BA">
        <w:rPr>
          <w:rFonts w:ascii="Arial" w:hAnsi="Arial" w:cs="Arial"/>
          <w:vertAlign w:val="superscript"/>
        </w:rPr>
        <w:t>1</w:t>
      </w:r>
      <w:r w:rsidRPr="003750BA">
        <w:rPr>
          <w:rFonts w:ascii="Arial" w:hAnsi="Arial" w:cs="Arial"/>
        </w:rPr>
        <w:t>, Katharina Kaltseis</w:t>
      </w:r>
      <w:r w:rsidRPr="003750BA">
        <w:rPr>
          <w:rFonts w:ascii="Arial" w:hAnsi="Arial" w:cs="Arial"/>
          <w:vertAlign w:val="superscript"/>
        </w:rPr>
        <w:t>1</w:t>
      </w:r>
      <w:r w:rsidRPr="003750BA">
        <w:rPr>
          <w:rFonts w:ascii="Arial" w:hAnsi="Arial" w:cs="Arial"/>
        </w:rPr>
        <w:t>, Michael Eller</w:t>
      </w:r>
      <w:r w:rsidRPr="003750BA">
        <w:rPr>
          <w:rFonts w:ascii="Arial" w:hAnsi="Arial" w:cs="Arial"/>
          <w:vertAlign w:val="superscript"/>
        </w:rPr>
        <w:t>1</w:t>
      </w:r>
      <w:r w:rsidRPr="003750BA">
        <w:rPr>
          <w:rFonts w:ascii="Arial" w:hAnsi="Arial" w:cs="Arial"/>
        </w:rPr>
        <w:t>, Gregor Brössner</w:t>
      </w:r>
      <w:r w:rsidRPr="003750BA">
        <w:rPr>
          <w:rFonts w:ascii="Arial" w:hAnsi="Arial" w:cs="Arial"/>
          <w:vertAlign w:val="superscript"/>
        </w:rPr>
        <w:t>1</w:t>
      </w:r>
    </w:p>
    <w:p w14:paraId="29D767BA" w14:textId="77777777" w:rsidR="00C232A5" w:rsidRPr="003750BA" w:rsidRDefault="00C232A5" w:rsidP="00C232A5">
      <w:pPr>
        <w:rPr>
          <w:rFonts w:ascii="Arial" w:hAnsi="Arial" w:cs="Arial"/>
          <w:lang w:val="en-US"/>
        </w:rPr>
      </w:pPr>
      <w:r w:rsidRPr="003750BA">
        <w:rPr>
          <w:rFonts w:ascii="Arial" w:hAnsi="Arial" w:cs="Arial"/>
          <w:vertAlign w:val="superscript"/>
          <w:lang w:val="en-US"/>
        </w:rPr>
        <w:t>1</w:t>
      </w:r>
      <w:r w:rsidRPr="003750BA">
        <w:rPr>
          <w:rFonts w:ascii="Arial" w:hAnsi="Arial" w:cs="Arial"/>
          <w:lang w:val="en-US"/>
        </w:rPr>
        <w:t>Department of Neurology, Medical University of Innsbruck, Austria</w:t>
      </w:r>
    </w:p>
    <w:p w14:paraId="66DEEAFC" w14:textId="77777777" w:rsidR="00C232A5" w:rsidRDefault="00C232A5" w:rsidP="00C232A5">
      <w:pPr>
        <w:jc w:val="both"/>
        <w:rPr>
          <w:rFonts w:ascii="Arial" w:hAnsi="Arial" w:cs="Arial"/>
          <w:b/>
          <w:sz w:val="24"/>
          <w:szCs w:val="24"/>
          <w:lang w:val="en-US"/>
        </w:rPr>
      </w:pPr>
    </w:p>
    <w:p w14:paraId="1DDEE00D" w14:textId="1AE53996" w:rsidR="00C232A5" w:rsidRDefault="00C232A5" w:rsidP="00C232A5">
      <w:pPr>
        <w:pStyle w:val="berschrift1"/>
        <w:rPr>
          <w:lang w:val="en-US"/>
        </w:rPr>
      </w:pPr>
      <w:r>
        <w:rPr>
          <w:lang w:val="en-US"/>
        </w:rPr>
        <w:t>Supplemental data</w:t>
      </w:r>
    </w:p>
    <w:p w14:paraId="6AD832E2" w14:textId="77777777" w:rsidR="00C232A5" w:rsidRPr="00C232A5" w:rsidRDefault="00C232A5" w:rsidP="00C232A5">
      <w:pPr>
        <w:jc w:val="both"/>
        <w:rPr>
          <w:rFonts w:ascii="Arial" w:hAnsi="Arial" w:cs="Arial"/>
          <w:sz w:val="24"/>
          <w:szCs w:val="24"/>
          <w:lang w:val="en-US"/>
        </w:rPr>
      </w:pPr>
    </w:p>
    <w:p w14:paraId="0A4604EE" w14:textId="77777777" w:rsidR="00C232A5" w:rsidRPr="00C232A5" w:rsidRDefault="00C232A5" w:rsidP="00C232A5">
      <w:pPr>
        <w:pStyle w:val="berschrift2"/>
        <w:rPr>
          <w:lang w:val="en-US"/>
        </w:rPr>
      </w:pPr>
      <w:r w:rsidRPr="00C232A5">
        <w:rPr>
          <w:lang w:val="en-US"/>
        </w:rPr>
        <w:t>Case 1 (Menstrual Migraine)</w:t>
      </w:r>
    </w:p>
    <w:p w14:paraId="3B37C666"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A 32-year-old patient presented with a history of episodic migraine without aura dating back to her teenage years (18 years total). At initial presentation, she reported an average of 5 monthly migraine days over the preceding three months, with attacks lasting approximately 24 hours on average. Pain intensity was rated as 6 out of 10 on the visual analogue scale (VAS). The patient used sumatriptan as acute migraine treatment, which demonstrated good efficacy in eliminating headaches within 30 minutes but was associated with a high recurrence rate the following day. She was not using hormonal contraception at the time of consultation and had developed pure menstrual migraine patterns since discontinuing hormonal contraception two years previously.</w:t>
      </w:r>
    </w:p>
    <w:p w14:paraId="65C309C6"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Her medical history included Hashimoto thyroiditis treated with levothyroxine 50 μg daily. Previous migraine preventive medications included metoprolol and topiramate, both of which were discontinued due to lack of efficacy. We initiated treatment with eletriptan to address the recurrent headache pattern and referred the patient for non-pharmacological management with biweekly biofeedback therapy.</w:t>
      </w:r>
    </w:p>
    <w:p w14:paraId="065ADF27" w14:textId="2FA22D44"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At the four-month follow-up visit, the patient reported improved tolerability of eletriptan compared to sumatriptan, though efficacy remained unchanged. She continued to experience 5 migraine days per month despite treatment with the longer-acting triptan, prompting the decision to initiate short-term preventive treatment with rimegepant. Her menstrual cycle was regular with a duration of 4-5 days, with bleeding intensity highest during the first two days. The average cycle length was 3</w:t>
      </w:r>
      <w:r w:rsidR="000B27CE">
        <w:rPr>
          <w:rFonts w:ascii="Arial" w:hAnsi="Arial" w:cs="Arial"/>
          <w:sz w:val="24"/>
          <w:szCs w:val="24"/>
          <w:lang w:val="en-US"/>
        </w:rPr>
        <w:t>1</w:t>
      </w:r>
      <w:r w:rsidRPr="00C232A5">
        <w:rPr>
          <w:rFonts w:ascii="Arial" w:hAnsi="Arial" w:cs="Arial"/>
          <w:sz w:val="24"/>
          <w:szCs w:val="24"/>
          <w:lang w:val="en-US"/>
        </w:rPr>
        <w:t>.5 days. No significant changes in menstrual cycle intensity or duration were observed during rimegepant treatment.</w:t>
      </w:r>
    </w:p>
    <w:p w14:paraId="672F960F"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During rimegepant therapy, the patient demonstrated both a reduction in overall migraine days and successful prevention of perimenstrual migraine attacks. Treatment tolerability was excellent throughout the observation period.</w:t>
      </w:r>
    </w:p>
    <w:p w14:paraId="279CB4D0" w14:textId="77777777" w:rsidR="00C232A5" w:rsidRPr="00C232A5" w:rsidRDefault="00C232A5" w:rsidP="00C232A5">
      <w:pPr>
        <w:pStyle w:val="berschrift2"/>
        <w:rPr>
          <w:lang w:val="en-US"/>
        </w:rPr>
      </w:pPr>
      <w:r w:rsidRPr="00C232A5">
        <w:rPr>
          <w:lang w:val="en-US"/>
        </w:rPr>
        <w:lastRenderedPageBreak/>
        <w:t>Case 2 (Menstrual Migraine)</w:t>
      </w:r>
    </w:p>
    <w:p w14:paraId="41D1509A"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This 31-year-old patient presented with a history of episodic migraine with aura manifesting as pure menstrual migraine since her second pregnancy. Aura episodes were infrequent, occurring approximately twice yearly, and consisted of visual and sensory symptoms with occasional aphasic components lasting up to one hour, followed by migraine headache. Typical migraine duration ranged from two to three days. Over the three months preceding her initial consultation, she experienced one perimenstrual attack per month on average.</w:t>
      </w:r>
    </w:p>
    <w:p w14:paraId="160DF0E6" w14:textId="5A08237B"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For acute treatment, the patient had been using NSAIDs but experienced poor tolerability due to gastrointestinal adverse effects. No significant comorbidities or concurrent medications were reported, and she had never received migraine preventive therapy. Her menstrual cycle was regular</w:t>
      </w:r>
      <w:r w:rsidR="000B27CE">
        <w:rPr>
          <w:rFonts w:ascii="Arial" w:hAnsi="Arial" w:cs="Arial"/>
          <w:sz w:val="24"/>
          <w:szCs w:val="24"/>
          <w:lang w:val="en-US"/>
        </w:rPr>
        <w:t xml:space="preserve"> (average length 30.0 days)</w:t>
      </w:r>
      <w:r w:rsidRPr="00C232A5">
        <w:rPr>
          <w:rFonts w:ascii="Arial" w:hAnsi="Arial" w:cs="Arial"/>
          <w:sz w:val="24"/>
          <w:szCs w:val="24"/>
          <w:lang w:val="en-US"/>
        </w:rPr>
        <w:t>, and she was not using hormonal contraceptives.</w:t>
      </w:r>
    </w:p>
    <w:p w14:paraId="2FDF6FF0"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Given the poor NSAID tolerability, we initiated frovatriptan as acute migraine therapy and began short-term perimenstrual preventive treatment with rimegepant. Initially, the patient responded favorably to this regimen. However, she subsequently reported that rimegepant appeared to delay rather than prevent migraine attacks, with episodes occurring post-menstrually. This resulted in successful reduction of perimenstrual migraine days but no sustained decrease in overall monthly migraine frequency. No treatment-related adverse events were reported.</w:t>
      </w:r>
    </w:p>
    <w:p w14:paraId="29D60F7F" w14:textId="77777777" w:rsidR="00C232A5" w:rsidRPr="00C232A5" w:rsidRDefault="00C232A5" w:rsidP="00C232A5">
      <w:pPr>
        <w:pStyle w:val="berschrift2"/>
        <w:rPr>
          <w:lang w:val="en-US"/>
        </w:rPr>
      </w:pPr>
      <w:r w:rsidRPr="00C232A5">
        <w:rPr>
          <w:lang w:val="en-US"/>
        </w:rPr>
        <w:t>Case 3 (Menstrually-Related Migraine)</w:t>
      </w:r>
    </w:p>
    <w:p w14:paraId="141D55A7"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This 32-year-old patient presented with menstrually-related migraine without aura with onset at age 20. Migraine attacks outside the perimenstrual window occurred rarely. Average attack duration over the preceding three months ranged from one to two days, with mean pain intensity of 8 out of 10 on the VAS. Her history of acute migraine treatments included various NSAIDs with limited efficacy; at presentation, she was using zolmitriptan nasal spray with moderate effectiveness.</w:t>
      </w:r>
    </w:p>
    <w:p w14:paraId="446BAB54" w14:textId="51E8C329"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No relevant concurrent medications or comorbidities were identified. This patient had not received prior migraine preventive therapy and was not using hormonal contraception at the time of presentation.</w:t>
      </w:r>
      <w:r w:rsidR="000B27CE">
        <w:rPr>
          <w:rFonts w:ascii="Arial" w:hAnsi="Arial" w:cs="Arial"/>
          <w:sz w:val="24"/>
          <w:szCs w:val="24"/>
          <w:lang w:val="en-US"/>
        </w:rPr>
        <w:t xml:space="preserve"> Her average cycle length was 29.0 days.</w:t>
      </w:r>
    </w:p>
    <w:p w14:paraId="7198902D"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During short-term preventive treatment with rimegepant, the patient reported successful cessation of perimenstrual migraine attacks. However, she developed migraine episodes outside the menstrual period approximately one week later, which represented an unusual pattern for her historical presentation. Treatment tolerability was excellent throughout the observation period.</w:t>
      </w:r>
    </w:p>
    <w:p w14:paraId="04E00650" w14:textId="77777777" w:rsidR="00C232A5" w:rsidRPr="00C232A5" w:rsidRDefault="00C232A5" w:rsidP="00C232A5">
      <w:pPr>
        <w:pStyle w:val="berschrift2"/>
        <w:rPr>
          <w:lang w:val="en-US"/>
        </w:rPr>
      </w:pPr>
      <w:r w:rsidRPr="00C232A5">
        <w:rPr>
          <w:lang w:val="en-US"/>
        </w:rPr>
        <w:t>Case 4 (Menstrually-Related Migraine)</w:t>
      </w:r>
    </w:p>
    <w:p w14:paraId="215ED733" w14:textId="25C4FF0C"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 xml:space="preserve">This patient first presented to our headache clinic at age 42 with a history of episodic menstrually-related migraine without aura dating back to puberty. Over the three months preceding consultation, she experienced one to two attacks monthly with an average duration of three days. She had never received preventive migraine therapy and reported no concurrent medications or significant comorbidities. NSAIDs served </w:t>
      </w:r>
      <w:r w:rsidRPr="00C232A5">
        <w:rPr>
          <w:rFonts w:ascii="Arial" w:hAnsi="Arial" w:cs="Arial"/>
          <w:sz w:val="24"/>
          <w:szCs w:val="24"/>
          <w:lang w:val="en-US"/>
        </w:rPr>
        <w:lastRenderedPageBreak/>
        <w:t>as her acute migraine treatment. Hormonal contraception was</w:t>
      </w:r>
      <w:r w:rsidR="000B27CE">
        <w:rPr>
          <w:rFonts w:ascii="Arial" w:hAnsi="Arial" w:cs="Arial"/>
          <w:sz w:val="24"/>
          <w:szCs w:val="24"/>
          <w:lang w:val="en-US"/>
        </w:rPr>
        <w:t xml:space="preserve"> previously used</w:t>
      </w:r>
      <w:r w:rsidRPr="00C232A5">
        <w:rPr>
          <w:rFonts w:ascii="Arial" w:hAnsi="Arial" w:cs="Arial"/>
          <w:sz w:val="24"/>
          <w:szCs w:val="24"/>
          <w:lang w:val="en-US"/>
        </w:rPr>
        <w:t xml:space="preserve"> in this patient.</w:t>
      </w:r>
      <w:r w:rsidR="000B27CE">
        <w:rPr>
          <w:rFonts w:ascii="Arial" w:hAnsi="Arial" w:cs="Arial"/>
          <w:sz w:val="24"/>
          <w:szCs w:val="24"/>
          <w:lang w:val="en-US"/>
        </w:rPr>
        <w:t xml:space="preserve"> Her average cycle length was 32.5 days.</w:t>
      </w:r>
    </w:p>
    <w:p w14:paraId="4E72727A"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We prescribed frovatriptan for the management of longer-duration attacks and initiated short-term preventive treatment with rimegepant. During therapy, the patient initially achieved cessation of perimenstrual migraine attacks; however, these episodes recurred later in the treatment period. Overall monthly migraine frequency was not consistently affected by the short-term perimenstrual prevention strategy. No adverse events were reported during treatment.</w:t>
      </w:r>
    </w:p>
    <w:p w14:paraId="179E9FF1" w14:textId="77777777" w:rsidR="00C232A5" w:rsidRPr="00C232A5" w:rsidRDefault="00C232A5" w:rsidP="00C232A5">
      <w:pPr>
        <w:pStyle w:val="berschrift2"/>
        <w:rPr>
          <w:lang w:val="en-US"/>
        </w:rPr>
      </w:pPr>
      <w:r w:rsidRPr="00C232A5">
        <w:rPr>
          <w:lang w:val="en-US"/>
        </w:rPr>
        <w:t>Case 5 (Menstrually-Related Migraine)</w:t>
      </w:r>
    </w:p>
    <w:p w14:paraId="3B6AB06D" w14:textId="7F8B1466"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This 22-year-old patient had experienced episodic migraine without aura since childhood, with menstrual association developing after puberty onset. Initial headache frequency varied widely between 4-14 days per month. Following patient education and instruction in non-pharmacological approaches such as relaxation techniques, she became better able to identify and characterize her migraine attacks. During the three months prior to consultation, she reported an average of six migraine episodes monthly with durations ranging from six to twelve hours.</w:t>
      </w:r>
      <w:r w:rsidR="000B27CE">
        <w:rPr>
          <w:rFonts w:ascii="Arial" w:hAnsi="Arial" w:cs="Arial"/>
          <w:sz w:val="24"/>
          <w:szCs w:val="24"/>
          <w:lang w:val="en-US"/>
        </w:rPr>
        <w:t xml:space="preserve"> Her average menstrual cycle length was 28.5 days.</w:t>
      </w:r>
    </w:p>
    <w:p w14:paraId="06FF1134"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Her acute treatment regimen included NSAIDs and frovatriptan. Previous therapeutic trials with sumatriptan, zolmitriptan, and eletriptan had been discontinued due to tolerability issues. Two years prior to presentation, amitriptyline had been prescribed as migraine prevention but was discontinued after two months due to adverse effects. Subsequently, she was treated with erenumab, a monoclonal CGRP receptor antibody, for six months without significant improvement in migraine frequency.</w:t>
      </w:r>
    </w:p>
    <w:p w14:paraId="0243B5EF" w14:textId="77777777" w:rsidR="00C232A5" w:rsidRPr="00C232A5" w:rsidRDefault="00C232A5" w:rsidP="00C232A5">
      <w:pPr>
        <w:jc w:val="both"/>
        <w:rPr>
          <w:rFonts w:ascii="Arial" w:hAnsi="Arial" w:cs="Arial"/>
          <w:sz w:val="24"/>
          <w:szCs w:val="24"/>
          <w:lang w:val="en-US"/>
        </w:rPr>
      </w:pPr>
      <w:r w:rsidRPr="00C232A5">
        <w:rPr>
          <w:rFonts w:ascii="Arial" w:hAnsi="Arial" w:cs="Arial"/>
          <w:sz w:val="24"/>
          <w:szCs w:val="24"/>
          <w:lang w:val="en-US"/>
        </w:rPr>
        <w:t>At presentation, she reported no concurrent medications and denied relevant comorbidities. Her menstrual cycle was regular, and she was not using hormonal contraceptives. During rimegepant treatment, the patient noted complete cessation of perimenstrual migraine attacks and expressed overall satisfaction with treatment efficacy. Tolerability was reported as excellent. However, analysis of her prospective headache diary revealed no overall reduction in monthly migraine days during the treatment period.</w:t>
      </w:r>
    </w:p>
    <w:p w14:paraId="28F412C4" w14:textId="4903479B" w:rsidR="009149E0" w:rsidRPr="00C232A5" w:rsidRDefault="009149E0" w:rsidP="00C232A5">
      <w:pPr>
        <w:jc w:val="both"/>
        <w:rPr>
          <w:rFonts w:ascii="Arial" w:hAnsi="Arial" w:cs="Arial"/>
          <w:lang w:val="en-US"/>
        </w:rPr>
      </w:pPr>
    </w:p>
    <w:sectPr w:rsidR="009149E0" w:rsidRPr="00C232A5" w:rsidSect="00C232A5">
      <w:footerReference w:type="default" r:id="rId6"/>
      <w:pgSz w:w="11906" w:h="16838"/>
      <w:pgMar w:top="1417" w:right="1417" w:bottom="1134"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6D510" w14:textId="77777777" w:rsidR="002424D2" w:rsidRDefault="002424D2" w:rsidP="00C232A5">
      <w:pPr>
        <w:spacing w:after="0" w:line="240" w:lineRule="auto"/>
      </w:pPr>
      <w:r>
        <w:separator/>
      </w:r>
    </w:p>
  </w:endnote>
  <w:endnote w:type="continuationSeparator" w:id="0">
    <w:p w14:paraId="4A2B8EC1" w14:textId="77777777" w:rsidR="002424D2" w:rsidRDefault="002424D2" w:rsidP="00C2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240277"/>
      <w:docPartObj>
        <w:docPartGallery w:val="Page Numbers (Bottom of Page)"/>
        <w:docPartUnique/>
      </w:docPartObj>
    </w:sdtPr>
    <w:sdtContent>
      <w:p w14:paraId="0C41B16C" w14:textId="6E7B7361" w:rsidR="00C232A5" w:rsidRDefault="00C232A5">
        <w:pPr>
          <w:pStyle w:val="Fuzeile"/>
          <w:jc w:val="right"/>
        </w:pPr>
        <w:r>
          <w:fldChar w:fldCharType="begin"/>
        </w:r>
        <w:r>
          <w:instrText>PAGE   \* MERGEFORMAT</w:instrText>
        </w:r>
        <w:r>
          <w:fldChar w:fldCharType="separate"/>
        </w:r>
        <w:r>
          <w:rPr>
            <w:lang w:val="de-DE"/>
          </w:rPr>
          <w:t>2</w:t>
        </w:r>
        <w:r>
          <w:fldChar w:fldCharType="end"/>
        </w:r>
      </w:p>
    </w:sdtContent>
  </w:sdt>
  <w:p w14:paraId="7C712C18" w14:textId="77777777" w:rsidR="00C232A5" w:rsidRDefault="00C232A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4075E" w14:textId="77777777" w:rsidR="002424D2" w:rsidRDefault="002424D2" w:rsidP="00C232A5">
      <w:pPr>
        <w:spacing w:after="0" w:line="240" w:lineRule="auto"/>
      </w:pPr>
      <w:r>
        <w:separator/>
      </w:r>
    </w:p>
  </w:footnote>
  <w:footnote w:type="continuationSeparator" w:id="0">
    <w:p w14:paraId="15DC7114" w14:textId="77777777" w:rsidR="002424D2" w:rsidRDefault="002424D2" w:rsidP="00C232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2CD"/>
    <w:rsid w:val="000B27CE"/>
    <w:rsid w:val="0011282A"/>
    <w:rsid w:val="002424D2"/>
    <w:rsid w:val="00311EDA"/>
    <w:rsid w:val="003750BA"/>
    <w:rsid w:val="003926E9"/>
    <w:rsid w:val="007E56D1"/>
    <w:rsid w:val="008002CD"/>
    <w:rsid w:val="00902B5F"/>
    <w:rsid w:val="009149E0"/>
    <w:rsid w:val="00A343A6"/>
    <w:rsid w:val="00A61C7C"/>
    <w:rsid w:val="00AB5FA5"/>
    <w:rsid w:val="00B35A50"/>
    <w:rsid w:val="00B649B7"/>
    <w:rsid w:val="00C232A5"/>
    <w:rsid w:val="00D34E1D"/>
    <w:rsid w:val="00DF72A5"/>
    <w:rsid w:val="00E5274F"/>
    <w:rsid w:val="00F422B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A7D24"/>
  <w15:chartTrackingRefBased/>
  <w15:docId w15:val="{F5AD09BE-327E-4BF0-A341-9D8DB48E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750BA"/>
    <w:pPr>
      <w:keepNext/>
      <w:keepLines/>
      <w:spacing w:before="360" w:after="80"/>
      <w:outlineLvl w:val="0"/>
    </w:pPr>
    <w:rPr>
      <w:rFonts w:ascii="Arial" w:eastAsiaTheme="majorEastAsia" w:hAnsi="Arial"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3750BA"/>
    <w:pPr>
      <w:keepNext/>
      <w:keepLines/>
      <w:spacing w:before="160" w:after="80"/>
      <w:outlineLvl w:val="1"/>
    </w:pPr>
    <w:rPr>
      <w:rFonts w:ascii="Arial" w:eastAsiaTheme="majorEastAsia" w:hAnsi="Arial"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002C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002C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002C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002C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002C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002C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002C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50BA"/>
    <w:rPr>
      <w:rFonts w:ascii="Arial" w:eastAsiaTheme="majorEastAsia" w:hAnsi="Arial"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3750BA"/>
    <w:rPr>
      <w:rFonts w:ascii="Arial" w:eastAsiaTheme="majorEastAsia" w:hAnsi="Arial"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002C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002C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002C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002C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002C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002C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002CD"/>
    <w:rPr>
      <w:rFonts w:eastAsiaTheme="majorEastAsia" w:cstheme="majorBidi"/>
      <w:color w:val="272727" w:themeColor="text1" w:themeTint="D8"/>
    </w:rPr>
  </w:style>
  <w:style w:type="paragraph" w:styleId="Titel">
    <w:name w:val="Title"/>
    <w:basedOn w:val="Standard"/>
    <w:next w:val="Standard"/>
    <w:link w:val="TitelZchn"/>
    <w:uiPriority w:val="10"/>
    <w:qFormat/>
    <w:rsid w:val="003750BA"/>
    <w:pPr>
      <w:spacing w:after="80" w:line="240" w:lineRule="auto"/>
      <w:contextualSpacing/>
    </w:pPr>
    <w:rPr>
      <w:rFonts w:ascii="Arial" w:eastAsiaTheme="majorEastAsia" w:hAnsi="Arial" w:cstheme="majorBidi"/>
      <w:spacing w:val="-10"/>
      <w:kern w:val="28"/>
      <w:sz w:val="56"/>
      <w:szCs w:val="56"/>
    </w:rPr>
  </w:style>
  <w:style w:type="character" w:customStyle="1" w:styleId="TitelZchn">
    <w:name w:val="Titel Zchn"/>
    <w:basedOn w:val="Absatz-Standardschriftart"/>
    <w:link w:val="Titel"/>
    <w:uiPriority w:val="10"/>
    <w:rsid w:val="003750BA"/>
    <w:rPr>
      <w:rFonts w:ascii="Arial" w:eastAsiaTheme="majorEastAsia" w:hAnsi="Arial" w:cstheme="majorBidi"/>
      <w:spacing w:val="-10"/>
      <w:kern w:val="28"/>
      <w:sz w:val="56"/>
      <w:szCs w:val="56"/>
    </w:rPr>
  </w:style>
  <w:style w:type="paragraph" w:styleId="Untertitel">
    <w:name w:val="Subtitle"/>
    <w:basedOn w:val="Standard"/>
    <w:next w:val="Standard"/>
    <w:link w:val="UntertitelZchn"/>
    <w:uiPriority w:val="11"/>
    <w:qFormat/>
    <w:rsid w:val="008002C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002C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002C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002CD"/>
    <w:rPr>
      <w:i/>
      <w:iCs/>
      <w:color w:val="404040" w:themeColor="text1" w:themeTint="BF"/>
    </w:rPr>
  </w:style>
  <w:style w:type="paragraph" w:styleId="Listenabsatz">
    <w:name w:val="List Paragraph"/>
    <w:basedOn w:val="Standard"/>
    <w:uiPriority w:val="34"/>
    <w:qFormat/>
    <w:rsid w:val="008002CD"/>
    <w:pPr>
      <w:ind w:left="720"/>
      <w:contextualSpacing/>
    </w:pPr>
  </w:style>
  <w:style w:type="character" w:styleId="IntensiveHervorhebung">
    <w:name w:val="Intense Emphasis"/>
    <w:basedOn w:val="Absatz-Standardschriftart"/>
    <w:uiPriority w:val="21"/>
    <w:qFormat/>
    <w:rsid w:val="008002CD"/>
    <w:rPr>
      <w:i/>
      <w:iCs/>
      <w:color w:val="0F4761" w:themeColor="accent1" w:themeShade="BF"/>
    </w:rPr>
  </w:style>
  <w:style w:type="paragraph" w:styleId="IntensivesZitat">
    <w:name w:val="Intense Quote"/>
    <w:basedOn w:val="Standard"/>
    <w:next w:val="Standard"/>
    <w:link w:val="IntensivesZitatZchn"/>
    <w:uiPriority w:val="30"/>
    <w:qFormat/>
    <w:rsid w:val="00800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002CD"/>
    <w:rPr>
      <w:i/>
      <w:iCs/>
      <w:color w:val="0F4761" w:themeColor="accent1" w:themeShade="BF"/>
    </w:rPr>
  </w:style>
  <w:style w:type="character" w:styleId="IntensiverVerweis">
    <w:name w:val="Intense Reference"/>
    <w:basedOn w:val="Absatz-Standardschriftart"/>
    <w:uiPriority w:val="32"/>
    <w:qFormat/>
    <w:rsid w:val="008002CD"/>
    <w:rPr>
      <w:b/>
      <w:bCs/>
      <w:smallCaps/>
      <w:color w:val="0F4761" w:themeColor="accent1" w:themeShade="BF"/>
      <w:spacing w:val="5"/>
    </w:rPr>
  </w:style>
  <w:style w:type="character" w:styleId="Zeilennummer">
    <w:name w:val="line number"/>
    <w:basedOn w:val="Absatz-Standardschriftart"/>
    <w:uiPriority w:val="99"/>
    <w:semiHidden/>
    <w:unhideWhenUsed/>
    <w:rsid w:val="00C232A5"/>
  </w:style>
  <w:style w:type="paragraph" w:styleId="Kopfzeile">
    <w:name w:val="header"/>
    <w:basedOn w:val="Standard"/>
    <w:link w:val="KopfzeileZchn"/>
    <w:uiPriority w:val="99"/>
    <w:unhideWhenUsed/>
    <w:rsid w:val="00C232A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32A5"/>
  </w:style>
  <w:style w:type="paragraph" w:styleId="Fuzeile">
    <w:name w:val="footer"/>
    <w:basedOn w:val="Standard"/>
    <w:link w:val="FuzeileZchn"/>
    <w:uiPriority w:val="99"/>
    <w:unhideWhenUsed/>
    <w:rsid w:val="00C232A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3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6552</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Frank</dc:creator>
  <cp:keywords/>
  <dc:description/>
  <cp:lastModifiedBy>Florian  Frank</cp:lastModifiedBy>
  <cp:revision>2</cp:revision>
  <dcterms:created xsi:type="dcterms:W3CDTF">2025-10-02T16:25:00Z</dcterms:created>
  <dcterms:modified xsi:type="dcterms:W3CDTF">2025-10-02T16:25:00Z</dcterms:modified>
</cp:coreProperties>
</file>