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3EC49E">
      <w:pPr>
        <w:pStyle w:val="2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Quality Control (QC) Inspection Scoring Form for Headache Clinics and Centers</w:t>
      </w:r>
    </w:p>
    <w:p w14:paraId="199F1713">
      <w:pPr>
        <w:pStyle w:val="3"/>
        <w:rPr>
          <w:rFonts w:hint="default" w:ascii="Times New Roman" w:hAnsi="Times New Roman" w:cs="Times New Roman"/>
          <w:b/>
          <w:bCs/>
        </w:rPr>
      </w:pPr>
    </w:p>
    <w:p w14:paraId="2F7CD20C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Date:</w:t>
      </w:r>
      <w:r>
        <w:rPr>
          <w:rFonts w:hint="default" w:ascii="Times New Roman" w:hAnsi="Times New Roman" w:cs="Times New Roman"/>
        </w:rPr>
        <w:t xml:space="preserve"> ______________ </w:t>
      </w:r>
      <w:r>
        <w:rPr>
          <w:rFonts w:hint="default" w:ascii="Times New Roman" w:hAnsi="Times New Roman" w:cs="Times New Roman"/>
          <w:b/>
          <w:bCs/>
        </w:rPr>
        <w:t>Location:</w:t>
      </w:r>
      <w:r>
        <w:rPr>
          <w:rFonts w:hint="default" w:ascii="Times New Roman" w:hAnsi="Times New Roman" w:cs="Times New Roman"/>
        </w:rPr>
        <w:t xml:space="preserve"> ______________</w:t>
      </w:r>
      <w:bookmarkStart w:id="0" w:name="_GoBack"/>
      <w:bookmarkEnd w:id="0"/>
    </w:p>
    <w:p w14:paraId="6F82CA67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Inspecting Physicians:</w:t>
      </w:r>
      <w:r>
        <w:rPr>
          <w:rFonts w:hint="default" w:ascii="Times New Roman" w:hAnsi="Times New Roman" w:cs="Times New Roman"/>
        </w:rPr>
        <w:t xml:space="preserve"> ______________</w:t>
      </w:r>
    </w:p>
    <w:p w14:paraId="5D35D05D">
      <w:pPr>
        <w:pStyle w:val="3"/>
        <w:rPr>
          <w:rFonts w:hint="default" w:ascii="Times New Roman" w:hAnsi="Times New Roman" w:cs="Times New Roman"/>
        </w:rPr>
      </w:pPr>
    </w:p>
    <w:p w14:paraId="15513EC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Overall Center Score:</w:t>
      </w:r>
      <w:r>
        <w:rPr>
          <w:rFonts w:hint="default" w:ascii="Times New Roman" w:hAnsi="Times New Roman" w:cs="Times New Roman"/>
        </w:rPr>
        <w:t xml:space="preserve"> ( ) / 25 points</w:t>
      </w:r>
    </w:p>
    <w:p w14:paraId="57BE325E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1. Headache Patient Consultation Capacity (8 points)</w:t>
      </w:r>
    </w:p>
    <w:p w14:paraId="44270CB5">
      <w:pPr>
        <w:numPr>
          <w:ilvl w:val="0"/>
          <w:numId w:val="1"/>
        </w:numPr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Annual outpatient volume for headache patients: ( ) visits / ( ) points</w:t>
      </w:r>
    </w:p>
    <w:p w14:paraId="3CBE87D6">
      <w:pPr>
        <w:numPr>
          <w:numId w:val="0"/>
        </w:numPr>
        <w:ind w:left="360" w:leftChars="0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(</w:t>
      </w:r>
      <w:r>
        <w:rPr>
          <w:rFonts w:hint="default" w:ascii="Times New Roman" w:hAnsi="Times New Roman" w:cs="Times New Roman"/>
        </w:rPr>
        <w:t>3,000-5,000 visits: 2 points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</w:rPr>
        <w:t>5,000 visits: 4 points</w:t>
      </w:r>
      <w:r>
        <w:rPr>
          <w:rFonts w:hint="eastAsia" w:ascii="Times New Roman" w:hAnsi="Times New Roman" w:eastAsia="宋体" w:cs="Times New Roman"/>
          <w:lang w:val="en-US" w:eastAsia="zh-CN"/>
        </w:rPr>
        <w:t>)</w:t>
      </w:r>
    </w:p>
    <w:p w14:paraId="2AF7BC95"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Annual inpatient volume for headache patients: ( ) admissions / ( ) points</w:t>
      </w:r>
    </w:p>
    <w:p w14:paraId="4A2D061A">
      <w:pPr>
        <w:pStyle w:val="13"/>
        <w:numPr>
          <w:numId w:val="0"/>
        </w:numPr>
        <w:ind w:left="360" w:leftChars="0" w:right="480" w:rightChars="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(</w:t>
      </w:r>
      <w:r>
        <w:rPr>
          <w:rFonts w:hint="default" w:ascii="Times New Roman" w:hAnsi="Times New Roman" w:cs="Times New Roman"/>
        </w:rPr>
        <w:t>300 admissions: 2 points</w:t>
      </w:r>
      <w:r>
        <w:rPr>
          <w:rFonts w:hint="eastAsia" w:ascii="Times New Roman" w:hAnsi="Times New Roman" w:eastAsia="宋体" w:cs="Times New Roman"/>
          <w:lang w:val="en-US" w:eastAsia="zh-CN"/>
        </w:rPr>
        <w:t>)</w:t>
      </w:r>
    </w:p>
    <w:p w14:paraId="2F677AAE"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Proportion of migraine patients: ( )% / ( ) points</w:t>
      </w:r>
    </w:p>
    <w:p w14:paraId="0AA8CC43">
      <w:pPr>
        <w:pStyle w:val="13"/>
        <w:numPr>
          <w:numId w:val="0"/>
        </w:numPr>
        <w:ind w:left="360" w:leftChars="0" w:right="480" w:rightChars="0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(</w:t>
      </w:r>
      <w:r>
        <w:rPr>
          <w:rFonts w:hint="default" w:ascii="Times New Roman" w:hAnsi="Times New Roman" w:cs="Times New Roman"/>
        </w:rPr>
        <w:t>30%: 2 points</w:t>
      </w:r>
      <w:r>
        <w:rPr>
          <w:rFonts w:hint="eastAsia" w:ascii="Times New Roman" w:hAnsi="Times New Roman" w:eastAsia="宋体" w:cs="Times New Roman"/>
          <w:lang w:val="en-US" w:eastAsia="zh-CN"/>
        </w:rPr>
        <w:t>)</w:t>
      </w:r>
    </w:p>
    <w:p w14:paraId="06239522">
      <w:pPr>
        <w:pStyle w:val="2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iCs/>
        </w:rPr>
        <w:t xml:space="preserve">Note: “Headache patients” are defined as those presenting with “headache” as their primary complaint. </w:t>
      </w:r>
    </w:p>
    <w:p w14:paraId="43538DE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2. Standardized Headache Diagnosis Rate (10 points)</w:t>
      </w:r>
    </w:p>
    <w:p w14:paraId="6ACA89BD"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Standardized headache diagnosis rate: ( )% / ( ) points</w:t>
      </w:r>
    </w:p>
    <w:p w14:paraId="3025A823">
      <w:pPr>
        <w:numPr>
          <w:numId w:val="0"/>
        </w:numPr>
        <w:ind w:left="360" w:leftChars="0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(</w:t>
      </w:r>
      <w:r>
        <w:rPr>
          <w:rFonts w:hint="default" w:ascii="Times New Roman" w:hAnsi="Times New Roman" w:cs="Times New Roman"/>
        </w:rPr>
        <w:t>20%-40%: 2 points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</w:rPr>
        <w:t>40%-60%: 4 points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</w:rPr>
        <w:t>60%-80%: 6 points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</w:rPr>
        <w:t>80%-90%: 8 points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</w:rPr>
        <w:t>90%: 10 points</w:t>
      </w:r>
      <w:r>
        <w:rPr>
          <w:rFonts w:hint="eastAsia" w:ascii="Times New Roman" w:hAnsi="Times New Roman" w:eastAsia="宋体" w:cs="Times New Roman"/>
          <w:lang w:val="en-US" w:eastAsia="zh-CN"/>
        </w:rPr>
        <w:t>)</w:t>
      </w:r>
    </w:p>
    <w:p w14:paraId="353EE188">
      <w:pPr>
        <w:pStyle w:val="2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3. Standardized Migraine Prevention and Treatment Rate (3 points)</w:t>
      </w:r>
    </w:p>
    <w:p w14:paraId="5A1A519A"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Ability to provide at least two of the following therapies: Botulinum Toxin, nerve blocks, non-invasive neuromodulation, bio-behavioral therapy, acupuncture, etc.( ) points</w:t>
      </w:r>
    </w:p>
    <w:p w14:paraId="0D1BE946">
      <w:pPr>
        <w:numPr>
          <w:numId w:val="0"/>
        </w:numPr>
        <w:ind w:left="360"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(Yes = 3 points, No = 0 points)</w:t>
      </w:r>
    </w:p>
    <w:p w14:paraId="024D7E70">
      <w:pPr>
        <w:pStyle w:val="2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4. Comprehensive Migraine Management Capability (4 points)</w:t>
      </w:r>
    </w:p>
    <w:p w14:paraId="6E008FED"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Annual Continuing Medical Education (CME) sessions: ( ) / Patient education sessions: ( ) / ( ) points</w:t>
      </w:r>
    </w:p>
    <w:p w14:paraId="501D63D2">
      <w:pPr>
        <w:numPr>
          <w:numId w:val="0"/>
        </w:numPr>
        <w:ind w:left="360" w:leftChars="0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(</w:t>
      </w:r>
      <w:r>
        <w:rPr>
          <w:rFonts w:hint="default" w:ascii="Times New Roman" w:hAnsi="Times New Roman" w:cs="Times New Roman"/>
        </w:rPr>
        <w:t>At least once per year: 1 point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</w:rPr>
        <w:t>At least once per quarter: 2 points</w:t>
      </w:r>
      <w:r>
        <w:rPr>
          <w:rFonts w:hint="eastAsia" w:ascii="Times New Roman" w:hAnsi="Times New Roman" w:eastAsia="宋体" w:cs="Times New Roman"/>
          <w:lang w:val="en-US" w:eastAsia="zh-CN"/>
        </w:rPr>
        <w:t>)</w:t>
      </w:r>
    </w:p>
    <w:p w14:paraId="57A9A62B"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Availability of patient follow-up records documenting clinical outcomes (≥60% of patients with at least one annual follow-up, via outpatient records or online platforms): ( ) points</w:t>
      </w:r>
    </w:p>
    <w:p w14:paraId="15483B18">
      <w:pPr>
        <w:numPr>
          <w:numId w:val="0"/>
        </w:numPr>
        <w:ind w:left="360" w:lef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(Yes = 2 points, No = 0 points)</w:t>
      </w:r>
    </w:p>
    <w:p w14:paraId="683C49A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rect id="_x0000_i102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p w14:paraId="4173728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Case Review Score Sheet</w:t>
      </w:r>
    </w:p>
    <w:p w14:paraId="4004E9C1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Case ID:</w:t>
      </w:r>
      <w:r>
        <w:rPr>
          <w:rFonts w:hint="default" w:ascii="Times New Roman" w:hAnsi="Times New Roman" w:cs="Times New Roman"/>
        </w:rPr>
        <w:t xml:space="preserve"> ______________ </w:t>
      </w:r>
      <w:r>
        <w:rPr>
          <w:rFonts w:hint="default" w:ascii="Times New Roman" w:hAnsi="Times New Roman" w:cs="Times New Roman"/>
          <w:b/>
          <w:bCs/>
        </w:rPr>
        <w:t>Consultation Date:</w:t>
      </w:r>
      <w:r>
        <w:rPr>
          <w:rFonts w:hint="default" w:ascii="Times New Roman" w:hAnsi="Times New Roman" w:cs="Times New Roman"/>
        </w:rPr>
        <w:t xml:space="preserve"> ______________ </w:t>
      </w:r>
      <w:r>
        <w:rPr>
          <w:rFonts w:hint="default" w:ascii="Times New Roman" w:hAnsi="Times New Roman" w:cs="Times New Roman"/>
          <w:b/>
          <w:bCs/>
        </w:rPr>
        <w:t>Attending Physician:</w:t>
      </w:r>
      <w:r>
        <w:rPr>
          <w:rFonts w:hint="default" w:ascii="Times New Roman" w:hAnsi="Times New Roman" w:cs="Times New Roman"/>
        </w:rPr>
        <w:t xml:space="preserve"> ______________</w:t>
      </w:r>
    </w:p>
    <w:p w14:paraId="5BBCC82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iCs/>
        </w:rPr>
        <w:t>Please check the box (✓) for each criterion met in the reviewed medical record.</w:t>
      </w:r>
    </w:p>
    <w:p w14:paraId="5356368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I. Accuracy of Migraine Diagnosis (24 points)</w:t>
      </w:r>
    </w:p>
    <w:tbl>
      <w:tblPr>
        <w:tblStyle w:val="4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6180"/>
        <w:gridCol w:w="1035"/>
        <w:gridCol w:w="673"/>
      </w:tblGrid>
      <w:tr w14:paraId="0785A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81" w:type="pct"/>
          </w:tcPr>
          <w:p w14:paraId="64806535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Category</w:t>
            </w:r>
          </w:p>
        </w:tc>
        <w:tc>
          <w:tcPr>
            <w:tcW w:w="3226" w:type="pct"/>
          </w:tcPr>
          <w:p w14:paraId="0BFF14E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QC Standard</w:t>
            </w:r>
          </w:p>
        </w:tc>
        <w:tc>
          <w:tcPr>
            <w:tcW w:w="540" w:type="pct"/>
          </w:tcPr>
          <w:p w14:paraId="327BDED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Points</w:t>
            </w:r>
          </w:p>
        </w:tc>
        <w:tc>
          <w:tcPr>
            <w:tcW w:w="351" w:type="pct"/>
          </w:tcPr>
          <w:p w14:paraId="589492C9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✓</w:t>
            </w:r>
          </w:p>
        </w:tc>
      </w:tr>
      <w:tr w14:paraId="0EF8C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restart"/>
          </w:tcPr>
          <w:p w14:paraId="1600E17C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Basic Criteria (16 pts)</w:t>
            </w:r>
          </w:p>
        </w:tc>
        <w:tc>
          <w:tcPr>
            <w:tcW w:w="3226" w:type="pct"/>
          </w:tcPr>
          <w:p w14:paraId="4030932B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Diagnosis aligns with the </w:t>
            </w:r>
            <w:r>
              <w:rPr>
                <w:rFonts w:hint="default" w:ascii="Times New Roman" w:hAnsi="Times New Roman" w:cs="Times New Roman"/>
                <w:i/>
                <w:iCs/>
              </w:rPr>
              <w:t>Chinese Guideline for the Management of Migraine (2022 Edition)</w:t>
            </w:r>
            <w:r>
              <w:rPr>
                <w:rFonts w:hint="default" w:ascii="Times New Roman" w:hAnsi="Times New Roman" w:cs="Times New Roman"/>
              </w:rPr>
              <w:t xml:space="preserve"> and ICHD-3 criteria, with secondary headaches ruled out.</w:t>
            </w:r>
          </w:p>
        </w:tc>
        <w:tc>
          <w:tcPr>
            <w:tcW w:w="540" w:type="pct"/>
          </w:tcPr>
          <w:p w14:paraId="0F0C3F3B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51" w:type="pct"/>
          </w:tcPr>
          <w:p w14:paraId="3593F5C0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5A81D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39E9176B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372F09B2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Disease course documented.</w:t>
            </w:r>
          </w:p>
        </w:tc>
        <w:tc>
          <w:tcPr>
            <w:tcW w:w="540" w:type="pct"/>
          </w:tcPr>
          <w:p w14:paraId="5007FC81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351" w:type="pct"/>
          </w:tcPr>
          <w:p w14:paraId="4E2EAC16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0C91A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3416F63B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140F86C9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Location (unilateral/bilateral) documented.</w:t>
            </w:r>
          </w:p>
        </w:tc>
        <w:tc>
          <w:tcPr>
            <w:tcW w:w="540" w:type="pct"/>
          </w:tcPr>
          <w:p w14:paraId="2568918A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51" w:type="pct"/>
          </w:tcPr>
          <w:p w14:paraId="6B306BA9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25143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52414990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0D2187D8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Character/quality of pain documented.</w:t>
            </w:r>
          </w:p>
        </w:tc>
        <w:tc>
          <w:tcPr>
            <w:tcW w:w="540" w:type="pct"/>
          </w:tcPr>
          <w:p w14:paraId="4E8206BD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51" w:type="pct"/>
          </w:tcPr>
          <w:p w14:paraId="7D44160B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05559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14489C77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6B1DD2CB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Attack frequency documented (including timeframes if dynamic).</w:t>
            </w:r>
          </w:p>
        </w:tc>
        <w:tc>
          <w:tcPr>
            <w:tcW w:w="540" w:type="pct"/>
          </w:tcPr>
          <w:p w14:paraId="7872FD3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51" w:type="pct"/>
          </w:tcPr>
          <w:p w14:paraId="6505C7A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2F570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2BCFA979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7C9999CF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Attack duration documented.</w:t>
            </w:r>
          </w:p>
        </w:tc>
        <w:tc>
          <w:tcPr>
            <w:tcW w:w="540" w:type="pct"/>
          </w:tcPr>
          <w:p w14:paraId="31DCDBC7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51" w:type="pct"/>
          </w:tcPr>
          <w:p w14:paraId="1E7DF7B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7AF5D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3EFF9D70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79F9A901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Severity/intensity documented.</w:t>
            </w:r>
          </w:p>
        </w:tc>
        <w:tc>
          <w:tcPr>
            <w:tcW w:w="540" w:type="pct"/>
          </w:tcPr>
          <w:p w14:paraId="168E4BF0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51" w:type="pct"/>
          </w:tcPr>
          <w:p w14:paraId="24939E5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6D849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025F4E52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39C0E0A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Associated symptoms and presence of pain in other body parts documented.</w:t>
            </w:r>
          </w:p>
        </w:tc>
        <w:tc>
          <w:tcPr>
            <w:tcW w:w="540" w:type="pct"/>
          </w:tcPr>
          <w:p w14:paraId="44B98B4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51" w:type="pct"/>
          </w:tcPr>
          <w:p w14:paraId="162E8573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5DE48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356ECF3A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56ABC0E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Family history documented.</w:t>
            </w:r>
          </w:p>
        </w:tc>
        <w:tc>
          <w:tcPr>
            <w:tcW w:w="540" w:type="pct"/>
          </w:tcPr>
          <w:p w14:paraId="3A67EFB8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351" w:type="pct"/>
          </w:tcPr>
          <w:p w14:paraId="06C3F7B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709B9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restart"/>
          </w:tcPr>
          <w:p w14:paraId="4827A6BF">
            <w:pPr>
              <w:pStyle w:val="26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 xml:space="preserve">Excellent Criteria </w:t>
            </w:r>
          </w:p>
          <w:p w14:paraId="43CB8825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(8 pts)</w:t>
            </w:r>
          </w:p>
        </w:tc>
        <w:tc>
          <w:tcPr>
            <w:tcW w:w="3226" w:type="pct"/>
          </w:tcPr>
          <w:p w14:paraId="7172CC3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Presence or absence of aura documented (score 2 points if “no aura” is explicitly stated).</w:t>
            </w:r>
          </w:p>
        </w:tc>
        <w:tc>
          <w:tcPr>
            <w:tcW w:w="540" w:type="pct"/>
          </w:tcPr>
          <w:p w14:paraId="35F96D6D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(2)*</w:t>
            </w:r>
          </w:p>
        </w:tc>
        <w:tc>
          <w:tcPr>
            <w:tcW w:w="351" w:type="pct"/>
          </w:tcPr>
          <w:p w14:paraId="6B516E7D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1046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674EBAE8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73A48CF8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Duration and characteristics of aura described in detail (if applicable).</w:t>
            </w:r>
          </w:p>
        </w:tc>
        <w:tc>
          <w:tcPr>
            <w:tcW w:w="540" w:type="pct"/>
          </w:tcPr>
          <w:p w14:paraId="12DE932B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351" w:type="pct"/>
          </w:tcPr>
          <w:p w14:paraId="295F6FB4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2936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6861C2A5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04ECEEF1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Aggravating and relieving factors documented.</w:t>
            </w:r>
          </w:p>
        </w:tc>
        <w:tc>
          <w:tcPr>
            <w:tcW w:w="540" w:type="pct"/>
          </w:tcPr>
          <w:p w14:paraId="21AEDE5D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51" w:type="pct"/>
          </w:tcPr>
          <w:p w14:paraId="6845EE1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71E61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522D71B2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4D3F92A4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Types of previous medications tried documented.</w:t>
            </w:r>
          </w:p>
        </w:tc>
        <w:tc>
          <w:tcPr>
            <w:tcW w:w="540" w:type="pct"/>
          </w:tcPr>
          <w:p w14:paraId="146ED0CE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351" w:type="pct"/>
          </w:tcPr>
          <w:p w14:paraId="593A0F65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53ECE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34D306A0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5247A461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Frequency of previous medication use documented.</w:t>
            </w:r>
          </w:p>
        </w:tc>
        <w:tc>
          <w:tcPr>
            <w:tcW w:w="540" w:type="pct"/>
          </w:tcPr>
          <w:p w14:paraId="4551AAE7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351" w:type="pct"/>
          </w:tcPr>
          <w:p w14:paraId="3A3FFE78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2EEBA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40DE42F8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1D5D055D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Correct primary diagnosis (e.g., Migraine).</w:t>
            </w:r>
          </w:p>
        </w:tc>
        <w:tc>
          <w:tcPr>
            <w:tcW w:w="540" w:type="pct"/>
          </w:tcPr>
          <w:p w14:paraId="69BDA342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351" w:type="pct"/>
          </w:tcPr>
          <w:p w14:paraId="3EC8AACD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2FC0D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pct"/>
            <w:vMerge w:val="continue"/>
            <w:tcBorders/>
          </w:tcPr>
          <w:p w14:paraId="0D7B2AFA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26" w:type="pct"/>
          </w:tcPr>
          <w:p w14:paraId="4AA781B7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Comprehensive diagnosis, specifying subtype (e.g., Migraine with aura, Migraine without aura, Medication-overuse headache, Menstrually related migraine).</w:t>
            </w:r>
          </w:p>
        </w:tc>
        <w:tc>
          <w:tcPr>
            <w:tcW w:w="540" w:type="pct"/>
          </w:tcPr>
          <w:p w14:paraId="619CBA72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351" w:type="pct"/>
          </w:tcPr>
          <w:p w14:paraId="56105059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</w:tbl>
    <w:p w14:paraId="3784FC24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iCs/>
        </w:rPr>
        <w:t>Note: If the reviewed case is considered migraine without aura, criteria regarding aura description are automatically fulfilled (scored).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i/>
          <w:iCs/>
        </w:rPr>
        <w:t xml:space="preserve">*The provided text awards 1 point for </w:t>
      </w:r>
      <w:r>
        <w:rPr>
          <w:rFonts w:hint="default" w:ascii="Times New Roman" w:hAnsi="Times New Roman" w:cs="Times New Roman"/>
          <w:i/>
          <w:iCs/>
        </w:rPr>
        <w:t>“</w:t>
      </w:r>
      <w:r>
        <w:rPr>
          <w:rFonts w:hint="eastAsia" w:ascii="Times New Roman" w:hAnsi="Times New Roman" w:eastAsia="宋体" w:cs="Times New Roman"/>
          <w:i/>
          <w:iCs/>
          <w:lang w:val="en-US" w:eastAsia="zh-CN"/>
        </w:rPr>
        <w:t>with aura</w:t>
      </w:r>
      <w:r>
        <w:rPr>
          <w:rFonts w:hint="default" w:ascii="Times New Roman" w:hAnsi="Times New Roman" w:cs="Times New Roman"/>
          <w:i/>
          <w:iCs/>
        </w:rPr>
        <w:t>”</w:t>
      </w:r>
      <w:r>
        <w:rPr>
          <w:rFonts w:hint="default" w:ascii="Times New Roman" w:hAnsi="Times New Roman" w:cs="Times New Roman"/>
          <w:i/>
          <w:iCs/>
        </w:rPr>
        <w:t xml:space="preserve"> and 2 points for </w:t>
      </w:r>
      <w:r>
        <w:rPr>
          <w:rFonts w:hint="default" w:ascii="Times New Roman" w:hAnsi="Times New Roman" w:cs="Times New Roman"/>
          <w:i/>
          <w:iCs/>
        </w:rPr>
        <w:t>“</w:t>
      </w:r>
      <w:r>
        <w:rPr>
          <w:rFonts w:hint="eastAsia" w:ascii="Times New Roman" w:hAnsi="Times New Roman" w:eastAsia="宋体" w:cs="Times New Roman"/>
          <w:i/>
          <w:iCs/>
          <w:lang w:val="en-US" w:eastAsia="zh-CN"/>
        </w:rPr>
        <w:t>without aura</w:t>
      </w:r>
      <w:r>
        <w:rPr>
          <w:rFonts w:hint="default" w:ascii="Times New Roman" w:hAnsi="Times New Roman" w:cs="Times New Roman"/>
          <w:i/>
          <w:iCs/>
        </w:rPr>
        <w:t>’”.</w:t>
      </w:r>
    </w:p>
    <w:p w14:paraId="4C9CC2D8">
      <w:pPr>
        <w:pStyle w:val="3"/>
        <w:rPr>
          <w:rFonts w:hint="default" w:ascii="Times New Roman" w:hAnsi="Times New Roman" w:cs="Times New Roman"/>
          <w:b/>
          <w:bCs/>
        </w:rPr>
      </w:pPr>
    </w:p>
    <w:p w14:paraId="71C9ABBD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II. Standardized Migraine Prevention and Treatment (36 points)</w:t>
      </w:r>
    </w:p>
    <w:tbl>
      <w:tblPr>
        <w:tblStyle w:val="4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3275"/>
        <w:gridCol w:w="2873"/>
        <w:gridCol w:w="945"/>
        <w:gridCol w:w="567"/>
      </w:tblGrid>
      <w:tr w14:paraId="79296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000" w:type="pct"/>
          </w:tcPr>
          <w:p w14:paraId="78575F62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Category</w:t>
            </w:r>
          </w:p>
        </w:tc>
        <w:tc>
          <w:tcPr>
            <w:tcW w:w="1710" w:type="pct"/>
          </w:tcPr>
          <w:p w14:paraId="3B9F57DE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QC Standard</w:t>
            </w:r>
          </w:p>
        </w:tc>
        <w:tc>
          <w:tcPr>
            <w:tcW w:w="1500" w:type="pct"/>
          </w:tcPr>
          <w:p w14:paraId="158CAC1F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Sub-criterion</w:t>
            </w:r>
          </w:p>
        </w:tc>
        <w:tc>
          <w:tcPr>
            <w:tcW w:w="493" w:type="pct"/>
          </w:tcPr>
          <w:p w14:paraId="46E7919C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Points</w:t>
            </w:r>
          </w:p>
        </w:tc>
        <w:tc>
          <w:tcPr>
            <w:tcW w:w="296" w:type="pct"/>
          </w:tcPr>
          <w:p w14:paraId="4D9F6115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✓</w:t>
            </w:r>
          </w:p>
        </w:tc>
      </w:tr>
      <w:tr w14:paraId="5F660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restart"/>
          </w:tcPr>
          <w:p w14:paraId="229BCBE8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Basic Criteria (25 pts)</w:t>
            </w:r>
          </w:p>
        </w:tc>
        <w:tc>
          <w:tcPr>
            <w:tcW w:w="1710" w:type="pct"/>
            <w:vMerge w:val="restart"/>
          </w:tcPr>
          <w:p w14:paraId="1D7276DE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Acute Medication:</w:t>
            </w:r>
            <w:r>
              <w:rPr>
                <w:rFonts w:hint="default" w:ascii="Times New Roman" w:hAnsi="Times New Roman" w:cs="Times New Roman"/>
              </w:rPr>
              <w:t xml:space="preserve"> Compliance with basic principles from the </w:t>
            </w:r>
            <w:r>
              <w:rPr>
                <w:rFonts w:hint="default" w:ascii="Times New Roman" w:hAnsi="Times New Roman" w:cs="Times New Roman"/>
                <w:i/>
                <w:iCs/>
              </w:rPr>
              <w:t>Chinese Guideline for the Acute Treatment of Migraine (1st Edition)</w:t>
            </w:r>
            <w:r>
              <w:rPr>
                <w:rFonts w:hint="default" w:ascii="Times New Roman" w:hAnsi="Times New Roman" w:cs="Times New Roman"/>
              </w:rPr>
              <w:t>.</w:t>
            </w:r>
          </w:p>
        </w:tc>
        <w:tc>
          <w:tcPr>
            <w:tcW w:w="1500" w:type="pct"/>
          </w:tcPr>
          <w:p w14:paraId="36FFDD45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Appropriate drug selection</w:t>
            </w:r>
          </w:p>
        </w:tc>
        <w:tc>
          <w:tcPr>
            <w:tcW w:w="493" w:type="pct"/>
          </w:tcPr>
          <w:p w14:paraId="339FC271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012154F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4C2A6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1213E548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continue"/>
            <w:tcBorders/>
          </w:tcPr>
          <w:p w14:paraId="6CE636A6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00" w:type="pct"/>
          </w:tcPr>
          <w:p w14:paraId="2C7B93DD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Appropriate timing of administration</w:t>
            </w:r>
          </w:p>
        </w:tc>
        <w:tc>
          <w:tcPr>
            <w:tcW w:w="493" w:type="pct"/>
          </w:tcPr>
          <w:p w14:paraId="0219EF9B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296" w:type="pct"/>
          </w:tcPr>
          <w:p w14:paraId="713F8CF6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3CCF6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2F0EDA0C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continue"/>
            <w:tcBorders/>
          </w:tcPr>
          <w:p w14:paraId="21538C2D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00" w:type="pct"/>
          </w:tcPr>
          <w:p w14:paraId="04249BEF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Appropriate frequency of use</w:t>
            </w:r>
          </w:p>
        </w:tc>
        <w:tc>
          <w:tcPr>
            <w:tcW w:w="493" w:type="pct"/>
          </w:tcPr>
          <w:p w14:paraId="4AC8695E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296" w:type="pct"/>
          </w:tcPr>
          <w:p w14:paraId="1BF3E50B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73CFF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10BCB689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restart"/>
          </w:tcPr>
          <w:p w14:paraId="08E38C57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Preventive Medication:</w:t>
            </w:r>
            <w:r>
              <w:rPr>
                <w:rFonts w:hint="default" w:ascii="Times New Roman" w:hAnsi="Times New Roman" w:cs="Times New Roman"/>
              </w:rPr>
              <w:t xml:space="preserve"> For eligible patients, use aligns with the </w:t>
            </w:r>
            <w:r>
              <w:rPr>
                <w:rFonts w:hint="default" w:ascii="Times New Roman" w:hAnsi="Times New Roman" w:cs="Times New Roman"/>
                <w:i/>
                <w:iCs/>
              </w:rPr>
              <w:t>Chinese Guideline for the Management of Migraine (2022 Edition)</w:t>
            </w:r>
            <w:r>
              <w:rPr>
                <w:rFonts w:hint="default" w:ascii="Times New Roman" w:hAnsi="Times New Roman" w:cs="Times New Roman"/>
              </w:rPr>
              <w:t>.</w:t>
            </w:r>
          </w:p>
        </w:tc>
        <w:tc>
          <w:tcPr>
            <w:tcW w:w="1500" w:type="pct"/>
          </w:tcPr>
          <w:p w14:paraId="71B30E33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Indication for preventive therapy confirmed</w:t>
            </w:r>
          </w:p>
        </w:tc>
        <w:tc>
          <w:tcPr>
            <w:tcW w:w="493" w:type="pct"/>
          </w:tcPr>
          <w:p w14:paraId="4C5AA1BA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71ED7B69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01A9A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4F2DE898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continue"/>
            <w:tcBorders/>
          </w:tcPr>
          <w:p w14:paraId="2FBB2196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00" w:type="pct"/>
          </w:tcPr>
          <w:p w14:paraId="0315821C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Appropriate drug selection and recommendation</w:t>
            </w:r>
          </w:p>
        </w:tc>
        <w:tc>
          <w:tcPr>
            <w:tcW w:w="493" w:type="pct"/>
          </w:tcPr>
          <w:p w14:paraId="5B6CD8EB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296" w:type="pct"/>
          </w:tcPr>
          <w:p w14:paraId="431605F6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64944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7CE992D7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continue"/>
            <w:tcBorders/>
          </w:tcPr>
          <w:p w14:paraId="04866EE8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00" w:type="pct"/>
          </w:tcPr>
          <w:p w14:paraId="64F26455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Adherence to usage principles</w:t>
            </w:r>
          </w:p>
        </w:tc>
        <w:tc>
          <w:tcPr>
            <w:tcW w:w="493" w:type="pct"/>
          </w:tcPr>
          <w:p w14:paraId="330E1680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296" w:type="pct"/>
          </w:tcPr>
          <w:p w14:paraId="2AE46FA6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00BF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7E69EF59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10" w:type="pct"/>
            <w:gridSpan w:val="2"/>
          </w:tcPr>
          <w:p w14:paraId="48EFE8DD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Screening for Medication-Overuse Headache (MOH) performed in migraine patients.</w:t>
            </w:r>
          </w:p>
        </w:tc>
        <w:tc>
          <w:tcPr>
            <w:tcW w:w="493" w:type="pct"/>
          </w:tcPr>
          <w:p w14:paraId="56C740FF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2E15CB1C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336C9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6C24EBB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restart"/>
          </w:tcPr>
          <w:p w14:paraId="311FE567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MOH Management:</w:t>
            </w:r>
            <w:r>
              <w:rPr>
                <w:rFonts w:hint="default" w:ascii="Times New Roman" w:hAnsi="Times New Roman" w:cs="Times New Roman"/>
              </w:rPr>
              <w:t xml:space="preserve"> Management aligns with the </w:t>
            </w:r>
            <w:r>
              <w:rPr>
                <w:rFonts w:hint="default" w:ascii="Times New Roman" w:hAnsi="Times New Roman" w:cs="Times New Roman"/>
                <w:i/>
                <w:iCs/>
              </w:rPr>
              <w:t>Chinese Guideline for the Diagnosis and Treatment of MOH (1st Edition)</w:t>
            </w:r>
            <w:r>
              <w:rPr>
                <w:rFonts w:hint="default" w:ascii="Times New Roman" w:hAnsi="Times New Roman" w:cs="Times New Roman"/>
              </w:rPr>
              <w:t>.</w:t>
            </w:r>
          </w:p>
        </w:tc>
        <w:tc>
          <w:tcPr>
            <w:tcW w:w="1500" w:type="pct"/>
          </w:tcPr>
          <w:p w14:paraId="2836B3E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Accurate differential diagnosis</w:t>
            </w:r>
          </w:p>
        </w:tc>
        <w:tc>
          <w:tcPr>
            <w:tcW w:w="493" w:type="pct"/>
          </w:tcPr>
          <w:p w14:paraId="0C6A02A5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1662810D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2D811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1C5E894D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continue"/>
            <w:tcBorders/>
          </w:tcPr>
          <w:p w14:paraId="232CD27A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00" w:type="pct"/>
          </w:tcPr>
          <w:p w14:paraId="504699B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Appropriate preventive treatment</w:t>
            </w:r>
          </w:p>
        </w:tc>
        <w:tc>
          <w:tcPr>
            <w:tcW w:w="493" w:type="pct"/>
          </w:tcPr>
          <w:p w14:paraId="0FD1D54A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5C5869F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27CBF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66C931D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continue"/>
            <w:tcBorders/>
          </w:tcPr>
          <w:p w14:paraId="19A89D35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00" w:type="pct"/>
          </w:tcPr>
          <w:p w14:paraId="3046778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Appropriate non-pharmacological therapy</w:t>
            </w:r>
          </w:p>
        </w:tc>
        <w:tc>
          <w:tcPr>
            <w:tcW w:w="493" w:type="pct"/>
          </w:tcPr>
          <w:p w14:paraId="5CE9F399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62402A21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6FAD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1FB8C605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10" w:type="pct"/>
            <w:gridSpan w:val="2"/>
          </w:tcPr>
          <w:p w14:paraId="66ECEFE4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Documentation in MOH patient records includes advice on withdrawal (e.g., mention of “medication withdrawal”).</w:t>
            </w:r>
          </w:p>
        </w:tc>
        <w:tc>
          <w:tcPr>
            <w:tcW w:w="493" w:type="pct"/>
          </w:tcPr>
          <w:p w14:paraId="6EACCE81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296" w:type="pct"/>
          </w:tcPr>
          <w:p w14:paraId="5A6105D2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3EE89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restart"/>
          </w:tcPr>
          <w:p w14:paraId="321A11E7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Excellent Criteria (11 pts)</w:t>
            </w:r>
          </w:p>
        </w:tc>
        <w:tc>
          <w:tcPr>
            <w:tcW w:w="1710" w:type="pct"/>
            <w:vMerge w:val="restart"/>
          </w:tcPr>
          <w:p w14:paraId="3A0B087E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Specific Acute Medications:</w:t>
            </w:r>
            <w:r>
              <w:rPr>
                <w:rFonts w:hint="default" w:ascii="Times New Roman" w:hAnsi="Times New Roman" w:cs="Times New Roman"/>
              </w:rPr>
              <w:t xml:space="preserve"> Use of triptans, ergots, ditans, gepants, etc., aligns with the </w:t>
            </w:r>
            <w:r>
              <w:rPr>
                <w:rFonts w:hint="default" w:ascii="Times New Roman" w:hAnsi="Times New Roman" w:cs="Times New Roman"/>
                <w:i/>
                <w:iCs/>
              </w:rPr>
              <w:t>Chinese Guideline for the Acute Treatment of Migraine (1st Edition)</w:t>
            </w:r>
            <w:r>
              <w:rPr>
                <w:rFonts w:hint="default" w:ascii="Times New Roman" w:hAnsi="Times New Roman" w:cs="Times New Roman"/>
              </w:rPr>
              <w:t>.</w:t>
            </w:r>
          </w:p>
        </w:tc>
        <w:tc>
          <w:tcPr>
            <w:tcW w:w="1500" w:type="pct"/>
          </w:tcPr>
          <w:p w14:paraId="04922889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Assessment and selection of specific acute meds</w:t>
            </w:r>
          </w:p>
        </w:tc>
        <w:tc>
          <w:tcPr>
            <w:tcW w:w="493" w:type="pct"/>
          </w:tcPr>
          <w:p w14:paraId="68BB88B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15F775E7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7FDA9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727E1635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continue"/>
            <w:tcBorders/>
          </w:tcPr>
          <w:p w14:paraId="337F2104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00" w:type="pct"/>
          </w:tcPr>
          <w:p w14:paraId="33789E15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Adherence to guideline: “balancing short-term symptom control and long-term frequency management”</w:t>
            </w:r>
          </w:p>
        </w:tc>
        <w:tc>
          <w:tcPr>
            <w:tcW w:w="493" w:type="pct"/>
          </w:tcPr>
          <w:p w14:paraId="18CE3007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43E7B1D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277B8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2003E941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continue"/>
            <w:tcBorders/>
          </w:tcPr>
          <w:p w14:paraId="3F9CB9C4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00" w:type="pct"/>
          </w:tcPr>
          <w:p w14:paraId="12E335AF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Adherence to maximum dosage controls</w:t>
            </w:r>
          </w:p>
        </w:tc>
        <w:tc>
          <w:tcPr>
            <w:tcW w:w="493" w:type="pct"/>
          </w:tcPr>
          <w:p w14:paraId="1995267E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30816152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52B60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5C11D10C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10" w:type="pct"/>
            <w:vMerge w:val="continue"/>
            <w:tcBorders/>
          </w:tcPr>
          <w:p w14:paraId="282E4E2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00" w:type="pct"/>
          </w:tcPr>
          <w:p w14:paraId="05EE546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No documented contraindications</w:t>
            </w:r>
          </w:p>
        </w:tc>
        <w:tc>
          <w:tcPr>
            <w:tcW w:w="493" w:type="pct"/>
          </w:tcPr>
          <w:p w14:paraId="13F8B588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062F2BF5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3933A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4F54A1AB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10" w:type="pct"/>
            <w:gridSpan w:val="2"/>
          </w:tcPr>
          <w:p w14:paraId="7019D9A5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Avoidance of prescribing compound preparations containing addictive substances (e.g., opioids, barbiturates).</w:t>
            </w:r>
          </w:p>
        </w:tc>
        <w:tc>
          <w:tcPr>
            <w:tcW w:w="493" w:type="pct"/>
          </w:tcPr>
          <w:p w14:paraId="0391B3CB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96" w:type="pct"/>
          </w:tcPr>
          <w:p w14:paraId="3E0813FD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40C84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pct"/>
            <w:vMerge w:val="continue"/>
            <w:tcBorders/>
          </w:tcPr>
          <w:p w14:paraId="4449DB24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210" w:type="pct"/>
            <w:gridSpan w:val="2"/>
          </w:tcPr>
          <w:p w14:paraId="71F6618F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If patient previously used compound preparations containing addictive substances, documented advice to avoid them.</w:t>
            </w:r>
          </w:p>
        </w:tc>
        <w:tc>
          <w:tcPr>
            <w:tcW w:w="493" w:type="pct"/>
          </w:tcPr>
          <w:p w14:paraId="15F2937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296" w:type="pct"/>
          </w:tcPr>
          <w:p w14:paraId="3A23184F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</w:tbl>
    <w:p w14:paraId="664299F8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iCs/>
        </w:rPr>
        <w:t>Note: Evaluation should consider both initial and follow-up visits. If a patient has no indication for acute/preventive medication or has no MOH, relevant criteria are automatically fulfilled (scored). If there is no indication for specific acute medications, relevant “Excellent Criteria” are automatically fulfilled.</w:t>
      </w:r>
    </w:p>
    <w:p w14:paraId="1C5830E9">
      <w:pPr>
        <w:pStyle w:val="3"/>
        <w:rPr>
          <w:rFonts w:hint="default" w:ascii="Times New Roman" w:hAnsi="Times New Roman" w:cs="Times New Roman"/>
          <w:b/>
          <w:bCs/>
        </w:rPr>
      </w:pPr>
    </w:p>
    <w:p w14:paraId="056A28CA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III. Disability and Comorbidity Assessment (10 points)</w:t>
      </w:r>
    </w:p>
    <w:tbl>
      <w:tblPr>
        <w:tblStyle w:val="4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6105"/>
        <w:gridCol w:w="1185"/>
        <w:gridCol w:w="606"/>
      </w:tblGrid>
      <w:tr w14:paraId="05EA4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77" w:type="pct"/>
          </w:tcPr>
          <w:p w14:paraId="2BBCC844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Category</w:t>
            </w:r>
          </w:p>
        </w:tc>
        <w:tc>
          <w:tcPr>
            <w:tcW w:w="3187" w:type="pct"/>
          </w:tcPr>
          <w:p w14:paraId="1BEA291E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QC Standard</w:t>
            </w:r>
          </w:p>
        </w:tc>
        <w:tc>
          <w:tcPr>
            <w:tcW w:w="618" w:type="pct"/>
          </w:tcPr>
          <w:p w14:paraId="245CB670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Points</w:t>
            </w:r>
          </w:p>
        </w:tc>
        <w:tc>
          <w:tcPr>
            <w:tcW w:w="316" w:type="pct"/>
          </w:tcPr>
          <w:p w14:paraId="7D2D5F0B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✓</w:t>
            </w:r>
          </w:p>
        </w:tc>
      </w:tr>
      <w:tr w14:paraId="2CDBD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vMerge w:val="restart"/>
          </w:tcPr>
          <w:p w14:paraId="61A4DF13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Basic Criteria (7 pts)</w:t>
            </w:r>
          </w:p>
        </w:tc>
        <w:tc>
          <w:tcPr>
            <w:tcW w:w="3187" w:type="pct"/>
          </w:tcPr>
          <w:p w14:paraId="7AEFCEAC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Documentation of whether migraine affects daily activities, work, or life.</w:t>
            </w:r>
          </w:p>
        </w:tc>
        <w:tc>
          <w:tcPr>
            <w:tcW w:w="618" w:type="pct"/>
          </w:tcPr>
          <w:p w14:paraId="4CFA8B3B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16" w:type="pct"/>
          </w:tcPr>
          <w:p w14:paraId="462A210A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33B11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vMerge w:val="continue"/>
            <w:tcBorders/>
          </w:tcPr>
          <w:p w14:paraId="0F6433C4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87" w:type="pct"/>
          </w:tcPr>
          <w:p w14:paraId="58B48C77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Assessment for the presence of anxiety/depression.</w:t>
            </w:r>
          </w:p>
        </w:tc>
        <w:tc>
          <w:tcPr>
            <w:tcW w:w="618" w:type="pct"/>
          </w:tcPr>
          <w:p w14:paraId="41890B8A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316" w:type="pct"/>
          </w:tcPr>
          <w:p w14:paraId="620AE20C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1D3D8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vMerge w:val="continue"/>
            <w:tcBorders/>
          </w:tcPr>
          <w:p w14:paraId="0C650E51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87" w:type="pct"/>
          </w:tcPr>
          <w:p w14:paraId="61149E39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Description of sleep status.</w:t>
            </w:r>
          </w:p>
        </w:tc>
        <w:tc>
          <w:tcPr>
            <w:tcW w:w="618" w:type="pct"/>
          </w:tcPr>
          <w:p w14:paraId="1C9E9C3A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16" w:type="pct"/>
          </w:tcPr>
          <w:p w14:paraId="21F8E2D2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4530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vMerge w:val="restart"/>
          </w:tcPr>
          <w:p w14:paraId="3E6BF24A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Excellent Criteria (3 pts)</w:t>
            </w:r>
          </w:p>
        </w:tc>
        <w:tc>
          <w:tcPr>
            <w:tcW w:w="3187" w:type="pct"/>
          </w:tcPr>
          <w:p w14:paraId="25264D29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Use of specific scales to assess migraine-related disability (e.g., MIDAS, HIT-6).</w:t>
            </w:r>
          </w:p>
        </w:tc>
        <w:tc>
          <w:tcPr>
            <w:tcW w:w="618" w:type="pct"/>
          </w:tcPr>
          <w:p w14:paraId="7349DDE2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316" w:type="pct"/>
          </w:tcPr>
          <w:p w14:paraId="6EDDCFA1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16DF8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vMerge w:val="continue"/>
            <w:tcBorders/>
          </w:tcPr>
          <w:p w14:paraId="270C8B70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87" w:type="pct"/>
          </w:tcPr>
          <w:p w14:paraId="5ADFFAD2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Use of specific scales to assess anxiety/depression (e.g., GAD-7, HADS).</w:t>
            </w:r>
          </w:p>
        </w:tc>
        <w:tc>
          <w:tcPr>
            <w:tcW w:w="618" w:type="pct"/>
          </w:tcPr>
          <w:p w14:paraId="35C6EB64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316" w:type="pct"/>
          </w:tcPr>
          <w:p w14:paraId="4498044A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02277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pct"/>
            <w:vMerge w:val="continue"/>
            <w:tcBorders/>
          </w:tcPr>
          <w:p w14:paraId="1E42CD33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87" w:type="pct"/>
          </w:tcPr>
          <w:p w14:paraId="5F384BA6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Use of specific scales to assess sleep disorders (e.g., PSQI).</w:t>
            </w:r>
          </w:p>
        </w:tc>
        <w:tc>
          <w:tcPr>
            <w:tcW w:w="618" w:type="pct"/>
          </w:tcPr>
          <w:p w14:paraId="76C2F6E8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316" w:type="pct"/>
          </w:tcPr>
          <w:p w14:paraId="2F581CEB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</w:tbl>
    <w:p w14:paraId="7DB61E3D">
      <w:pPr>
        <w:pStyle w:val="3"/>
        <w:rPr>
          <w:rFonts w:hint="default" w:ascii="Times New Roman" w:hAnsi="Times New Roman" w:cs="Times New Roman"/>
          <w:b/>
          <w:bCs/>
        </w:rPr>
      </w:pPr>
    </w:p>
    <w:p w14:paraId="4ADB3687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IV. Comprehensive Migraine Management Capability (5 points)</w:t>
      </w:r>
    </w:p>
    <w:tbl>
      <w:tblPr>
        <w:tblStyle w:val="4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6037"/>
        <w:gridCol w:w="1193"/>
        <w:gridCol w:w="598"/>
      </w:tblGrid>
      <w:tr w14:paraId="3F3AA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912" w:type="pct"/>
          </w:tcPr>
          <w:p w14:paraId="49946BA8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Category</w:t>
            </w:r>
          </w:p>
        </w:tc>
        <w:tc>
          <w:tcPr>
            <w:tcW w:w="3152" w:type="pct"/>
          </w:tcPr>
          <w:p w14:paraId="298C6013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QC Standard</w:t>
            </w:r>
          </w:p>
        </w:tc>
        <w:tc>
          <w:tcPr>
            <w:tcW w:w="622" w:type="pct"/>
          </w:tcPr>
          <w:p w14:paraId="0491504D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Points</w:t>
            </w:r>
          </w:p>
        </w:tc>
        <w:tc>
          <w:tcPr>
            <w:tcW w:w="312" w:type="pct"/>
          </w:tcPr>
          <w:p w14:paraId="02AB1E6A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✓</w:t>
            </w:r>
          </w:p>
        </w:tc>
      </w:tr>
      <w:tr w14:paraId="25651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" w:type="pct"/>
            <w:vMerge w:val="restart"/>
          </w:tcPr>
          <w:p w14:paraId="7F32579E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Basic Criteria (5 pts)</w:t>
            </w:r>
          </w:p>
        </w:tc>
        <w:tc>
          <w:tcPr>
            <w:tcW w:w="3152" w:type="pct"/>
          </w:tcPr>
          <w:p w14:paraId="0C28E069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Patient advised/informed about regular follow-up.</w:t>
            </w:r>
          </w:p>
        </w:tc>
        <w:tc>
          <w:tcPr>
            <w:tcW w:w="622" w:type="pct"/>
          </w:tcPr>
          <w:p w14:paraId="6812B1D0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312" w:type="pct"/>
          </w:tcPr>
          <w:p w14:paraId="09F5DD37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  <w:tr w14:paraId="5D4BF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" w:type="pct"/>
            <w:vMerge w:val="continue"/>
            <w:tcBorders/>
          </w:tcPr>
          <w:p w14:paraId="06BE5FED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152" w:type="pct"/>
          </w:tcPr>
          <w:p w14:paraId="14F2150C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Patient advised/instructed to maintain a headache diary.</w:t>
            </w:r>
          </w:p>
        </w:tc>
        <w:tc>
          <w:tcPr>
            <w:tcW w:w="622" w:type="pct"/>
          </w:tcPr>
          <w:p w14:paraId="6118F5D3">
            <w:pPr>
              <w:pStyle w:val="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312" w:type="pct"/>
          </w:tcPr>
          <w:p w14:paraId="120CA78C">
            <w:pPr>
              <w:pStyle w:val="26"/>
              <w:rPr>
                <w:rFonts w:hint="default" w:ascii="Times New Roman" w:hAnsi="Times New Roman" w:cs="Times New Roman"/>
              </w:rPr>
            </w:pPr>
          </w:p>
        </w:tc>
      </w:tr>
    </w:tbl>
    <w:p w14:paraId="61247762">
      <w:pPr>
        <w:pStyle w:val="3"/>
        <w:rPr>
          <w:rFonts w:hint="default" w:ascii="Times New Roman" w:hAnsi="Times New Roman" w:cs="Times New Roman"/>
          <w:b/>
          <w:bCs/>
        </w:rPr>
      </w:pPr>
    </w:p>
    <w:p w14:paraId="180432C5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Clinical Decision Support System (CDSS) used for this case:</w:t>
      </w:r>
      <w:r>
        <w:rPr>
          <w:rFonts w:hint="default" w:ascii="Times New Roman" w:hAnsi="Times New Roman" w:cs="Times New Roman"/>
        </w:rPr>
        <w:t xml:space="preserve"> ☐ Yes ☐ No</w:t>
      </w:r>
    </w:p>
    <w:p w14:paraId="1FA75EBF">
      <w:pPr>
        <w:pStyle w:val="3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Total Score for this Case:</w:t>
      </w:r>
      <w:r>
        <w:rPr>
          <w:rFonts w:hint="default" w:ascii="Times New Roman" w:hAnsi="Times New Roman" w:cs="Times New Roman"/>
        </w:rPr>
        <w:t xml:space="preserve"> ( ) / 75 points</w:t>
      </w:r>
    </w:p>
    <w:p w14:paraId="4F410AA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rect id="_x0000_i102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sectPr>
      <w:headerReference r:id="rId5" w:type="first"/>
      <w:footerReference r:id="rId8" w:type="first"/>
      <w:footerReference r:id="rId6" w:type="default"/>
      <w:headerReference r:id="rId4" w:type="even"/>
      <w:footerReference r:id="rId7" w:type="even"/>
      <w:footnotePr>
        <w:numRestart w:val="eachSect"/>
      </w:footnotePr>
      <w:pgSz w:w="12240" w:h="15840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宋体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6717A">
    <w:pPr>
      <w:pStyle w:val="16"/>
    </w:pPr>
    <w:r>
      <w:ptab w:relativeTo="margin" w:alignment="center" w:leader="none"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9FC0C">
    <w:pPr>
      <w:pStyle w:val="1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31B28"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711F4">
    <w:pPr>
      <w:pStyle w:val="1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EB157">
    <w:pPr>
      <w:pStyle w:val="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compatSetting w:name="compatibilityMode" w:uri="http://schemas.microsoft.com/office/word" w:val="12"/>
  </w:compat>
  <w:rsids>
    <w:rsidRoot w:val="00AE7E94"/>
    <w:rsid w:val="00431829"/>
    <w:rsid w:val="007676ED"/>
    <w:rsid w:val="00831D9F"/>
    <w:rsid w:val="009E4A97"/>
    <w:rsid w:val="00A32DC9"/>
    <w:rsid w:val="00A95A66"/>
    <w:rsid w:val="00AE7E94"/>
    <w:rsid w:val="00C70A3C"/>
    <w:rsid w:val="00D339FE"/>
    <w:rsid w:val="00D821C8"/>
    <w:rsid w:val="00E76CE4"/>
    <w:rsid w:val="00F11113"/>
    <w:rsid w:val="516955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b/>
      <w:bCs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b/>
      <w:bCs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b/>
      <w:bCs/>
      <w:i/>
      <w:iCs/>
      <w:color w:val="0F4761" w:themeColor="accent1" w:themeShade="BF"/>
    </w:rPr>
  </w:style>
  <w:style w:type="paragraph" w:styleId="7">
    <w:name w:val="heading 5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b/>
      <w:bCs/>
      <w:color w:val="0F4761" w:themeColor="accent1" w:themeShade="BF"/>
    </w:rPr>
  </w:style>
  <w:style w:type="paragraph" w:styleId="8">
    <w:name w:val="heading 6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b/>
      <w:bCs/>
      <w:i/>
      <w:iCs/>
      <w:color w:val="585858" w:themeColor="text1" w:themeTint="A6"/>
    </w:rPr>
  </w:style>
  <w:style w:type="paragraph" w:styleId="9">
    <w:name w:val="heading 7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b/>
      <w:bCs/>
      <w:color w:val="585858" w:themeColor="text1" w:themeTint="A6"/>
    </w:rPr>
  </w:style>
  <w:style w:type="paragraph" w:styleId="10">
    <w:name w:val="heading 8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b/>
      <w:bCs/>
      <w:i/>
      <w:iCs/>
      <w:color w:val="262626" w:themeColor="text1" w:themeTint="D8"/>
    </w:rPr>
  </w:style>
  <w:style w:type="paragraph" w:styleId="11">
    <w:name w:val="heading 9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b/>
      <w:bCs/>
      <w:color w:val="262626" w:themeColor="text1" w:themeTint="D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12">
    <w:name w:val="caption"/>
    <w:basedOn w:val="1"/>
    <w:link w:val="23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b w:val="0"/>
      <w:bCs w:val="0"/>
      <w:sz w:val="24"/>
      <w:szCs w:val="24"/>
    </w:rPr>
  </w:style>
  <w:style w:type="paragraph" w:styleId="15">
    <w:name w:val="Title"/>
    <w:basedOn w:val="1"/>
    <w:next w:val="3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b/>
      <w:bCs/>
      <w:sz w:val="56"/>
      <w:szCs w:val="56"/>
    </w:rPr>
  </w:style>
  <w:style w:type="paragraph" w:styleId="16">
    <w:name w:val="footer"/>
    <w:basedOn w:val="1"/>
    <w:link w:val="55"/>
    <w:qFormat/>
    <w:uiPriority w:val="0"/>
    <w:pPr>
      <w:tabs>
        <w:tab w:val="center" w:pos="4680"/>
        <w:tab w:val="right" w:pos="9360"/>
      </w:tabs>
      <w:spacing w:after="0"/>
    </w:pPr>
  </w:style>
  <w:style w:type="paragraph" w:styleId="17">
    <w:name w:val="header"/>
    <w:basedOn w:val="1"/>
    <w:link w:val="54"/>
    <w:qFormat/>
    <w:uiPriority w:val="0"/>
    <w:pPr>
      <w:tabs>
        <w:tab w:val="center" w:pos="4680"/>
        <w:tab w:val="right" w:pos="9360"/>
      </w:tabs>
      <w:spacing w:after="0"/>
    </w:pPr>
  </w:style>
  <w:style w:type="paragraph" w:styleId="18">
    <w:name w:val="Subtitle"/>
    <w:basedOn w:val="15"/>
    <w:next w:val="3"/>
    <w:link w:val="28"/>
    <w:qFormat/>
    <w:uiPriority w:val="11"/>
    <w:rPr>
      <w:b w:val="0"/>
      <w:bCs w:val="0"/>
      <w:spacing w:val="15"/>
      <w:sz w:val="28"/>
      <w:szCs w:val="28"/>
    </w:rPr>
  </w:style>
  <w:style w:type="paragraph" w:styleId="19">
    <w:name w:val="footnote text"/>
    <w:basedOn w:val="1"/>
    <w:unhideWhenUsed/>
    <w:qFormat/>
    <w:uiPriority w:val="9"/>
  </w:style>
  <w:style w:type="character" w:styleId="22">
    <w:name w:val="Hyperlink"/>
    <w:basedOn w:val="23"/>
    <w:qFormat/>
    <w:uiPriority w:val="0"/>
    <w:rPr>
      <w:color w:val="156082" w:themeColor="accent1"/>
    </w:rPr>
  </w:style>
  <w:style w:type="character" w:customStyle="1" w:styleId="23">
    <w:name w:val="Caption Char"/>
    <w:basedOn w:val="21"/>
    <w:link w:val="12"/>
    <w:qFormat/>
    <w:uiPriority w:val="0"/>
  </w:style>
  <w:style w:type="character" w:styleId="24">
    <w:name w:val="footnote reference"/>
    <w:basedOn w:val="23"/>
    <w:qFormat/>
    <w:uiPriority w:val="0"/>
    <w:rPr>
      <w:vertAlign w:val="superscript"/>
    </w:rPr>
  </w:style>
  <w:style w:type="paragraph" w:customStyle="1" w:styleId="25">
    <w:name w:val="First Paragraph"/>
    <w:basedOn w:val="3"/>
    <w:next w:val="3"/>
    <w:qFormat/>
    <w:uiPriority w:val="0"/>
  </w:style>
  <w:style w:type="paragraph" w:customStyle="1" w:styleId="26">
    <w:name w:val="Compact"/>
    <w:basedOn w:val="3"/>
    <w:qFormat/>
    <w:uiPriority w:val="0"/>
    <w:pPr>
      <w:spacing w:before="36" w:after="36"/>
    </w:pPr>
  </w:style>
  <w:style w:type="character" w:customStyle="1" w:styleId="27">
    <w:name w:val="Title Char"/>
    <w:basedOn w:val="21"/>
    <w:link w:val="15"/>
    <w:qFormat/>
    <w:uiPriority w:val="10"/>
    <w:rPr>
      <w:rFonts w:asciiTheme="majorHAnsi" w:hAnsiTheme="majorHAnsi" w:eastAsiaTheme="majorEastAsia" w:cstheme="majorBidi"/>
      <w:b/>
      <w:bCs/>
      <w:sz w:val="56"/>
      <w:szCs w:val="56"/>
    </w:rPr>
  </w:style>
  <w:style w:type="character" w:customStyle="1" w:styleId="28">
    <w:name w:val="Subtitle Char"/>
    <w:basedOn w:val="21"/>
    <w:link w:val="18"/>
    <w:uiPriority w:val="11"/>
    <w:rPr>
      <w:rFonts w:asciiTheme="majorHAnsi" w:hAnsiTheme="majorHAnsi" w:eastAsiaTheme="majorEastAsia" w:cstheme="majorBidi"/>
      <w:spacing w:val="15"/>
      <w:sz w:val="28"/>
      <w:szCs w:val="28"/>
    </w:rPr>
  </w:style>
  <w:style w:type="paragraph" w:customStyle="1" w:styleId="29">
    <w:name w:val="Author"/>
    <w:basedOn w:val="15"/>
    <w:next w:val="3"/>
    <w:qFormat/>
    <w:uiPriority w:val="0"/>
    <w:pPr>
      <w:keepNext/>
      <w:keepLines/>
    </w:pPr>
    <w:rPr>
      <w:b w:val="0"/>
      <w:bCs w:val="0"/>
      <w:sz w:val="24"/>
      <w:szCs w:val="24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character" w:customStyle="1" w:styleId="33">
    <w:name w:val="Heading 1 Char"/>
    <w:basedOn w:val="21"/>
    <w:link w:val="2"/>
    <w:qFormat/>
    <w:uiPriority w:val="9"/>
    <w:rPr>
      <w:rFonts w:asciiTheme="majorHAnsi" w:hAnsiTheme="majorHAnsi" w:eastAsiaTheme="majorEastAsia" w:cstheme="majorBidi"/>
      <w:b/>
      <w:bCs/>
      <w:color w:val="0F4761" w:themeColor="accent1" w:themeShade="BF"/>
      <w:sz w:val="40"/>
      <w:szCs w:val="40"/>
    </w:rPr>
  </w:style>
  <w:style w:type="character" w:customStyle="1" w:styleId="34">
    <w:name w:val="Heading 2 Char"/>
    <w:basedOn w:val="21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0F4761" w:themeColor="accent1" w:themeShade="BF"/>
      <w:sz w:val="32"/>
      <w:szCs w:val="32"/>
    </w:rPr>
  </w:style>
  <w:style w:type="character" w:customStyle="1" w:styleId="35">
    <w:name w:val="Heading 3 Char"/>
    <w:basedOn w:val="21"/>
    <w:link w:val="5"/>
    <w:semiHidden/>
    <w:qFormat/>
    <w:uiPriority w:val="9"/>
    <w:rPr>
      <w:rFonts w:eastAsiaTheme="majorEastAsia" w:cstheme="majorBidi"/>
      <w:b/>
      <w:bCs/>
      <w:color w:val="0F4761" w:themeColor="accent1" w:themeShade="BF"/>
      <w:sz w:val="28"/>
      <w:szCs w:val="28"/>
    </w:rPr>
  </w:style>
  <w:style w:type="character" w:customStyle="1" w:styleId="36">
    <w:name w:val="Heading 4 Char"/>
    <w:basedOn w:val="21"/>
    <w:link w:val="6"/>
    <w:semiHidden/>
    <w:qFormat/>
    <w:uiPriority w:val="9"/>
    <w:rPr>
      <w:rFonts w:eastAsiaTheme="majorEastAsia" w:cstheme="majorBidi"/>
      <w:b/>
      <w:bCs/>
      <w:i/>
      <w:iCs/>
      <w:color w:val="0F4761" w:themeColor="accent1" w:themeShade="BF"/>
    </w:rPr>
  </w:style>
  <w:style w:type="character" w:customStyle="1" w:styleId="37">
    <w:name w:val="Heading 5 Char"/>
    <w:basedOn w:val="21"/>
    <w:link w:val="7"/>
    <w:semiHidden/>
    <w:uiPriority w:val="9"/>
    <w:rPr>
      <w:rFonts w:eastAsiaTheme="majorEastAsia" w:cstheme="majorBidi"/>
      <w:b/>
      <w:bCs/>
      <w:color w:val="0F4761" w:themeColor="accent1" w:themeShade="BF"/>
    </w:rPr>
  </w:style>
  <w:style w:type="character" w:customStyle="1" w:styleId="38">
    <w:name w:val="Heading 6 Char"/>
    <w:basedOn w:val="21"/>
    <w:link w:val="8"/>
    <w:semiHidden/>
    <w:qFormat/>
    <w:uiPriority w:val="9"/>
    <w:rPr>
      <w:rFonts w:eastAsiaTheme="majorEastAsia" w:cstheme="majorBidi"/>
      <w:b/>
      <w:bCs/>
      <w:i/>
      <w:iCs/>
      <w:color w:val="585858" w:themeColor="text1" w:themeTint="A6"/>
    </w:rPr>
  </w:style>
  <w:style w:type="character" w:customStyle="1" w:styleId="39">
    <w:name w:val="Heading 7 Char"/>
    <w:basedOn w:val="21"/>
    <w:link w:val="9"/>
    <w:semiHidden/>
    <w:uiPriority w:val="9"/>
    <w:rPr>
      <w:rFonts w:eastAsiaTheme="majorEastAsia" w:cstheme="majorBidi"/>
      <w:b/>
      <w:bCs/>
      <w:color w:val="585858" w:themeColor="text1" w:themeTint="A6"/>
    </w:rPr>
  </w:style>
  <w:style w:type="character" w:customStyle="1" w:styleId="40">
    <w:name w:val="Heading 8 Char"/>
    <w:basedOn w:val="21"/>
    <w:link w:val="10"/>
    <w:semiHidden/>
    <w:uiPriority w:val="9"/>
    <w:rPr>
      <w:rFonts w:eastAsiaTheme="majorEastAsia" w:cstheme="majorBidi"/>
      <w:b/>
      <w:bCs/>
      <w:i/>
      <w:iCs/>
      <w:color w:val="262626" w:themeColor="text1" w:themeTint="D8"/>
    </w:rPr>
  </w:style>
  <w:style w:type="character" w:customStyle="1" w:styleId="41">
    <w:name w:val="Heading 9 Char"/>
    <w:basedOn w:val="21"/>
    <w:link w:val="11"/>
    <w:semiHidden/>
    <w:qFormat/>
    <w:uiPriority w:val="9"/>
    <w:rPr>
      <w:rFonts w:eastAsiaTheme="majorEastAsia" w:cstheme="majorBidi"/>
      <w:b/>
      <w:bCs/>
      <w:color w:val="262626" w:themeColor="text1" w:themeTint="D8"/>
    </w:rPr>
  </w:style>
  <w:style w:type="paragraph" w:customStyle="1" w:styleId="42">
    <w:name w:val="Footnote Block Text"/>
    <w:basedOn w:val="19"/>
    <w:next w:val="19"/>
    <w:unhideWhenUsed/>
    <w:qFormat/>
    <w:uiPriority w:val="9"/>
    <w:pPr>
      <w:spacing w:before="100" w:after="100"/>
      <w:ind w:left="480" w:right="480"/>
    </w:pPr>
  </w:style>
  <w:style w:type="table" w:customStyle="1" w:styleId="43">
    <w:name w:val="Table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4">
    <w:name w:val="Definition Term"/>
    <w:basedOn w:val="1"/>
    <w:next w:val="45"/>
    <w:qFormat/>
    <w:uiPriority w:val="0"/>
    <w:pPr>
      <w:keepNext/>
      <w:keepLines/>
      <w:spacing w:after="0"/>
    </w:pPr>
    <w:rPr>
      <w:b/>
    </w:rPr>
  </w:style>
  <w:style w:type="paragraph" w:customStyle="1" w:styleId="45">
    <w:name w:val="Definition"/>
    <w:basedOn w:val="1"/>
    <w:qFormat/>
    <w:uiPriority w:val="0"/>
  </w:style>
  <w:style w:type="paragraph" w:customStyle="1" w:styleId="46">
    <w:name w:val="Table Caption"/>
    <w:basedOn w:val="12"/>
    <w:qFormat/>
    <w:uiPriority w:val="0"/>
    <w:pPr>
      <w:keepNext/>
    </w:pPr>
  </w:style>
  <w:style w:type="paragraph" w:customStyle="1" w:styleId="47">
    <w:name w:val="Image Caption"/>
    <w:basedOn w:val="12"/>
    <w:qFormat/>
    <w:uiPriority w:val="0"/>
  </w:style>
  <w:style w:type="paragraph" w:customStyle="1" w:styleId="48">
    <w:name w:val="Figure"/>
    <w:basedOn w:val="1"/>
    <w:qFormat/>
    <w:uiPriority w:val="0"/>
  </w:style>
  <w:style w:type="paragraph" w:customStyle="1" w:styleId="49">
    <w:name w:val="Captioned Figure"/>
    <w:basedOn w:val="48"/>
    <w:qFormat/>
    <w:uiPriority w:val="0"/>
    <w:pPr>
      <w:keepNext/>
    </w:pPr>
  </w:style>
  <w:style w:type="character" w:customStyle="1" w:styleId="50">
    <w:name w:val="Verbatim Char"/>
    <w:basedOn w:val="23"/>
    <w:link w:val="51"/>
    <w:uiPriority w:val="0"/>
    <w:rPr>
      <w:rFonts w:ascii="Consolas" w:hAnsi="Consolas"/>
      <w:sz w:val="22"/>
    </w:rPr>
  </w:style>
  <w:style w:type="paragraph" w:customStyle="1" w:styleId="51">
    <w:name w:val="Source Code"/>
    <w:basedOn w:val="1"/>
    <w:link w:val="50"/>
    <w:qFormat/>
    <w:uiPriority w:val="0"/>
    <w:pPr>
      <w:wordWrap w:val="0"/>
    </w:pPr>
  </w:style>
  <w:style w:type="character" w:customStyle="1" w:styleId="52">
    <w:name w:val="Section Number"/>
    <w:basedOn w:val="23"/>
    <w:qFormat/>
    <w:uiPriority w:val="0"/>
  </w:style>
  <w:style w:type="paragraph" w:customStyle="1" w:styleId="53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</w:style>
  <w:style w:type="character" w:customStyle="1" w:styleId="54">
    <w:name w:val="Header Char"/>
    <w:basedOn w:val="21"/>
    <w:link w:val="17"/>
    <w:qFormat/>
    <w:uiPriority w:val="0"/>
  </w:style>
  <w:style w:type="character" w:customStyle="1" w:styleId="55">
    <w:name w:val="Footer Char"/>
    <w:basedOn w:val="21"/>
    <w:link w:val="16"/>
    <w:qFormat/>
    <w:uiPriority w:val="0"/>
  </w:style>
  <w:style w:type="character" w:customStyle="1" w:styleId="56">
    <w:name w:val="KeywordTok"/>
    <w:basedOn w:val="50"/>
    <w:uiPriority w:val="0"/>
    <w:rPr>
      <w:b/>
      <w:color w:val="007020"/>
    </w:rPr>
  </w:style>
  <w:style w:type="character" w:customStyle="1" w:styleId="57">
    <w:name w:val="DataTypeTok"/>
    <w:basedOn w:val="50"/>
    <w:qFormat/>
    <w:uiPriority w:val="0"/>
    <w:rPr>
      <w:color w:val="902000"/>
    </w:rPr>
  </w:style>
  <w:style w:type="character" w:customStyle="1" w:styleId="58">
    <w:name w:val="DecValTok"/>
    <w:basedOn w:val="50"/>
    <w:qFormat/>
    <w:uiPriority w:val="0"/>
    <w:rPr>
      <w:color w:val="40A070"/>
    </w:rPr>
  </w:style>
  <w:style w:type="character" w:customStyle="1" w:styleId="59">
    <w:name w:val="BaseNTok"/>
    <w:basedOn w:val="50"/>
    <w:qFormat/>
    <w:uiPriority w:val="0"/>
    <w:rPr>
      <w:color w:val="40A070"/>
    </w:rPr>
  </w:style>
  <w:style w:type="character" w:customStyle="1" w:styleId="60">
    <w:name w:val="FloatTok"/>
    <w:basedOn w:val="50"/>
    <w:qFormat/>
    <w:uiPriority w:val="0"/>
    <w:rPr>
      <w:color w:val="40A070"/>
    </w:rPr>
  </w:style>
  <w:style w:type="character" w:customStyle="1" w:styleId="61">
    <w:name w:val="ConstantTok"/>
    <w:basedOn w:val="50"/>
    <w:qFormat/>
    <w:uiPriority w:val="0"/>
    <w:rPr>
      <w:color w:val="880000"/>
    </w:rPr>
  </w:style>
  <w:style w:type="character" w:customStyle="1" w:styleId="62">
    <w:name w:val="CharTok"/>
    <w:basedOn w:val="50"/>
    <w:qFormat/>
    <w:uiPriority w:val="0"/>
    <w:rPr>
      <w:color w:val="4070A0"/>
    </w:rPr>
  </w:style>
  <w:style w:type="character" w:customStyle="1" w:styleId="63">
    <w:name w:val="SpecialCharTok"/>
    <w:basedOn w:val="50"/>
    <w:qFormat/>
    <w:uiPriority w:val="0"/>
    <w:rPr>
      <w:color w:val="4070A0"/>
    </w:rPr>
  </w:style>
  <w:style w:type="character" w:customStyle="1" w:styleId="64">
    <w:name w:val="StringTok"/>
    <w:basedOn w:val="50"/>
    <w:qFormat/>
    <w:uiPriority w:val="0"/>
    <w:rPr>
      <w:color w:val="4070A0"/>
    </w:rPr>
  </w:style>
  <w:style w:type="character" w:customStyle="1" w:styleId="65">
    <w:name w:val="VerbatimStringTok"/>
    <w:basedOn w:val="50"/>
    <w:uiPriority w:val="0"/>
    <w:rPr>
      <w:color w:val="4070A0"/>
    </w:rPr>
  </w:style>
  <w:style w:type="character" w:customStyle="1" w:styleId="66">
    <w:name w:val="SpecialStringTok"/>
    <w:basedOn w:val="50"/>
    <w:uiPriority w:val="0"/>
    <w:rPr>
      <w:color w:val="BB6688"/>
    </w:rPr>
  </w:style>
  <w:style w:type="character" w:customStyle="1" w:styleId="67">
    <w:name w:val="ImportTok"/>
    <w:basedOn w:val="50"/>
    <w:qFormat/>
    <w:uiPriority w:val="0"/>
    <w:rPr>
      <w:b/>
      <w:color w:val="008000"/>
    </w:rPr>
  </w:style>
  <w:style w:type="character" w:customStyle="1" w:styleId="68">
    <w:name w:val="CommentTok"/>
    <w:basedOn w:val="50"/>
    <w:qFormat/>
    <w:uiPriority w:val="0"/>
    <w:rPr>
      <w:i/>
      <w:color w:val="60A0B0"/>
    </w:rPr>
  </w:style>
  <w:style w:type="character" w:customStyle="1" w:styleId="69">
    <w:name w:val="DocumentationTok"/>
    <w:basedOn w:val="50"/>
    <w:uiPriority w:val="0"/>
    <w:rPr>
      <w:i/>
      <w:color w:val="BA2121"/>
    </w:rPr>
  </w:style>
  <w:style w:type="character" w:customStyle="1" w:styleId="70">
    <w:name w:val="AnnotationTok"/>
    <w:basedOn w:val="50"/>
    <w:qFormat/>
    <w:uiPriority w:val="0"/>
    <w:rPr>
      <w:b/>
      <w:i/>
      <w:color w:val="60A0B0"/>
    </w:rPr>
  </w:style>
  <w:style w:type="character" w:customStyle="1" w:styleId="71">
    <w:name w:val="CommentVarTok"/>
    <w:basedOn w:val="50"/>
    <w:uiPriority w:val="0"/>
    <w:rPr>
      <w:b/>
      <w:i/>
      <w:color w:val="60A0B0"/>
    </w:rPr>
  </w:style>
  <w:style w:type="character" w:customStyle="1" w:styleId="72">
    <w:name w:val="OtherTok"/>
    <w:basedOn w:val="50"/>
    <w:qFormat/>
    <w:uiPriority w:val="0"/>
    <w:rPr>
      <w:color w:val="007020"/>
    </w:rPr>
  </w:style>
  <w:style w:type="character" w:customStyle="1" w:styleId="73">
    <w:name w:val="FunctionTok"/>
    <w:basedOn w:val="50"/>
    <w:qFormat/>
    <w:uiPriority w:val="0"/>
    <w:rPr>
      <w:color w:val="06287E"/>
    </w:rPr>
  </w:style>
  <w:style w:type="character" w:customStyle="1" w:styleId="74">
    <w:name w:val="VariableTok"/>
    <w:basedOn w:val="50"/>
    <w:qFormat/>
    <w:uiPriority w:val="0"/>
    <w:rPr>
      <w:color w:val="19177C"/>
    </w:rPr>
  </w:style>
  <w:style w:type="character" w:customStyle="1" w:styleId="75">
    <w:name w:val="ControlFlowTok"/>
    <w:basedOn w:val="50"/>
    <w:qFormat/>
    <w:uiPriority w:val="0"/>
    <w:rPr>
      <w:b/>
      <w:color w:val="007020"/>
    </w:rPr>
  </w:style>
  <w:style w:type="character" w:customStyle="1" w:styleId="76">
    <w:name w:val="OperatorTok"/>
    <w:basedOn w:val="50"/>
    <w:qFormat/>
    <w:uiPriority w:val="0"/>
    <w:rPr>
      <w:color w:val="666666"/>
    </w:rPr>
  </w:style>
  <w:style w:type="character" w:customStyle="1" w:styleId="77">
    <w:name w:val="BuiltInTok"/>
    <w:basedOn w:val="50"/>
    <w:qFormat/>
    <w:uiPriority w:val="0"/>
    <w:rPr>
      <w:color w:val="008000"/>
    </w:rPr>
  </w:style>
  <w:style w:type="character" w:customStyle="1" w:styleId="78">
    <w:name w:val="ExtensionTok"/>
    <w:basedOn w:val="50"/>
    <w:qFormat/>
    <w:uiPriority w:val="0"/>
  </w:style>
  <w:style w:type="character" w:customStyle="1" w:styleId="79">
    <w:name w:val="PreprocessorTok"/>
    <w:basedOn w:val="50"/>
    <w:qFormat/>
    <w:uiPriority w:val="0"/>
    <w:rPr>
      <w:color w:val="BC7A00"/>
    </w:rPr>
  </w:style>
  <w:style w:type="character" w:customStyle="1" w:styleId="80">
    <w:name w:val="AttributeTok"/>
    <w:basedOn w:val="50"/>
    <w:qFormat/>
    <w:uiPriority w:val="0"/>
    <w:rPr>
      <w:color w:val="7D9029"/>
    </w:rPr>
  </w:style>
  <w:style w:type="character" w:customStyle="1" w:styleId="81">
    <w:name w:val="RegionMarkerTok"/>
    <w:basedOn w:val="50"/>
    <w:uiPriority w:val="0"/>
  </w:style>
  <w:style w:type="character" w:customStyle="1" w:styleId="82">
    <w:name w:val="InformationTok"/>
    <w:basedOn w:val="50"/>
    <w:qFormat/>
    <w:uiPriority w:val="0"/>
    <w:rPr>
      <w:b/>
      <w:i/>
      <w:color w:val="60A0B0"/>
    </w:rPr>
  </w:style>
  <w:style w:type="character" w:customStyle="1" w:styleId="83">
    <w:name w:val="WarningTok"/>
    <w:basedOn w:val="50"/>
    <w:uiPriority w:val="0"/>
    <w:rPr>
      <w:b/>
      <w:i/>
      <w:color w:val="60A0B0"/>
    </w:rPr>
  </w:style>
  <w:style w:type="character" w:customStyle="1" w:styleId="84">
    <w:name w:val="AlertTok"/>
    <w:basedOn w:val="50"/>
    <w:qFormat/>
    <w:uiPriority w:val="0"/>
    <w:rPr>
      <w:b/>
      <w:color w:val="FF0000"/>
    </w:rPr>
  </w:style>
  <w:style w:type="character" w:customStyle="1" w:styleId="85">
    <w:name w:val="ErrorTok"/>
    <w:basedOn w:val="50"/>
    <w:qFormat/>
    <w:uiPriority w:val="0"/>
    <w:rPr>
      <w:b/>
      <w:color w:val="FF0000"/>
    </w:rPr>
  </w:style>
  <w:style w:type="character" w:customStyle="1" w:styleId="86">
    <w:name w:val="NormalTok"/>
    <w:basedOn w:val="5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899</Words>
  <Characters>5398</Characters>
  <Lines>2</Lines>
  <Paragraphs>1</Paragraphs>
  <TotalTime>33</TotalTime>
  <ScaleCrop>false</ScaleCrop>
  <LinksUpToDate>false</LinksUpToDate>
  <CharactersWithSpaces>6121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2025-11-04T06:32:00Z</dcterms:created>
  <dc:creator>Ryan</dc:creator>
  <cp:lastModifiedBy>Ryan</cp:lastModifiedBy>
  <dcterms:modified xsi:type="dcterms:W3CDTF">2025-11-04T06:57:56Z</dcterms:modified>
  <dc:title>质控评分表（英文版）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2025-11-04</vt:lpwstr>
  </property>
  <property fmtid="{D5CDD505-2E9C-101B-9397-08002B2CF9AE}" pid="3" name="KSOTemplateDocerSaveRecord">
    <vt:lpwstr>eyJoZGlkIjoiYmJiODllZTRmNTQxMDNmZTAwY2FiNDZiMTZmNDI1NjYiLCJ1c2VySWQiOiI3MDYyMjkwMjMifQ==</vt:lpwstr>
  </property>
  <property fmtid="{D5CDD505-2E9C-101B-9397-08002B2CF9AE}" pid="4" name="KSOProductBuildVer">
    <vt:lpwstr>2052-12.1.0.23125</vt:lpwstr>
  </property>
  <property fmtid="{D5CDD505-2E9C-101B-9397-08002B2CF9AE}" pid="5" name="ICV">
    <vt:lpwstr>7C88A620985B4F00BC1EEF6DB6AA3F99_12</vt:lpwstr>
  </property>
</Properties>
</file>