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0"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80"/>
      </w:tblGrid>
      <w:tr w:rsidR="00F5296C" w:rsidRPr="00066347" w14:paraId="0B874A6A" w14:textId="77777777" w:rsidTr="00B6471C">
        <w:tc>
          <w:tcPr>
            <w:tcW w:w="10080" w:type="dxa"/>
            <w:tcBorders>
              <w:bottom w:val="single" w:sz="12" w:space="0" w:color="auto"/>
            </w:tcBorders>
          </w:tcPr>
          <w:p w14:paraId="0F09F1A0" w14:textId="77777777" w:rsidR="00F5296C" w:rsidRPr="00066347" w:rsidRDefault="00F5296C" w:rsidP="00B6471C">
            <w:pPr>
              <w:rPr>
                <w:rFonts w:ascii="Calibri" w:hAnsi="Calibri" w:cs="Calibri"/>
                <w:b/>
                <w:bCs/>
                <w:color w:val="FF0000"/>
                <w:vertAlign w:val="superscript"/>
              </w:rPr>
            </w:pPr>
            <w:r w:rsidRPr="00066347">
              <w:rPr>
                <w:rFonts w:ascii="Calibri" w:hAnsi="Calibri" w:cs="Calibri"/>
                <w:b/>
                <w:bCs/>
              </w:rPr>
              <w:t xml:space="preserve">Table S2. </w:t>
            </w:r>
            <w:r w:rsidRPr="00066347">
              <w:rPr>
                <w:rFonts w:ascii="Calibri" w:hAnsi="Calibri" w:cs="Calibri"/>
              </w:rPr>
              <w:t>Prohibited and restricted concomitant medications and devices</w:t>
            </w:r>
          </w:p>
        </w:tc>
      </w:tr>
      <w:tr w:rsidR="00F5296C" w:rsidRPr="00066347" w14:paraId="583488B7" w14:textId="77777777" w:rsidTr="00B6471C">
        <w:tc>
          <w:tcPr>
            <w:tcW w:w="10080" w:type="dxa"/>
            <w:tcBorders>
              <w:top w:val="single" w:sz="12" w:space="0" w:color="auto"/>
              <w:bottom w:val="single" w:sz="4" w:space="0" w:color="auto"/>
            </w:tcBorders>
            <w:vAlign w:val="bottom"/>
          </w:tcPr>
          <w:p w14:paraId="603E7C54" w14:textId="77777777" w:rsidR="00F5296C" w:rsidRPr="00066347" w:rsidRDefault="00F5296C" w:rsidP="00B6471C">
            <w:pPr>
              <w:rPr>
                <w:rFonts w:ascii="Calibri" w:hAnsi="Calibri" w:cs="Calibri"/>
                <w:sz w:val="20"/>
                <w:szCs w:val="20"/>
              </w:rPr>
            </w:pPr>
            <w:r w:rsidRPr="00066347">
              <w:rPr>
                <w:rFonts w:ascii="Calibri" w:hAnsi="Calibri" w:cs="Calibri"/>
                <w:sz w:val="20"/>
                <w:szCs w:val="20"/>
              </w:rPr>
              <w:t>St. John’s Wort should not be taken 14 days prior to the baseline visit and throughout the study.</w:t>
            </w:r>
          </w:p>
        </w:tc>
      </w:tr>
      <w:tr w:rsidR="00F5296C" w:rsidRPr="00066347" w14:paraId="79209F48" w14:textId="77777777" w:rsidTr="00B6471C">
        <w:tc>
          <w:tcPr>
            <w:tcW w:w="10080" w:type="dxa"/>
            <w:tcBorders>
              <w:top w:val="single" w:sz="4" w:space="0" w:color="auto"/>
              <w:bottom w:val="single" w:sz="4" w:space="0" w:color="auto"/>
            </w:tcBorders>
            <w:vAlign w:val="bottom"/>
          </w:tcPr>
          <w:p w14:paraId="726DCB64" w14:textId="77777777" w:rsidR="00F5296C" w:rsidRPr="00066347" w:rsidRDefault="00F5296C" w:rsidP="00B6471C">
            <w:pPr>
              <w:rPr>
                <w:rFonts w:ascii="Calibri" w:hAnsi="Calibri" w:cs="Calibri"/>
                <w:sz w:val="20"/>
                <w:szCs w:val="20"/>
              </w:rPr>
            </w:pPr>
            <w:r w:rsidRPr="00066347">
              <w:rPr>
                <w:rFonts w:ascii="Calibri" w:hAnsi="Calibri" w:cs="Calibri"/>
                <w:sz w:val="20"/>
                <w:szCs w:val="20"/>
              </w:rPr>
              <w:t>Butterbur root or extracts should not be taken 14 days prior to the baseline visit and throughout the study.</w:t>
            </w:r>
          </w:p>
        </w:tc>
      </w:tr>
      <w:tr w:rsidR="00F5296C" w:rsidRPr="00066347" w14:paraId="47C701B1" w14:textId="77777777" w:rsidTr="00B6471C">
        <w:tc>
          <w:tcPr>
            <w:tcW w:w="10080" w:type="dxa"/>
            <w:tcBorders>
              <w:top w:val="single" w:sz="4" w:space="0" w:color="auto"/>
              <w:bottom w:val="single" w:sz="4" w:space="0" w:color="auto"/>
            </w:tcBorders>
            <w:vAlign w:val="bottom"/>
          </w:tcPr>
          <w:p w14:paraId="738B72FB" w14:textId="77777777" w:rsidR="00F5296C" w:rsidRPr="00066347" w:rsidRDefault="00F5296C" w:rsidP="00B6471C">
            <w:pPr>
              <w:rPr>
                <w:rFonts w:ascii="Calibri" w:hAnsi="Calibri" w:cs="Calibri"/>
                <w:sz w:val="20"/>
                <w:szCs w:val="20"/>
              </w:rPr>
            </w:pPr>
            <w:r w:rsidRPr="00066347">
              <w:rPr>
                <w:rFonts w:ascii="Calibri" w:hAnsi="Calibri" w:cs="Calibri"/>
                <w:sz w:val="20"/>
                <w:szCs w:val="20"/>
              </w:rPr>
              <w:t>History of use of ergotamine medications on ≥10 days per month on a regular basis for ≥3 months (≥12 weeks). Use of ergotamine medication is prohibited throughout the entire duration of the study.</w:t>
            </w:r>
          </w:p>
        </w:tc>
      </w:tr>
      <w:tr w:rsidR="00F5296C" w:rsidRPr="00066347" w14:paraId="5685E0C9" w14:textId="77777777" w:rsidTr="00B6471C">
        <w:tc>
          <w:tcPr>
            <w:tcW w:w="10080" w:type="dxa"/>
            <w:tcBorders>
              <w:top w:val="single" w:sz="4" w:space="0" w:color="auto"/>
              <w:bottom w:val="single" w:sz="4" w:space="0" w:color="auto"/>
            </w:tcBorders>
            <w:vAlign w:val="bottom"/>
          </w:tcPr>
          <w:p w14:paraId="3898BC8B" w14:textId="77777777" w:rsidR="00F5296C" w:rsidRPr="00066347" w:rsidRDefault="00F5296C" w:rsidP="00B6471C">
            <w:pPr>
              <w:rPr>
                <w:rFonts w:ascii="Calibri" w:hAnsi="Calibri" w:cs="Calibri"/>
                <w:sz w:val="20"/>
                <w:szCs w:val="20"/>
              </w:rPr>
            </w:pPr>
            <w:r w:rsidRPr="00066347">
              <w:rPr>
                <w:rFonts w:ascii="Calibri" w:hAnsi="Calibri" w:cs="Calibri"/>
                <w:sz w:val="20"/>
                <w:szCs w:val="20"/>
              </w:rPr>
              <w:t>Use of narcotic medication is prohibited starting from 2 days prior to the baseline visit and throughout the study, including the follow-up Week 8 visit.</w:t>
            </w:r>
          </w:p>
        </w:tc>
      </w:tr>
      <w:tr w:rsidR="00F5296C" w:rsidRPr="00066347" w14:paraId="3F368BAE" w14:textId="77777777" w:rsidTr="00B6471C">
        <w:tc>
          <w:tcPr>
            <w:tcW w:w="10080" w:type="dxa"/>
            <w:tcBorders>
              <w:top w:val="single" w:sz="4" w:space="0" w:color="auto"/>
              <w:bottom w:val="single" w:sz="4" w:space="0" w:color="auto"/>
            </w:tcBorders>
          </w:tcPr>
          <w:p w14:paraId="690D5303" w14:textId="77777777" w:rsidR="00F5296C" w:rsidRPr="00066347" w:rsidRDefault="00F5296C" w:rsidP="00B6471C">
            <w:pPr>
              <w:rPr>
                <w:rFonts w:ascii="Calibri" w:hAnsi="Calibri" w:cs="Calibri"/>
                <w:sz w:val="20"/>
                <w:szCs w:val="20"/>
              </w:rPr>
            </w:pPr>
            <w:r w:rsidRPr="00066347">
              <w:rPr>
                <w:rFonts w:ascii="Calibri" w:hAnsi="Calibri" w:cs="Calibri"/>
                <w:sz w:val="20"/>
                <w:szCs w:val="20"/>
              </w:rPr>
              <w:t>Use of acetaminophen or acetaminophen containing products for non-headache indications after the baseline visit is prohibited. Any use of acetaminophen or acetaminophen containing products for non-headache indications during the screening phase must be stopped at least 2 days prior to baseline visit. Acetaminophen as acute headache medication is allowed as described in study methods.</w:t>
            </w:r>
          </w:p>
        </w:tc>
      </w:tr>
      <w:tr w:rsidR="00F5296C" w:rsidRPr="00066347" w14:paraId="5CEF6814" w14:textId="77777777" w:rsidTr="00B6471C">
        <w:tc>
          <w:tcPr>
            <w:tcW w:w="10080" w:type="dxa"/>
            <w:tcBorders>
              <w:top w:val="single" w:sz="4" w:space="0" w:color="auto"/>
              <w:bottom w:val="single" w:sz="4" w:space="0" w:color="auto"/>
            </w:tcBorders>
          </w:tcPr>
          <w:p w14:paraId="2A997A23" w14:textId="77777777" w:rsidR="00F5296C" w:rsidRPr="00066347" w:rsidRDefault="00F5296C" w:rsidP="00B6471C">
            <w:pPr>
              <w:rPr>
                <w:rFonts w:ascii="Calibri" w:hAnsi="Calibri" w:cs="Calibri"/>
                <w:sz w:val="20"/>
                <w:szCs w:val="20"/>
              </w:rPr>
            </w:pPr>
            <w:r w:rsidRPr="00066347">
              <w:rPr>
                <w:rFonts w:ascii="Calibri" w:hAnsi="Calibri" w:cs="Calibri"/>
                <w:sz w:val="20"/>
                <w:szCs w:val="20"/>
              </w:rPr>
              <w:t>Use of CGRP antagonists (biologic or small molecule) other than rimegepant provided for this clinical study is prohibited during the study including through the follow-up Week 8 visit.</w:t>
            </w:r>
          </w:p>
        </w:tc>
      </w:tr>
      <w:tr w:rsidR="00F5296C" w:rsidRPr="00066347" w14:paraId="1E5865FA" w14:textId="77777777" w:rsidTr="00B6471C">
        <w:tc>
          <w:tcPr>
            <w:tcW w:w="10080" w:type="dxa"/>
            <w:tcBorders>
              <w:top w:val="single" w:sz="4" w:space="0" w:color="auto"/>
              <w:bottom w:val="single" w:sz="4" w:space="0" w:color="auto"/>
            </w:tcBorders>
          </w:tcPr>
          <w:p w14:paraId="6778BF86" w14:textId="77777777" w:rsidR="00F5296C" w:rsidRPr="00066347" w:rsidRDefault="00F5296C" w:rsidP="00B6471C">
            <w:pPr>
              <w:rPr>
                <w:rFonts w:ascii="Calibri" w:hAnsi="Calibri" w:cs="Calibri"/>
                <w:sz w:val="20"/>
                <w:szCs w:val="20"/>
              </w:rPr>
            </w:pPr>
            <w:r w:rsidRPr="00066347">
              <w:rPr>
                <w:rFonts w:ascii="Calibri" w:hAnsi="Calibri" w:cs="Calibri"/>
                <w:sz w:val="20"/>
                <w:szCs w:val="20"/>
              </w:rPr>
              <w:t>Use of marijuana and all forms of ingested or inhaled cannabidiol and tetrahydrocannabinol-containing products are prohibited during the study.</w:t>
            </w:r>
          </w:p>
        </w:tc>
      </w:tr>
      <w:tr w:rsidR="00F5296C" w:rsidRPr="00066347" w14:paraId="61ADAB73" w14:textId="77777777" w:rsidTr="00B6471C">
        <w:tc>
          <w:tcPr>
            <w:tcW w:w="10080" w:type="dxa"/>
            <w:tcBorders>
              <w:top w:val="single" w:sz="4" w:space="0" w:color="auto"/>
              <w:bottom w:val="single" w:sz="4" w:space="0" w:color="auto"/>
            </w:tcBorders>
          </w:tcPr>
          <w:p w14:paraId="404CE9AF" w14:textId="77777777" w:rsidR="00F5296C" w:rsidRPr="00066347" w:rsidRDefault="00F5296C" w:rsidP="00B6471C">
            <w:pPr>
              <w:rPr>
                <w:rFonts w:ascii="Calibri" w:hAnsi="Calibri" w:cs="Calibri"/>
                <w:sz w:val="20"/>
                <w:szCs w:val="20"/>
              </w:rPr>
            </w:pPr>
            <w:r w:rsidRPr="00066347">
              <w:rPr>
                <w:rFonts w:ascii="Calibri" w:hAnsi="Calibri" w:cs="Calibri"/>
                <w:sz w:val="20"/>
                <w:szCs w:val="20"/>
              </w:rPr>
              <w:t>Concomitant use of moderate to strong CYP3A4 inhibitors or inducers is prohibited during the study. If use of a moderate or strong CYP3A4 inhibitor or inducer is required, dosing with rimegepant should be stopped and should not start again until 14 days after the last dose of the moderate or strong CYP3A4 inhibitor.</w:t>
            </w:r>
          </w:p>
        </w:tc>
      </w:tr>
      <w:tr w:rsidR="00F5296C" w:rsidRPr="00066347" w14:paraId="6BE10B03" w14:textId="77777777" w:rsidTr="00B6471C">
        <w:tc>
          <w:tcPr>
            <w:tcW w:w="10080" w:type="dxa"/>
            <w:tcBorders>
              <w:top w:val="single" w:sz="4" w:space="0" w:color="auto"/>
              <w:bottom w:val="single" w:sz="4" w:space="0" w:color="auto"/>
            </w:tcBorders>
          </w:tcPr>
          <w:p w14:paraId="5E97428D" w14:textId="77777777" w:rsidR="00F5296C" w:rsidRPr="00066347" w:rsidRDefault="00F5296C" w:rsidP="00B6471C">
            <w:pPr>
              <w:rPr>
                <w:rFonts w:ascii="Calibri" w:hAnsi="Calibri" w:cs="Calibri"/>
                <w:sz w:val="20"/>
                <w:szCs w:val="20"/>
              </w:rPr>
            </w:pPr>
            <w:r w:rsidRPr="00066347">
              <w:rPr>
                <w:rFonts w:ascii="Calibri" w:hAnsi="Calibri" w:cs="Calibri"/>
                <w:sz w:val="20"/>
                <w:szCs w:val="20"/>
              </w:rPr>
              <w:t>Concomitant use of atypical antipsychotics is prohibited during the study.</w:t>
            </w:r>
          </w:p>
        </w:tc>
      </w:tr>
      <w:tr w:rsidR="00F5296C" w:rsidRPr="00066347" w14:paraId="7BE8F879" w14:textId="77777777" w:rsidTr="00B6471C">
        <w:tc>
          <w:tcPr>
            <w:tcW w:w="10080" w:type="dxa"/>
            <w:tcBorders>
              <w:top w:val="single" w:sz="4" w:space="0" w:color="auto"/>
              <w:bottom w:val="single" w:sz="4" w:space="0" w:color="auto"/>
            </w:tcBorders>
          </w:tcPr>
          <w:p w14:paraId="33707298" w14:textId="77777777" w:rsidR="00F5296C" w:rsidRPr="00066347" w:rsidRDefault="00F5296C" w:rsidP="00B6471C">
            <w:pPr>
              <w:rPr>
                <w:rFonts w:ascii="Calibri" w:hAnsi="Calibri" w:cs="Calibri"/>
                <w:sz w:val="20"/>
                <w:szCs w:val="20"/>
              </w:rPr>
            </w:pPr>
            <w:r w:rsidRPr="00066347">
              <w:rPr>
                <w:rFonts w:ascii="Calibri" w:hAnsi="Calibri" w:cs="Calibri"/>
                <w:sz w:val="20"/>
                <w:szCs w:val="20"/>
              </w:rPr>
              <w:t>Concomitant use of lamotrigine is prohibited during the study.</w:t>
            </w:r>
          </w:p>
        </w:tc>
      </w:tr>
      <w:tr w:rsidR="00F5296C" w:rsidRPr="00066347" w14:paraId="63F2B9EA" w14:textId="77777777" w:rsidTr="00B6471C">
        <w:tc>
          <w:tcPr>
            <w:tcW w:w="10080" w:type="dxa"/>
            <w:tcBorders>
              <w:top w:val="single" w:sz="4" w:space="0" w:color="auto"/>
              <w:bottom w:val="single" w:sz="4" w:space="0" w:color="auto"/>
            </w:tcBorders>
          </w:tcPr>
          <w:p w14:paraId="33913032" w14:textId="77777777" w:rsidR="00F5296C" w:rsidRPr="00066347" w:rsidRDefault="00F5296C" w:rsidP="00B6471C">
            <w:pPr>
              <w:rPr>
                <w:rFonts w:ascii="Calibri" w:hAnsi="Calibri" w:cs="Calibri"/>
                <w:sz w:val="20"/>
                <w:szCs w:val="20"/>
              </w:rPr>
            </w:pPr>
            <w:r w:rsidRPr="00066347">
              <w:rPr>
                <w:rFonts w:ascii="Calibri" w:hAnsi="Calibri" w:cs="Calibri"/>
                <w:sz w:val="20"/>
                <w:szCs w:val="20"/>
              </w:rPr>
              <w:t>Use of analgesics other than acetaminophen for non-migraine use on ≥15 days per month is prohibited during the study. Use of acetaminophen or acetaminophen containing products for non-migraine indications after the baseline visit is prohibited.</w:t>
            </w:r>
          </w:p>
        </w:tc>
      </w:tr>
      <w:tr w:rsidR="00F5296C" w:rsidRPr="00066347" w14:paraId="4F258F37" w14:textId="77777777" w:rsidTr="00B6471C">
        <w:tc>
          <w:tcPr>
            <w:tcW w:w="10080" w:type="dxa"/>
            <w:tcBorders>
              <w:top w:val="single" w:sz="4" w:space="0" w:color="auto"/>
              <w:bottom w:val="single" w:sz="4" w:space="0" w:color="auto"/>
            </w:tcBorders>
          </w:tcPr>
          <w:p w14:paraId="71D33858" w14:textId="77777777" w:rsidR="00F5296C" w:rsidRPr="00066347" w:rsidRDefault="00F5296C" w:rsidP="00B6471C">
            <w:pPr>
              <w:rPr>
                <w:rFonts w:ascii="Calibri" w:hAnsi="Calibri" w:cs="Calibri"/>
                <w:sz w:val="20"/>
                <w:szCs w:val="20"/>
              </w:rPr>
            </w:pPr>
            <w:r w:rsidRPr="00066347">
              <w:rPr>
                <w:rFonts w:ascii="Calibri" w:hAnsi="Calibri" w:cs="Calibri"/>
                <w:sz w:val="20"/>
                <w:szCs w:val="20"/>
              </w:rPr>
              <w:t>Use of Cefaly</w:t>
            </w:r>
            <w:r w:rsidRPr="00066347">
              <w:rPr>
                <w:rFonts w:ascii="Calibri" w:hAnsi="Calibri" w:cs="Calibri"/>
                <w:sz w:val="20"/>
                <w:szCs w:val="20"/>
                <w:vertAlign w:val="superscript"/>
              </w:rPr>
              <w:t>TM</w:t>
            </w:r>
            <w:r w:rsidRPr="00066347">
              <w:rPr>
                <w:rFonts w:ascii="Calibri" w:hAnsi="Calibri" w:cs="Calibri"/>
                <w:sz w:val="20"/>
                <w:szCs w:val="20"/>
              </w:rPr>
              <w:t xml:space="preserve"> or any other device for migraine treatment within 12 weeks of the screening visit is prohibited.</w:t>
            </w:r>
          </w:p>
        </w:tc>
      </w:tr>
      <w:tr w:rsidR="00F5296C" w:rsidRPr="00066347" w14:paraId="2286B504" w14:textId="77777777" w:rsidTr="00B6471C">
        <w:tc>
          <w:tcPr>
            <w:tcW w:w="10080" w:type="dxa"/>
            <w:tcBorders>
              <w:top w:val="single" w:sz="4" w:space="0" w:color="auto"/>
              <w:bottom w:val="single" w:sz="4" w:space="0" w:color="auto"/>
            </w:tcBorders>
          </w:tcPr>
          <w:p w14:paraId="6EF40592" w14:textId="77777777" w:rsidR="00F5296C" w:rsidRPr="00066347" w:rsidRDefault="00F5296C" w:rsidP="00B6471C">
            <w:pPr>
              <w:rPr>
                <w:rFonts w:ascii="Calibri" w:hAnsi="Calibri" w:cs="Calibri"/>
                <w:sz w:val="20"/>
                <w:szCs w:val="20"/>
              </w:rPr>
            </w:pPr>
            <w:r w:rsidRPr="00066347">
              <w:rPr>
                <w:rFonts w:ascii="Calibri" w:hAnsi="Calibri" w:cs="Calibri"/>
                <w:sz w:val="20"/>
                <w:szCs w:val="20"/>
              </w:rPr>
              <w:t>Use of any investigational agent other than rimegepant (provided for the purpose of this clinical study) from the screening visit through the follow-up Week 8 visit is prohibited.</w:t>
            </w:r>
          </w:p>
        </w:tc>
      </w:tr>
      <w:tr w:rsidR="00F5296C" w:rsidRPr="00B431F0" w14:paraId="059D9383" w14:textId="77777777" w:rsidTr="00B6471C">
        <w:tc>
          <w:tcPr>
            <w:tcW w:w="10080" w:type="dxa"/>
            <w:tcBorders>
              <w:top w:val="single" w:sz="4" w:space="0" w:color="auto"/>
              <w:bottom w:val="single" w:sz="12" w:space="0" w:color="auto"/>
            </w:tcBorders>
          </w:tcPr>
          <w:p w14:paraId="24DB216A" w14:textId="77777777" w:rsidR="00F5296C" w:rsidRPr="00667055" w:rsidRDefault="00F5296C" w:rsidP="00B6471C">
            <w:pPr>
              <w:rPr>
                <w:rFonts w:ascii="Calibri" w:hAnsi="Calibri" w:cs="Calibri"/>
                <w:sz w:val="20"/>
                <w:szCs w:val="20"/>
              </w:rPr>
            </w:pPr>
            <w:r w:rsidRPr="00066347">
              <w:rPr>
                <w:rFonts w:ascii="Calibri" w:hAnsi="Calibri" w:cs="Calibri"/>
                <w:sz w:val="20"/>
                <w:szCs w:val="20"/>
              </w:rPr>
              <w:t>Concomitant use of strong inhibitors of the P-glycoprotein transporter with rimegepant is prohibited during the study.</w:t>
            </w:r>
          </w:p>
        </w:tc>
      </w:tr>
    </w:tbl>
    <w:p w14:paraId="030E9E96" w14:textId="77777777" w:rsidR="00C75D6F" w:rsidRDefault="00C75D6F"/>
    <w:sectPr w:rsidR="00C75D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6C"/>
    <w:rsid w:val="000C417F"/>
    <w:rsid w:val="001042DA"/>
    <w:rsid w:val="00485931"/>
    <w:rsid w:val="0052235C"/>
    <w:rsid w:val="009E445D"/>
    <w:rsid w:val="00C26DA5"/>
    <w:rsid w:val="00C75D6F"/>
    <w:rsid w:val="00CA3433"/>
    <w:rsid w:val="00D30B6F"/>
    <w:rsid w:val="00E83397"/>
    <w:rsid w:val="00F5296C"/>
    <w:rsid w:val="00FF0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A2B27"/>
  <w15:chartTrackingRefBased/>
  <w15:docId w15:val="{79456A53-C194-4139-825C-CE431615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96C"/>
  </w:style>
  <w:style w:type="paragraph" w:styleId="Heading1">
    <w:name w:val="heading 1"/>
    <w:basedOn w:val="Normal"/>
    <w:next w:val="Normal"/>
    <w:link w:val="Heading1Char"/>
    <w:uiPriority w:val="9"/>
    <w:qFormat/>
    <w:rsid w:val="00F529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29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296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29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529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5296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5296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5296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5296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9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29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296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296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529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529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529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529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529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529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9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96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96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529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296C"/>
    <w:rPr>
      <w:i/>
      <w:iCs/>
      <w:color w:val="404040" w:themeColor="text1" w:themeTint="BF"/>
    </w:rPr>
  </w:style>
  <w:style w:type="paragraph" w:styleId="ListParagraph">
    <w:name w:val="List Paragraph"/>
    <w:basedOn w:val="Normal"/>
    <w:uiPriority w:val="34"/>
    <w:qFormat/>
    <w:rsid w:val="00F5296C"/>
    <w:pPr>
      <w:ind w:left="720"/>
      <w:contextualSpacing/>
    </w:pPr>
  </w:style>
  <w:style w:type="character" w:styleId="IntenseEmphasis">
    <w:name w:val="Intense Emphasis"/>
    <w:basedOn w:val="DefaultParagraphFont"/>
    <w:uiPriority w:val="21"/>
    <w:qFormat/>
    <w:rsid w:val="00F5296C"/>
    <w:rPr>
      <w:i/>
      <w:iCs/>
      <w:color w:val="0F4761" w:themeColor="accent1" w:themeShade="BF"/>
    </w:rPr>
  </w:style>
  <w:style w:type="paragraph" w:styleId="IntenseQuote">
    <w:name w:val="Intense Quote"/>
    <w:basedOn w:val="Normal"/>
    <w:next w:val="Normal"/>
    <w:link w:val="IntenseQuoteChar"/>
    <w:uiPriority w:val="30"/>
    <w:qFormat/>
    <w:rsid w:val="00F529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296C"/>
    <w:rPr>
      <w:i/>
      <w:iCs/>
      <w:color w:val="0F4761" w:themeColor="accent1" w:themeShade="BF"/>
    </w:rPr>
  </w:style>
  <w:style w:type="character" w:styleId="IntenseReference">
    <w:name w:val="Intense Reference"/>
    <w:basedOn w:val="DefaultParagraphFont"/>
    <w:uiPriority w:val="32"/>
    <w:qFormat/>
    <w:rsid w:val="00F5296C"/>
    <w:rPr>
      <w:b/>
      <w:bCs/>
      <w:smallCaps/>
      <w:color w:val="0F4761" w:themeColor="accent1" w:themeShade="BF"/>
      <w:spacing w:val="5"/>
    </w:rPr>
  </w:style>
  <w:style w:type="table" w:styleId="TableGrid">
    <w:name w:val="Table Grid"/>
    <w:basedOn w:val="TableNormal"/>
    <w:uiPriority w:val="39"/>
    <w:rsid w:val="00F5296C"/>
    <w:rPr>
      <w:rFonts w:asciiTheme="minorHAnsi" w:eastAsiaTheme="minorEastAsia" w:hAnsiTheme="minorHAnsi" w:cstheme="minorBidi"/>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2070</Characters>
  <Application>Microsoft Office Word</Application>
  <DocSecurity>0</DocSecurity>
  <Lines>159</Lines>
  <Paragraphs>145</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Soulsby</dc:creator>
  <cp:keywords/>
  <dc:description/>
  <cp:lastModifiedBy>Matt Soulsby</cp:lastModifiedBy>
  <cp:revision>1</cp:revision>
  <dcterms:created xsi:type="dcterms:W3CDTF">2025-11-07T19:27:00Z</dcterms:created>
  <dcterms:modified xsi:type="dcterms:W3CDTF">2025-11-07T19:27:00Z</dcterms:modified>
</cp:coreProperties>
</file>