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34C98" w14:textId="3E931B63" w:rsidR="00D32AD7" w:rsidRDefault="00D32AD7" w:rsidP="004875F4">
      <w:pPr>
        <w:jc w:val="both"/>
        <w:rPr>
          <w:lang w:val="en-GB"/>
        </w:rPr>
      </w:pPr>
      <w:r w:rsidRPr="00E92865">
        <w:rPr>
          <w:lang w:val="en-GB"/>
        </w:rPr>
        <w:t>Supplementary data</w:t>
      </w:r>
    </w:p>
    <w:p w14:paraId="2BF8B9EE" w14:textId="77777777" w:rsidR="0046311B" w:rsidRPr="0046311B" w:rsidRDefault="0046311B" w:rsidP="004875F4">
      <w:pPr>
        <w:jc w:val="both"/>
        <w:rPr>
          <w:sz w:val="22"/>
          <w:szCs w:val="22"/>
          <w:lang w:val="en-GB"/>
        </w:rPr>
      </w:pPr>
    </w:p>
    <w:p w14:paraId="5704D262" w14:textId="77777777" w:rsidR="00D32AD7" w:rsidRPr="00E92865" w:rsidRDefault="00D32AD7" w:rsidP="004875F4">
      <w:pPr>
        <w:keepNext/>
        <w:jc w:val="both"/>
        <w:rPr>
          <w:lang w:val="en-GB"/>
        </w:rPr>
      </w:pPr>
      <w:r w:rsidRPr="00E92865">
        <w:rPr>
          <w:noProof/>
          <w:lang w:val="en-GB"/>
        </w:rPr>
        <w:drawing>
          <wp:inline distT="0" distB="0" distL="0" distR="0" wp14:anchorId="63A1494C" wp14:editId="44150651">
            <wp:extent cx="5033077" cy="6238875"/>
            <wp:effectExtent l="0" t="0" r="0" b="0"/>
            <wp:docPr id="22019604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196049" name="Billed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1084" cy="627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5D7CC" w14:textId="571D6917" w:rsidR="00D32AD7" w:rsidRPr="006C7B95" w:rsidRDefault="00D32AD7" w:rsidP="004875F4">
      <w:pPr>
        <w:pStyle w:val="Billedtekst"/>
        <w:jc w:val="both"/>
        <w:rPr>
          <w:i w:val="0"/>
          <w:iCs w:val="0"/>
          <w:color w:val="auto"/>
          <w:lang w:val="en-GB"/>
        </w:rPr>
      </w:pPr>
      <w:proofErr w:type="gramStart"/>
      <w:r w:rsidRPr="006C7B95">
        <w:rPr>
          <w:b/>
          <w:bCs/>
          <w:i w:val="0"/>
          <w:iCs w:val="0"/>
          <w:color w:val="auto"/>
          <w:lang w:val="en-GB"/>
        </w:rPr>
        <w:t>Suppl.Fig.S</w:t>
      </w:r>
      <w:proofErr w:type="gramEnd"/>
      <w:r w:rsidRPr="006C7B95">
        <w:rPr>
          <w:b/>
          <w:bCs/>
          <w:i w:val="0"/>
          <w:iCs w:val="0"/>
          <w:color w:val="auto"/>
          <w:lang w:val="en-GB"/>
        </w:rPr>
        <w:fldChar w:fldCharType="begin"/>
      </w:r>
      <w:r w:rsidRPr="006C7B95">
        <w:rPr>
          <w:b/>
          <w:bCs/>
          <w:i w:val="0"/>
          <w:iCs w:val="0"/>
          <w:color w:val="auto"/>
          <w:lang w:val="en-GB"/>
        </w:rPr>
        <w:instrText xml:space="preserve"> SEQ Suppl.Fig.S \* ARABIC </w:instrText>
      </w:r>
      <w:r w:rsidRPr="006C7B95">
        <w:rPr>
          <w:b/>
          <w:bCs/>
          <w:i w:val="0"/>
          <w:iCs w:val="0"/>
          <w:color w:val="auto"/>
          <w:lang w:val="en-GB"/>
        </w:rPr>
        <w:fldChar w:fldCharType="separate"/>
      </w:r>
      <w:r w:rsidR="00F929DD" w:rsidRPr="006C7B95">
        <w:rPr>
          <w:b/>
          <w:bCs/>
          <w:i w:val="0"/>
          <w:iCs w:val="0"/>
          <w:noProof/>
          <w:color w:val="auto"/>
          <w:lang w:val="en-GB"/>
        </w:rPr>
        <w:t>1</w:t>
      </w:r>
      <w:r w:rsidRPr="006C7B95">
        <w:rPr>
          <w:b/>
          <w:bCs/>
          <w:i w:val="0"/>
          <w:iCs w:val="0"/>
          <w:color w:val="auto"/>
          <w:lang w:val="en-GB"/>
        </w:rPr>
        <w:fldChar w:fldCharType="end"/>
      </w:r>
      <w:r w:rsidRPr="006C7B95">
        <w:rPr>
          <w:b/>
          <w:bCs/>
          <w:i w:val="0"/>
          <w:iCs w:val="0"/>
          <w:color w:val="auto"/>
          <w:lang w:val="en-GB"/>
        </w:rPr>
        <w:t xml:space="preserve">. </w:t>
      </w:r>
      <w:r w:rsidR="001E6F6B" w:rsidRPr="006C7B95">
        <w:rPr>
          <w:b/>
          <w:bCs/>
          <w:i w:val="0"/>
          <w:iCs w:val="0"/>
          <w:color w:val="auto"/>
          <w:lang w:val="en-GB"/>
        </w:rPr>
        <w:t>P</w:t>
      </w:r>
      <w:r w:rsidRPr="006C7B95">
        <w:rPr>
          <w:b/>
          <w:bCs/>
          <w:i w:val="0"/>
          <w:iCs w:val="0"/>
          <w:color w:val="auto"/>
          <w:lang w:val="en-GB"/>
        </w:rPr>
        <w:t xml:space="preserve">ressure thresholds </w:t>
      </w:r>
      <w:r w:rsidR="001E6F6B" w:rsidRPr="006C7B95">
        <w:rPr>
          <w:b/>
          <w:bCs/>
          <w:i w:val="0"/>
          <w:iCs w:val="0"/>
          <w:color w:val="auto"/>
          <w:lang w:val="en-GB"/>
        </w:rPr>
        <w:t xml:space="preserve">at localized periorbital sites </w:t>
      </w:r>
      <w:r w:rsidRPr="006C7B95">
        <w:rPr>
          <w:b/>
          <w:bCs/>
          <w:i w:val="0"/>
          <w:iCs w:val="0"/>
          <w:color w:val="auto"/>
          <w:lang w:val="en-GB"/>
        </w:rPr>
        <w:t>following intravenous CGRP administration.</w:t>
      </w:r>
      <w:r w:rsidRPr="006C7B95">
        <w:rPr>
          <w:i w:val="0"/>
          <w:iCs w:val="0"/>
          <w:color w:val="auto"/>
          <w:lang w:val="en-GB"/>
        </w:rPr>
        <w:t xml:space="preserve"> </w:t>
      </w:r>
      <w:r w:rsidR="004875F4" w:rsidRPr="006C7B95">
        <w:rPr>
          <w:i w:val="0"/>
          <w:iCs w:val="0"/>
          <w:color w:val="auto"/>
          <w:lang w:val="en-GB"/>
        </w:rPr>
        <w:t xml:space="preserve">The data shown are identical to those presented in Fig.9 (Part 3 data) of the main manuscript but are replotted to display pressure thresholds measured at the three individual periorbital sites (#2, 3, and 4, as illustrated to the right of the graphs). </w:t>
      </w:r>
      <w:r w:rsidRPr="006C7B95">
        <w:rPr>
          <w:i w:val="0"/>
          <w:iCs w:val="0"/>
          <w:color w:val="auto"/>
          <w:lang w:val="en-GB"/>
        </w:rPr>
        <w:t xml:space="preserve">Male (n=16) and female (n=16) Sprague Dawley </w:t>
      </w:r>
      <w:r w:rsidR="00D41732" w:rsidRPr="006C7B95">
        <w:rPr>
          <w:i w:val="0"/>
          <w:iCs w:val="0"/>
          <w:color w:val="auto"/>
          <w:lang w:val="en-GB"/>
        </w:rPr>
        <w:t>rats of stu</w:t>
      </w:r>
      <w:r w:rsidR="007376D0" w:rsidRPr="006C7B95">
        <w:rPr>
          <w:i w:val="0"/>
          <w:iCs w:val="0"/>
          <w:color w:val="auto"/>
          <w:lang w:val="en-GB"/>
        </w:rPr>
        <w:t>d</w:t>
      </w:r>
      <w:r w:rsidR="00D41732" w:rsidRPr="006C7B95">
        <w:rPr>
          <w:i w:val="0"/>
          <w:iCs w:val="0"/>
          <w:color w:val="auto"/>
          <w:lang w:val="en-GB"/>
        </w:rPr>
        <w:t>y Part 3 (</w:t>
      </w:r>
      <w:proofErr w:type="gramStart"/>
      <w:r w:rsidR="00D41732" w:rsidRPr="006C7B95">
        <w:rPr>
          <w:i w:val="0"/>
          <w:iCs w:val="0"/>
          <w:color w:val="auto"/>
          <w:lang w:val="en-GB"/>
        </w:rPr>
        <w:t>matched-cage</w:t>
      </w:r>
      <w:proofErr w:type="gramEnd"/>
      <w:r w:rsidR="00D41732" w:rsidRPr="006C7B95">
        <w:rPr>
          <w:i w:val="0"/>
          <w:iCs w:val="0"/>
          <w:color w:val="auto"/>
          <w:lang w:val="en-GB"/>
        </w:rPr>
        <w:t xml:space="preserve">) </w:t>
      </w:r>
      <w:r w:rsidRPr="006C7B95">
        <w:rPr>
          <w:i w:val="0"/>
          <w:iCs w:val="0"/>
          <w:color w:val="auto"/>
          <w:lang w:val="en-GB"/>
        </w:rPr>
        <w:t xml:space="preserve">were treated with CGRP (n=8 male, 8 female) or saline (n=8 male, 8 female) intravenously and 20min later a periorbital von Frey test was performed. Baseline withdrawal threshold results were measured two days before the intervention study. </w:t>
      </w:r>
      <w:r w:rsidR="00836C98" w:rsidRPr="006C7B95">
        <w:rPr>
          <w:i w:val="0"/>
          <w:iCs w:val="0"/>
          <w:color w:val="auto"/>
          <w:lang w:val="en-GB"/>
        </w:rPr>
        <w:t>The rats were housed in</w:t>
      </w:r>
      <w:r w:rsidRPr="006C7B95">
        <w:rPr>
          <w:i w:val="0"/>
          <w:iCs w:val="0"/>
          <w:color w:val="auto"/>
          <w:lang w:val="en-GB"/>
        </w:rPr>
        <w:t xml:space="preserve"> </w:t>
      </w:r>
      <w:proofErr w:type="gramStart"/>
      <w:r w:rsidRPr="006C7B95">
        <w:rPr>
          <w:i w:val="0"/>
          <w:iCs w:val="0"/>
          <w:color w:val="auto"/>
          <w:lang w:val="en-GB"/>
        </w:rPr>
        <w:t>matched-cages</w:t>
      </w:r>
      <w:proofErr w:type="gramEnd"/>
      <w:r w:rsidRPr="006C7B95">
        <w:rPr>
          <w:i w:val="0"/>
          <w:iCs w:val="0"/>
          <w:color w:val="auto"/>
          <w:lang w:val="en-GB"/>
        </w:rPr>
        <w:t>, with one injection group per cage,</w:t>
      </w:r>
      <w:r w:rsidR="00836C98" w:rsidRPr="006C7B95">
        <w:rPr>
          <w:i w:val="0"/>
          <w:iCs w:val="0"/>
          <w:color w:val="auto"/>
          <w:lang w:val="en-GB"/>
        </w:rPr>
        <w:t xml:space="preserve"> and</w:t>
      </w:r>
      <w:r w:rsidRPr="006C7B95">
        <w:rPr>
          <w:i w:val="0"/>
          <w:iCs w:val="0"/>
          <w:color w:val="auto"/>
          <w:lang w:val="en-GB"/>
        </w:rPr>
        <w:t xml:space="preserve"> they were naïve to </w:t>
      </w:r>
      <w:r w:rsidR="00C64F39" w:rsidRPr="006C7B95">
        <w:rPr>
          <w:i w:val="0"/>
          <w:iCs w:val="0"/>
          <w:color w:val="auto"/>
          <w:lang w:val="en-GB"/>
        </w:rPr>
        <w:t xml:space="preserve">prior </w:t>
      </w:r>
      <w:r w:rsidRPr="006C7B95">
        <w:rPr>
          <w:i w:val="0"/>
          <w:iCs w:val="0"/>
          <w:color w:val="auto"/>
          <w:lang w:val="en-GB"/>
        </w:rPr>
        <w:t>injection</w:t>
      </w:r>
      <w:r w:rsidR="00C64F39" w:rsidRPr="006C7B95">
        <w:rPr>
          <w:i w:val="0"/>
          <w:iCs w:val="0"/>
          <w:color w:val="auto"/>
          <w:lang w:val="en-GB"/>
        </w:rPr>
        <w:t>s and behavioural testing</w:t>
      </w:r>
      <w:r w:rsidRPr="006C7B95">
        <w:rPr>
          <w:i w:val="0"/>
          <w:iCs w:val="0"/>
          <w:color w:val="auto"/>
          <w:lang w:val="en-GB"/>
        </w:rPr>
        <w:t xml:space="preserve"> before </w:t>
      </w:r>
      <w:proofErr w:type="spellStart"/>
      <w:r w:rsidRPr="006C7B95">
        <w:rPr>
          <w:i w:val="0"/>
          <w:iCs w:val="0"/>
          <w:color w:val="auto"/>
          <w:lang w:val="en-GB"/>
        </w:rPr>
        <w:t>EvF</w:t>
      </w:r>
      <w:proofErr w:type="spellEnd"/>
      <w:r w:rsidR="00C64F39" w:rsidRPr="006C7B95">
        <w:rPr>
          <w:i w:val="0"/>
          <w:iCs w:val="0"/>
          <w:color w:val="auto"/>
          <w:lang w:val="en-GB"/>
        </w:rPr>
        <w:t xml:space="preserve"> assessment</w:t>
      </w:r>
      <w:r w:rsidRPr="006C7B95">
        <w:rPr>
          <w:i w:val="0"/>
          <w:iCs w:val="0"/>
          <w:color w:val="auto"/>
          <w:lang w:val="en-GB"/>
        </w:rPr>
        <w:t xml:space="preserve">. Results are presented for each periorbital pressure point, shown for male rats in </w:t>
      </w:r>
      <w:r w:rsidRPr="006C7B95">
        <w:rPr>
          <w:b/>
          <w:bCs/>
          <w:i w:val="0"/>
          <w:iCs w:val="0"/>
          <w:color w:val="auto"/>
          <w:lang w:val="en-GB"/>
        </w:rPr>
        <w:t>A)</w:t>
      </w:r>
      <w:r w:rsidRPr="006C7B95">
        <w:rPr>
          <w:i w:val="0"/>
          <w:iCs w:val="0"/>
          <w:color w:val="auto"/>
          <w:lang w:val="en-GB"/>
        </w:rPr>
        <w:t xml:space="preserve"> and female rats in </w:t>
      </w:r>
      <w:r w:rsidRPr="006C7B95">
        <w:rPr>
          <w:b/>
          <w:bCs/>
          <w:i w:val="0"/>
          <w:iCs w:val="0"/>
          <w:color w:val="auto"/>
          <w:lang w:val="en-GB"/>
        </w:rPr>
        <w:t>B)</w:t>
      </w:r>
      <w:r w:rsidRPr="006C7B95">
        <w:rPr>
          <w:i w:val="0"/>
          <w:iCs w:val="0"/>
          <w:color w:val="auto"/>
          <w:lang w:val="en-GB"/>
        </w:rPr>
        <w:t xml:space="preserve">. Statistical comparisons between the two time-points (baseline and 20min post injection) </w:t>
      </w:r>
      <w:r w:rsidR="00802ED1" w:rsidRPr="006C7B95">
        <w:rPr>
          <w:i w:val="0"/>
          <w:iCs w:val="0"/>
          <w:color w:val="auto"/>
          <w:lang w:val="en-GB"/>
        </w:rPr>
        <w:t xml:space="preserve">across the three pressure point areas were performed </w:t>
      </w:r>
      <w:r w:rsidR="00817FA3" w:rsidRPr="006C7B95">
        <w:rPr>
          <w:i w:val="0"/>
          <w:iCs w:val="0"/>
          <w:color w:val="auto"/>
          <w:lang w:val="en-GB"/>
        </w:rPr>
        <w:t xml:space="preserve">within each </w:t>
      </w:r>
      <w:r w:rsidR="00167B67" w:rsidRPr="006C7B95">
        <w:rPr>
          <w:i w:val="0"/>
          <w:iCs w:val="0"/>
          <w:color w:val="auto"/>
          <w:lang w:val="en-GB"/>
        </w:rPr>
        <w:t xml:space="preserve">injection group </w:t>
      </w:r>
      <w:r w:rsidR="00802ED1" w:rsidRPr="006C7B95">
        <w:rPr>
          <w:i w:val="0"/>
          <w:iCs w:val="0"/>
          <w:color w:val="auto"/>
          <w:lang w:val="en-GB"/>
        </w:rPr>
        <w:t>using 2way ANOV</w:t>
      </w:r>
      <w:r w:rsidR="00167B67" w:rsidRPr="006C7B95">
        <w:rPr>
          <w:i w:val="0"/>
          <w:iCs w:val="0"/>
          <w:color w:val="auto"/>
          <w:lang w:val="en-GB"/>
        </w:rPr>
        <w:t>As</w:t>
      </w:r>
      <w:r w:rsidR="00802ED1" w:rsidRPr="006C7B95">
        <w:rPr>
          <w:i w:val="0"/>
          <w:iCs w:val="0"/>
          <w:color w:val="auto"/>
          <w:lang w:val="en-GB"/>
        </w:rPr>
        <w:t xml:space="preserve">. This was followed by </w:t>
      </w:r>
      <w:proofErr w:type="spellStart"/>
      <w:r w:rsidR="00543C15" w:rsidRPr="006C7B95">
        <w:rPr>
          <w:i w:val="0"/>
          <w:iCs w:val="0"/>
          <w:color w:val="auto"/>
          <w:lang w:val="en-GB"/>
        </w:rPr>
        <w:t>Sidak’s</w:t>
      </w:r>
      <w:proofErr w:type="spellEnd"/>
      <w:r w:rsidR="00543C15" w:rsidRPr="006C7B95">
        <w:rPr>
          <w:i w:val="0"/>
          <w:iCs w:val="0"/>
          <w:color w:val="auto"/>
          <w:lang w:val="en-GB"/>
        </w:rPr>
        <w:t xml:space="preserve"> multiple comparisons test comparing baseline and 20 min for each p</w:t>
      </w:r>
      <w:r w:rsidR="00A85838" w:rsidRPr="006C7B95">
        <w:rPr>
          <w:i w:val="0"/>
          <w:iCs w:val="0"/>
          <w:color w:val="auto"/>
          <w:lang w:val="en-GB"/>
        </w:rPr>
        <w:t>ressure point</w:t>
      </w:r>
      <w:r w:rsidRPr="006C7B95">
        <w:rPr>
          <w:i w:val="0"/>
          <w:iCs w:val="0"/>
          <w:color w:val="auto"/>
          <w:lang w:val="en-GB"/>
        </w:rPr>
        <w:t xml:space="preserve">. *; p&lt;0.05, ns; non-significant p≥ 0.05. CGRP; calcitonin gene-related peptide, </w:t>
      </w:r>
      <w:proofErr w:type="spellStart"/>
      <w:r w:rsidRPr="006C7B95">
        <w:rPr>
          <w:i w:val="0"/>
          <w:iCs w:val="0"/>
          <w:color w:val="auto"/>
          <w:lang w:val="en-GB"/>
        </w:rPr>
        <w:t>EvF</w:t>
      </w:r>
      <w:proofErr w:type="spellEnd"/>
      <w:r w:rsidRPr="006C7B95">
        <w:rPr>
          <w:i w:val="0"/>
          <w:iCs w:val="0"/>
          <w:color w:val="auto"/>
          <w:lang w:val="en-GB"/>
        </w:rPr>
        <w:t>; electronical von Frey.</w:t>
      </w:r>
    </w:p>
    <w:sectPr w:rsidR="00D32AD7" w:rsidRPr="006C7B9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7ACFE" w14:textId="77777777" w:rsidR="00D32AD7" w:rsidRDefault="00D32AD7" w:rsidP="00D32AD7">
      <w:pPr>
        <w:spacing w:after="0" w:line="240" w:lineRule="auto"/>
      </w:pPr>
      <w:r>
        <w:separator/>
      </w:r>
    </w:p>
  </w:endnote>
  <w:endnote w:type="continuationSeparator" w:id="0">
    <w:p w14:paraId="60BC9D48" w14:textId="77777777" w:rsidR="00D32AD7" w:rsidRDefault="00D32AD7" w:rsidP="00D32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0C3D8" w14:textId="77777777" w:rsidR="00D32AD7" w:rsidRDefault="00D32AD7" w:rsidP="00D32AD7">
      <w:pPr>
        <w:spacing w:after="0" w:line="240" w:lineRule="auto"/>
      </w:pPr>
      <w:r>
        <w:separator/>
      </w:r>
    </w:p>
  </w:footnote>
  <w:footnote w:type="continuationSeparator" w:id="0">
    <w:p w14:paraId="73E16D7D" w14:textId="77777777" w:rsidR="00D32AD7" w:rsidRDefault="00D32AD7" w:rsidP="00D32A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D7"/>
    <w:rsid w:val="00167B67"/>
    <w:rsid w:val="001C5D45"/>
    <w:rsid w:val="001E6F6B"/>
    <w:rsid w:val="003E67D9"/>
    <w:rsid w:val="0046311B"/>
    <w:rsid w:val="004875F4"/>
    <w:rsid w:val="00543C15"/>
    <w:rsid w:val="005C3362"/>
    <w:rsid w:val="006C7B95"/>
    <w:rsid w:val="0070125D"/>
    <w:rsid w:val="007376D0"/>
    <w:rsid w:val="00802ED1"/>
    <w:rsid w:val="00817FA3"/>
    <w:rsid w:val="00832C3D"/>
    <w:rsid w:val="00836C98"/>
    <w:rsid w:val="00852430"/>
    <w:rsid w:val="00902337"/>
    <w:rsid w:val="009B4138"/>
    <w:rsid w:val="00A07A94"/>
    <w:rsid w:val="00A85838"/>
    <w:rsid w:val="00B05493"/>
    <w:rsid w:val="00B85B87"/>
    <w:rsid w:val="00C64F39"/>
    <w:rsid w:val="00D32AD7"/>
    <w:rsid w:val="00D41732"/>
    <w:rsid w:val="00D64666"/>
    <w:rsid w:val="00E92865"/>
    <w:rsid w:val="00F07198"/>
    <w:rsid w:val="00F9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E20FD"/>
  <w15:chartTrackingRefBased/>
  <w15:docId w15:val="{F8E40359-E2BE-4280-9C9D-C7269427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32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32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32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32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32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32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32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32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32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32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32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32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32AD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32AD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32AD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32AD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32AD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32A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32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32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32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32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32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32AD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32AD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32AD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32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32AD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32AD7"/>
    <w:rPr>
      <w:b/>
      <w:bCs/>
      <w:smallCaps/>
      <w:color w:val="0F4761" w:themeColor="accent1" w:themeShade="BF"/>
      <w:spacing w:val="5"/>
    </w:rPr>
  </w:style>
  <w:style w:type="paragraph" w:styleId="Billedtekst">
    <w:name w:val="caption"/>
    <w:basedOn w:val="Normal"/>
    <w:next w:val="Normal"/>
    <w:uiPriority w:val="35"/>
    <w:unhideWhenUsed/>
    <w:qFormat/>
    <w:rsid w:val="00D32AD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D32A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32AD7"/>
  </w:style>
  <w:style w:type="paragraph" w:styleId="Sidefod">
    <w:name w:val="footer"/>
    <w:basedOn w:val="Normal"/>
    <w:link w:val="SidefodTegn"/>
    <w:uiPriority w:val="99"/>
    <w:unhideWhenUsed/>
    <w:rsid w:val="00D32A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32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198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Maria Löfgren Nordahl</dc:creator>
  <cp:keywords/>
  <dc:description/>
  <cp:lastModifiedBy>Karin Maria Löfgren Nordahl</cp:lastModifiedBy>
  <cp:revision>19</cp:revision>
  <dcterms:created xsi:type="dcterms:W3CDTF">2026-01-08T09:05:00Z</dcterms:created>
  <dcterms:modified xsi:type="dcterms:W3CDTF">2026-01-09T19:11:00Z</dcterms:modified>
</cp:coreProperties>
</file>