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9517" w14:textId="77777777" w:rsidR="00210785" w:rsidRDefault="00000000">
      <w:pPr>
        <w:pStyle w:val="Title2"/>
        <w:spacing w:line="360" w:lineRule="auto"/>
        <w:jc w:val="both"/>
        <w:rPr>
          <w:bCs/>
          <w:sz w:val="32"/>
          <w:szCs w:val="32"/>
        </w:rPr>
      </w:pPr>
      <w:r>
        <w:rPr>
          <w:bCs/>
          <w:sz w:val="32"/>
          <w:szCs w:val="32"/>
        </w:rPr>
        <w:t xml:space="preserve">Supporting Information </w:t>
      </w:r>
    </w:p>
    <w:p w14:paraId="19546927" w14:textId="77777777" w:rsidR="00210785" w:rsidRDefault="00210785">
      <w:pPr>
        <w:pStyle w:val="Tableofcontents"/>
        <w:spacing w:line="360" w:lineRule="auto"/>
        <w:jc w:val="both"/>
      </w:pPr>
    </w:p>
    <w:p w14:paraId="5652AFD2" w14:textId="77777777" w:rsidR="00210785" w:rsidRDefault="00000000">
      <w:pPr>
        <w:pStyle w:val="Title2"/>
        <w:spacing w:line="480" w:lineRule="auto"/>
        <w:jc w:val="both"/>
        <w:rPr>
          <w:rFonts w:eastAsia="等线"/>
          <w:lang w:eastAsia="zh-CN"/>
        </w:rPr>
      </w:pPr>
      <w:r>
        <w:rPr>
          <w:rFonts w:eastAsia="Times New Roman"/>
          <w:i/>
        </w:rPr>
        <w:t>Nr4a1</w:t>
      </w:r>
      <w:r>
        <w:rPr>
          <w:rFonts w:eastAsia="Times New Roman"/>
        </w:rPr>
        <w:t xml:space="preserve"> regulates microglia overactivation-mediated neuroinflammation to ameliorate cognitive impairment in trigeminal neuralgia rats</w:t>
      </w:r>
    </w:p>
    <w:p w14:paraId="3D2FDD09" w14:textId="77777777" w:rsidR="00210785" w:rsidRDefault="00000000">
      <w:pPr>
        <w:pStyle w:val="AuthorsFull"/>
        <w:spacing w:line="360" w:lineRule="auto"/>
        <w:jc w:val="both"/>
        <w:rPr>
          <w:rFonts w:eastAsia="等线"/>
          <w:vertAlign w:val="superscript"/>
          <w:lang w:eastAsia="zh-CN" w:bidi="en-US"/>
        </w:rPr>
      </w:pPr>
      <w:r>
        <w:rPr>
          <w:lang w:bidi="en-US"/>
        </w:rPr>
        <w:t>Junjie Li</w:t>
      </w:r>
      <w:r>
        <w:rPr>
          <w:vertAlign w:val="superscript"/>
          <w:lang w:bidi="en-US"/>
        </w:rPr>
        <w:t>a</w:t>
      </w:r>
      <w:r>
        <w:rPr>
          <w:lang w:bidi="en-US"/>
        </w:rPr>
        <w:t>, Zhilun Yang</w:t>
      </w:r>
      <w:r>
        <w:rPr>
          <w:vertAlign w:val="superscript"/>
          <w:lang w:bidi="en-US"/>
        </w:rPr>
        <w:t>a</w:t>
      </w:r>
      <w:r>
        <w:rPr>
          <w:lang w:bidi="en-US"/>
        </w:rPr>
        <w:t>, Xiaojuan Mi</w:t>
      </w:r>
      <w:r>
        <w:rPr>
          <w:vertAlign w:val="superscript"/>
          <w:lang w:bidi="en-US"/>
        </w:rPr>
        <w:t>e</w:t>
      </w:r>
      <w:r>
        <w:rPr>
          <w:lang w:bidi="en-US"/>
        </w:rPr>
        <w:t>, Qiang Wang</w:t>
      </w:r>
      <w:r>
        <w:rPr>
          <w:vertAlign w:val="superscript"/>
          <w:lang w:bidi="en-US"/>
        </w:rPr>
        <w:t>c</w:t>
      </w:r>
      <w:r>
        <w:rPr>
          <w:lang w:bidi="en-US"/>
        </w:rPr>
        <w:t xml:space="preserve">, </w:t>
      </w:r>
      <w:r>
        <w:rPr>
          <w:rFonts w:hint="eastAsia"/>
          <w:lang w:bidi="en-US"/>
        </w:rPr>
        <w:t>Juan Ding</w:t>
      </w:r>
      <w:r>
        <w:rPr>
          <w:vertAlign w:val="superscript"/>
          <w:lang w:bidi="en-US"/>
        </w:rPr>
        <w:t>a</w:t>
      </w:r>
      <w:r>
        <w:rPr>
          <w:rFonts w:hint="eastAsia"/>
          <w:lang w:bidi="en-US"/>
        </w:rPr>
        <w:t xml:space="preserve">, </w:t>
      </w:r>
      <w:r>
        <w:rPr>
          <w:lang w:bidi="en-US"/>
        </w:rPr>
        <w:t>Ziqi Feng</w:t>
      </w:r>
      <w:r>
        <w:rPr>
          <w:vertAlign w:val="superscript"/>
          <w:lang w:bidi="en-US"/>
        </w:rPr>
        <w:t>a</w:t>
      </w:r>
      <w:r>
        <w:rPr>
          <w:lang w:bidi="en-US"/>
        </w:rPr>
        <w:t>, Xia Ma</w:t>
      </w:r>
      <w:r>
        <w:rPr>
          <w:vertAlign w:val="superscript"/>
          <w:lang w:bidi="en-US"/>
        </w:rPr>
        <w:t>d</w:t>
      </w:r>
      <w:r>
        <w:rPr>
          <w:lang w:bidi="en-US"/>
        </w:rPr>
        <w:t>, Liping Zhang</w:t>
      </w:r>
      <w:r>
        <w:rPr>
          <w:vertAlign w:val="superscript"/>
          <w:lang w:bidi="en-US"/>
        </w:rPr>
        <w:t>d</w:t>
      </w:r>
      <w:r>
        <w:rPr>
          <w:lang w:bidi="en-US"/>
        </w:rPr>
        <w:t>, Juan Liu</w:t>
      </w:r>
      <w:r>
        <w:rPr>
          <w:vertAlign w:val="superscript"/>
          <w:lang w:bidi="en-US"/>
        </w:rPr>
        <w:t>a,b,*</w:t>
      </w:r>
    </w:p>
    <w:p w14:paraId="703F82A0" w14:textId="77777777" w:rsidR="00210785" w:rsidRDefault="00210785">
      <w:pPr>
        <w:pStyle w:val="AuthorsFull"/>
        <w:spacing w:line="360" w:lineRule="auto"/>
        <w:jc w:val="both"/>
        <w:rPr>
          <w:rFonts w:eastAsia="等线"/>
          <w:b/>
          <w:bCs/>
          <w:i w:val="0"/>
          <w:iCs/>
          <w:lang w:eastAsia="zh-CN"/>
        </w:rPr>
      </w:pPr>
    </w:p>
    <w:p w14:paraId="4F832497" w14:textId="77777777" w:rsidR="00210785" w:rsidRDefault="00000000">
      <w:pPr>
        <w:spacing w:after="48" w:line="480" w:lineRule="auto"/>
        <w:rPr>
          <w:rFonts w:ascii="Times New Roman" w:eastAsia="黑体" w:hAnsi="Times New Roman" w:cs="Times New Roman"/>
          <w:b/>
          <w:bCs/>
          <w:color w:val="060A26"/>
          <w:shd w:val="clear" w:color="auto" w:fill="FFFFFF"/>
          <w:lang w:eastAsia="zh-CN"/>
        </w:rPr>
      </w:pPr>
      <w:r>
        <w:rPr>
          <w:rFonts w:ascii="Times New Roman" w:eastAsia="黑体" w:hAnsi="Times New Roman" w:cs="Times New Roman" w:hint="eastAsia"/>
          <w:b/>
          <w:bCs/>
          <w:color w:val="060A26"/>
          <w:shd w:val="clear" w:color="auto" w:fill="FFFFFF"/>
          <w:lang w:eastAsia="zh-CN"/>
        </w:rPr>
        <w:t xml:space="preserve">This file </w:t>
      </w:r>
      <w:r>
        <w:rPr>
          <w:rFonts w:ascii="Times New Roman" w:eastAsia="黑体" w:hAnsi="Times New Roman" w:cs="Times New Roman"/>
          <w:b/>
          <w:bCs/>
          <w:color w:val="060A26"/>
          <w:shd w:val="clear" w:color="auto" w:fill="FFFFFF"/>
          <w:lang w:eastAsia="zh-CN"/>
        </w:rPr>
        <w:t>includes</w:t>
      </w:r>
      <w:r>
        <w:rPr>
          <w:rFonts w:ascii="Times New Roman" w:eastAsia="黑体" w:hAnsi="Times New Roman" w:cs="Times New Roman" w:hint="eastAsia"/>
          <w:b/>
          <w:bCs/>
          <w:color w:val="060A26"/>
          <w:shd w:val="clear" w:color="auto" w:fill="FFFFFF"/>
          <w:lang w:eastAsia="zh-CN"/>
        </w:rPr>
        <w:t>：</w:t>
      </w:r>
    </w:p>
    <w:p w14:paraId="751FA76B" w14:textId="77777777" w:rsidR="00210785" w:rsidRDefault="00000000">
      <w:pPr>
        <w:pStyle w:val="AuthorsFull"/>
        <w:numPr>
          <w:ilvl w:val="0"/>
          <w:numId w:val="1"/>
        </w:numPr>
        <w:spacing w:line="480" w:lineRule="auto"/>
        <w:jc w:val="both"/>
        <w:rPr>
          <w:b/>
          <w:bCs/>
          <w:i w:val="0"/>
          <w:iCs/>
          <w:vertAlign w:val="superscript"/>
          <w:lang w:bidi="en-US"/>
        </w:rPr>
      </w:pPr>
      <w:bookmarkStart w:id="0" w:name="_Hlk220308887"/>
      <w:r>
        <w:rPr>
          <w:rFonts w:eastAsia="等线"/>
          <w:b/>
          <w:bCs/>
          <w:i w:val="0"/>
          <w:iCs/>
          <w:lang w:eastAsia="zh-CN"/>
        </w:rPr>
        <w:t xml:space="preserve">Supplementary </w:t>
      </w:r>
      <w:r>
        <w:rPr>
          <w:rFonts w:eastAsia="等线" w:hint="eastAsia"/>
          <w:b/>
          <w:bCs/>
          <w:i w:val="0"/>
          <w:iCs/>
          <w:lang w:eastAsia="zh-CN"/>
        </w:rPr>
        <w:t>N</w:t>
      </w:r>
      <w:r>
        <w:rPr>
          <w:rFonts w:eastAsia="等线"/>
          <w:b/>
          <w:bCs/>
          <w:i w:val="0"/>
          <w:iCs/>
          <w:lang w:eastAsia="zh-CN"/>
        </w:rPr>
        <w:t>otes</w:t>
      </w:r>
    </w:p>
    <w:p w14:paraId="5A66A9A8" w14:textId="77777777" w:rsidR="00210785" w:rsidRDefault="00000000">
      <w:pPr>
        <w:pStyle w:val="AuthorsFull"/>
        <w:numPr>
          <w:ilvl w:val="0"/>
          <w:numId w:val="2"/>
        </w:numPr>
        <w:spacing w:line="480" w:lineRule="auto"/>
        <w:jc w:val="both"/>
        <w:rPr>
          <w:b/>
          <w:bCs/>
          <w:i w:val="0"/>
          <w:iCs/>
          <w:vertAlign w:val="superscript"/>
          <w:lang w:bidi="en-US"/>
        </w:rPr>
      </w:pPr>
      <w:r>
        <w:rPr>
          <w:rFonts w:eastAsia="等线"/>
          <w:b/>
          <w:bCs/>
          <w:i w:val="0"/>
          <w:iCs/>
          <w:lang w:eastAsia="zh-CN"/>
        </w:rPr>
        <w:t>Supplementary Notes 1: Detailed Methodology</w:t>
      </w:r>
    </w:p>
    <w:p w14:paraId="2F87808D" w14:textId="77777777" w:rsidR="00210785" w:rsidRDefault="00000000">
      <w:pPr>
        <w:pStyle w:val="af2"/>
        <w:spacing w:line="480" w:lineRule="auto"/>
        <w:ind w:left="880"/>
        <w:rPr>
          <w:rFonts w:ascii="Times New Roman" w:eastAsia="等线" w:hAnsi="Times New Roman" w:cs="Times New Roman"/>
          <w:iCs/>
          <w:kern w:val="0"/>
          <w:sz w:val="21"/>
          <w:szCs w:val="21"/>
          <w:lang w:eastAsia="zh-CN"/>
          <w14:ligatures w14:val="none"/>
        </w:rPr>
      </w:pPr>
      <w:r>
        <w:rPr>
          <w:rFonts w:ascii="Times New Roman" w:eastAsia="等线" w:hAnsi="Times New Roman" w:cs="Times New Roman"/>
          <w:b/>
          <w:bCs/>
          <w:iCs/>
          <w:kern w:val="0"/>
          <w:sz w:val="21"/>
          <w:szCs w:val="21"/>
          <w:lang w:eastAsia="zh-CN"/>
          <w14:ligatures w14:val="none"/>
        </w:rPr>
        <w:t>Supplementary Notes 1.</w:t>
      </w:r>
      <w:r>
        <w:rPr>
          <w:rFonts w:ascii="Times New Roman" w:eastAsia="等线" w:hAnsi="Times New Roman" w:cs="Times New Roman" w:hint="eastAsia"/>
          <w:b/>
          <w:bCs/>
          <w:iCs/>
          <w:kern w:val="0"/>
          <w:sz w:val="21"/>
          <w:szCs w:val="21"/>
          <w:lang w:eastAsia="zh-CN"/>
          <w14:ligatures w14:val="none"/>
        </w:rPr>
        <w:t>1</w:t>
      </w:r>
      <w:r>
        <w:rPr>
          <w:rFonts w:ascii="Times New Roman" w:eastAsia="等线" w:hAnsi="Times New Roman" w:cs="Times New Roman"/>
          <w:b/>
          <w:bCs/>
          <w:iCs/>
          <w:kern w:val="0"/>
          <w:sz w:val="21"/>
          <w:szCs w:val="21"/>
          <w:lang w:eastAsia="zh-CN"/>
          <w14:ligatures w14:val="none"/>
        </w:rPr>
        <w:t>:</w:t>
      </w:r>
      <w:r>
        <w:rPr>
          <w:rFonts w:ascii="Times New Roman" w:eastAsia="等线" w:hAnsi="Times New Roman" w:cs="Times New Roman" w:hint="eastAsia"/>
          <w:b/>
          <w:bCs/>
          <w:iCs/>
          <w:kern w:val="0"/>
          <w:sz w:val="21"/>
          <w:szCs w:val="21"/>
          <w:lang w:eastAsia="zh-CN"/>
          <w14:ligatures w14:val="none"/>
        </w:rPr>
        <w:t xml:space="preserve"> </w:t>
      </w:r>
      <w:r>
        <w:rPr>
          <w:rFonts w:ascii="Times New Roman" w:eastAsia="等线" w:hAnsi="Times New Roman" w:cs="Times New Roman"/>
          <w:iCs/>
          <w:kern w:val="0"/>
          <w:sz w:val="21"/>
          <w:szCs w:val="21"/>
          <w:lang w:eastAsia="zh-CN"/>
          <w14:ligatures w14:val="none"/>
        </w:rPr>
        <w:t xml:space="preserve">Experimental </w:t>
      </w:r>
      <w:r>
        <w:rPr>
          <w:rFonts w:ascii="Times New Roman" w:eastAsia="等线" w:hAnsi="Times New Roman" w:cs="Times New Roman" w:hint="eastAsia"/>
          <w:iCs/>
          <w:kern w:val="0"/>
          <w:sz w:val="21"/>
          <w:szCs w:val="21"/>
          <w:lang w:eastAsia="zh-CN"/>
          <w14:ligatures w14:val="none"/>
        </w:rPr>
        <w:t>a</w:t>
      </w:r>
      <w:r>
        <w:rPr>
          <w:rFonts w:ascii="Times New Roman" w:eastAsia="等线" w:hAnsi="Times New Roman" w:cs="Times New Roman"/>
          <w:iCs/>
          <w:kern w:val="0"/>
          <w:sz w:val="21"/>
          <w:szCs w:val="21"/>
          <w:lang w:eastAsia="zh-CN"/>
          <w14:ligatures w14:val="none"/>
        </w:rPr>
        <w:t>nimal groups and drug treatment</w:t>
      </w:r>
    </w:p>
    <w:p w14:paraId="7C5B77FC" w14:textId="77777777" w:rsidR="00210785" w:rsidRDefault="00000000">
      <w:pPr>
        <w:pStyle w:val="af2"/>
        <w:spacing w:line="480" w:lineRule="auto"/>
        <w:ind w:left="880"/>
        <w:rPr>
          <w:rFonts w:ascii="宋体" w:eastAsia="宋体" w:hAnsi="宋体" w:cs="Times New Roman" w:hint="eastAsia"/>
          <w:b/>
          <w:bCs/>
          <w:iCs/>
          <w:kern w:val="0"/>
          <w:sz w:val="21"/>
          <w:szCs w:val="21"/>
          <w:lang w:eastAsia="zh-CN" w:bidi="en-US"/>
          <w14:ligatures w14:val="none"/>
        </w:rPr>
      </w:pPr>
      <w:r>
        <w:rPr>
          <w:rFonts w:ascii="Times New Roman" w:eastAsia="等线" w:hAnsi="Times New Roman" w:cs="Times New Roman"/>
          <w:b/>
          <w:bCs/>
          <w:iCs/>
          <w:kern w:val="0"/>
          <w:sz w:val="21"/>
          <w:szCs w:val="21"/>
          <w:lang w:eastAsia="zh-CN"/>
          <w14:ligatures w14:val="none"/>
        </w:rPr>
        <w:t>Supplementary Notes 1.</w:t>
      </w:r>
      <w:r>
        <w:rPr>
          <w:rFonts w:ascii="Times New Roman" w:eastAsia="等线" w:hAnsi="Times New Roman" w:cs="Times New Roman" w:hint="eastAsia"/>
          <w:b/>
          <w:bCs/>
          <w:iCs/>
          <w:kern w:val="0"/>
          <w:sz w:val="21"/>
          <w:szCs w:val="21"/>
          <w:lang w:eastAsia="zh-CN"/>
          <w14:ligatures w14:val="none"/>
        </w:rPr>
        <w:t>2</w:t>
      </w:r>
      <w:r>
        <w:rPr>
          <w:rFonts w:ascii="Times New Roman" w:eastAsia="等线" w:hAnsi="Times New Roman" w:cs="Times New Roman"/>
          <w:b/>
          <w:bCs/>
          <w:iCs/>
          <w:kern w:val="0"/>
          <w:sz w:val="21"/>
          <w:szCs w:val="21"/>
          <w:lang w:eastAsia="zh-CN"/>
          <w14:ligatures w14:val="none"/>
        </w:rPr>
        <w:t>:</w:t>
      </w:r>
      <w:r>
        <w:rPr>
          <w:rFonts w:ascii="Times New Roman" w:eastAsia="等线" w:hAnsi="Times New Roman" w:cs="Times New Roman" w:hint="eastAsia"/>
          <w:b/>
          <w:bCs/>
          <w:iCs/>
          <w:kern w:val="0"/>
          <w:sz w:val="21"/>
          <w:szCs w:val="21"/>
          <w:lang w:eastAsia="zh-CN"/>
          <w14:ligatures w14:val="none"/>
        </w:rPr>
        <w:t xml:space="preserve"> </w:t>
      </w:r>
      <w:r>
        <w:rPr>
          <w:rFonts w:ascii="Times New Roman" w:eastAsia="等线" w:hAnsi="Times New Roman" w:cs="Times New Roman"/>
          <w:iCs/>
          <w:kern w:val="0"/>
          <w:sz w:val="21"/>
          <w:szCs w:val="21"/>
          <w:lang w:eastAsia="zh-CN"/>
          <w14:ligatures w14:val="none"/>
        </w:rPr>
        <w:t>Behavioral tests</w:t>
      </w:r>
    </w:p>
    <w:p w14:paraId="5C170BC9" w14:textId="44BE5425" w:rsidR="00210785" w:rsidRDefault="00000000">
      <w:pPr>
        <w:pStyle w:val="af2"/>
        <w:spacing w:line="480" w:lineRule="auto"/>
        <w:ind w:left="880"/>
        <w:rPr>
          <w:rFonts w:ascii="Times New Roman" w:eastAsia="等线" w:hAnsi="Times New Roman" w:cs="Times New Roman"/>
          <w:b/>
          <w:bCs/>
          <w:iCs/>
          <w:kern w:val="0"/>
          <w:sz w:val="21"/>
          <w:szCs w:val="21"/>
          <w:lang w:eastAsia="zh-CN"/>
          <w14:ligatures w14:val="none"/>
        </w:rPr>
      </w:pPr>
      <w:r>
        <w:rPr>
          <w:rFonts w:ascii="Times New Roman" w:eastAsia="等线" w:hAnsi="Times New Roman" w:cs="Times New Roman"/>
          <w:b/>
          <w:bCs/>
          <w:iCs/>
          <w:kern w:val="0"/>
          <w:sz w:val="21"/>
          <w:szCs w:val="21"/>
          <w:lang w:eastAsia="zh-CN"/>
          <w14:ligatures w14:val="none"/>
        </w:rPr>
        <w:t>Supplementary Notes 1.</w:t>
      </w:r>
      <w:r>
        <w:rPr>
          <w:rFonts w:ascii="Times New Roman" w:eastAsia="等线" w:hAnsi="Times New Roman" w:cs="Times New Roman" w:hint="eastAsia"/>
          <w:b/>
          <w:bCs/>
          <w:iCs/>
          <w:kern w:val="0"/>
          <w:sz w:val="21"/>
          <w:szCs w:val="21"/>
          <w:lang w:eastAsia="zh-CN"/>
          <w14:ligatures w14:val="none"/>
        </w:rPr>
        <w:t>3</w:t>
      </w:r>
      <w:r>
        <w:rPr>
          <w:rFonts w:ascii="Times New Roman" w:eastAsia="等线" w:hAnsi="Times New Roman" w:cs="Times New Roman"/>
          <w:b/>
          <w:bCs/>
          <w:iCs/>
          <w:kern w:val="0"/>
          <w:sz w:val="21"/>
          <w:szCs w:val="21"/>
          <w:lang w:eastAsia="zh-CN"/>
          <w14:ligatures w14:val="none"/>
        </w:rPr>
        <w:t xml:space="preserve">: </w:t>
      </w:r>
      <w:r>
        <w:rPr>
          <w:rFonts w:ascii="Times New Roman" w:eastAsia="等线" w:hAnsi="Times New Roman" w:cs="Times New Roman"/>
          <w:iCs/>
          <w:kern w:val="0"/>
          <w:sz w:val="21"/>
          <w:szCs w:val="21"/>
          <w:lang w:eastAsia="zh-CN"/>
          <w14:ligatures w14:val="none"/>
        </w:rPr>
        <w:t xml:space="preserve">Detailed information of primary antibodies used in </w:t>
      </w:r>
      <w:r w:rsidR="00FF0003">
        <w:rPr>
          <w:rFonts w:ascii="Times New Roman" w:eastAsia="等线" w:hAnsi="Times New Roman" w:cs="Times New Roman" w:hint="eastAsia"/>
          <w:iCs/>
          <w:kern w:val="0"/>
          <w:sz w:val="21"/>
          <w:szCs w:val="21"/>
          <w:lang w:eastAsia="zh-CN"/>
          <w14:ligatures w14:val="none"/>
        </w:rPr>
        <w:t>w</w:t>
      </w:r>
      <w:r>
        <w:rPr>
          <w:rFonts w:ascii="Times New Roman" w:eastAsia="等线" w:hAnsi="Times New Roman" w:cs="Times New Roman"/>
          <w:iCs/>
          <w:kern w:val="0"/>
          <w:sz w:val="21"/>
          <w:szCs w:val="21"/>
          <w:lang w:eastAsia="zh-CN"/>
          <w14:ligatures w14:val="none"/>
        </w:rPr>
        <w:t>estern blotting, including dilution ratios, catalog numbers, and suppliers</w:t>
      </w:r>
    </w:p>
    <w:p w14:paraId="7B2C06FE" w14:textId="77777777" w:rsidR="00210785" w:rsidRDefault="00000000">
      <w:pPr>
        <w:pStyle w:val="af2"/>
        <w:spacing w:line="480" w:lineRule="auto"/>
        <w:ind w:left="880"/>
        <w:rPr>
          <w:rFonts w:ascii="宋体" w:eastAsia="宋体" w:hAnsi="宋体" w:cs="Times New Roman" w:hint="eastAsia"/>
          <w:b/>
          <w:bCs/>
          <w:iCs/>
          <w:kern w:val="0"/>
          <w:sz w:val="21"/>
          <w:szCs w:val="21"/>
          <w:lang w:eastAsia="zh-CN" w:bidi="en-US"/>
          <w14:ligatures w14:val="none"/>
        </w:rPr>
      </w:pPr>
      <w:r>
        <w:rPr>
          <w:rFonts w:ascii="Times New Roman" w:eastAsia="等线" w:hAnsi="Times New Roman" w:cs="Times New Roman"/>
          <w:b/>
          <w:bCs/>
          <w:iCs/>
          <w:kern w:val="0"/>
          <w:sz w:val="21"/>
          <w:szCs w:val="21"/>
          <w:lang w:eastAsia="zh-CN"/>
          <w14:ligatures w14:val="none"/>
        </w:rPr>
        <w:t>Supplementary Notes 1.</w:t>
      </w:r>
      <w:r>
        <w:rPr>
          <w:rFonts w:ascii="Times New Roman" w:eastAsia="等线" w:hAnsi="Times New Roman" w:cs="Times New Roman" w:hint="eastAsia"/>
          <w:b/>
          <w:bCs/>
          <w:iCs/>
          <w:kern w:val="0"/>
          <w:sz w:val="21"/>
          <w:szCs w:val="21"/>
          <w:lang w:eastAsia="zh-CN"/>
          <w14:ligatures w14:val="none"/>
        </w:rPr>
        <w:t>4</w:t>
      </w:r>
      <w:r>
        <w:rPr>
          <w:rFonts w:ascii="Times New Roman" w:eastAsia="等线" w:hAnsi="Times New Roman" w:cs="Times New Roman"/>
          <w:b/>
          <w:bCs/>
          <w:iCs/>
          <w:kern w:val="0"/>
          <w:sz w:val="21"/>
          <w:szCs w:val="21"/>
          <w:lang w:eastAsia="zh-CN"/>
          <w14:ligatures w14:val="none"/>
        </w:rPr>
        <w:t>:</w:t>
      </w:r>
      <w:r>
        <w:rPr>
          <w:rFonts w:ascii="Times New Roman" w:eastAsia="等线" w:hAnsi="Times New Roman" w:cs="Times New Roman" w:hint="eastAsia"/>
          <w:b/>
          <w:bCs/>
          <w:iCs/>
          <w:kern w:val="0"/>
          <w:sz w:val="21"/>
          <w:szCs w:val="21"/>
          <w:lang w:eastAsia="zh-CN"/>
          <w14:ligatures w14:val="none"/>
        </w:rPr>
        <w:t xml:space="preserve"> </w:t>
      </w:r>
      <w:r>
        <w:rPr>
          <w:rFonts w:ascii="Times New Roman" w:eastAsia="等线" w:hAnsi="Times New Roman" w:cs="Times New Roman"/>
          <w:iCs/>
          <w:kern w:val="0"/>
          <w:sz w:val="21"/>
          <w:szCs w:val="21"/>
          <w:lang w:eastAsia="zh-CN"/>
          <w14:ligatures w14:val="none"/>
        </w:rPr>
        <w:t>Cell grouping and drug intervention</w:t>
      </w:r>
    </w:p>
    <w:p w14:paraId="63152A78" w14:textId="77777777" w:rsidR="00210785" w:rsidRDefault="00000000">
      <w:pPr>
        <w:pStyle w:val="AuthorsFull"/>
        <w:numPr>
          <w:ilvl w:val="0"/>
          <w:numId w:val="2"/>
        </w:numPr>
        <w:spacing w:line="480" w:lineRule="auto"/>
        <w:jc w:val="both"/>
        <w:rPr>
          <w:b/>
          <w:bCs/>
          <w:i w:val="0"/>
          <w:iCs/>
          <w:vertAlign w:val="superscript"/>
          <w:lang w:bidi="en-US"/>
        </w:rPr>
      </w:pPr>
      <w:r>
        <w:rPr>
          <w:rFonts w:eastAsia="等线"/>
          <w:b/>
          <w:bCs/>
          <w:i w:val="0"/>
          <w:iCs/>
          <w:lang w:eastAsia="zh-CN"/>
        </w:rPr>
        <w:t>Supplementary Notes 2: Confirmatory Results and Analysis</w:t>
      </w:r>
    </w:p>
    <w:p w14:paraId="3E0B2286" w14:textId="77777777" w:rsidR="00210785" w:rsidRDefault="00000000">
      <w:pPr>
        <w:pStyle w:val="AuthorsFull"/>
        <w:spacing w:line="480" w:lineRule="auto"/>
        <w:ind w:left="880"/>
        <w:jc w:val="both"/>
        <w:rPr>
          <w:rFonts w:ascii="宋体" w:eastAsia="宋体" w:hAnsi="宋体" w:hint="eastAsia"/>
          <w:b/>
          <w:bCs/>
          <w:i w:val="0"/>
          <w:iCs/>
          <w:sz w:val="21"/>
          <w:szCs w:val="21"/>
          <w:lang w:eastAsia="zh-CN" w:bidi="en-US"/>
        </w:rPr>
      </w:pPr>
      <w:r>
        <w:rPr>
          <w:rFonts w:eastAsia="等线"/>
          <w:b/>
          <w:bCs/>
          <w:i w:val="0"/>
          <w:iCs/>
          <w:sz w:val="21"/>
          <w:szCs w:val="21"/>
          <w:lang w:eastAsia="zh-CN"/>
        </w:rPr>
        <w:t>Supplementary</w:t>
      </w:r>
      <w:r>
        <w:rPr>
          <w:rFonts w:eastAsia="等线" w:hint="eastAsia"/>
          <w:b/>
          <w:bCs/>
          <w:i w:val="0"/>
          <w:iCs/>
          <w:sz w:val="21"/>
          <w:szCs w:val="21"/>
          <w:lang w:eastAsia="zh-CN"/>
        </w:rPr>
        <w:t xml:space="preserve"> Notes 2.1:</w:t>
      </w:r>
      <w:r>
        <w:rPr>
          <w:sz w:val="21"/>
          <w:szCs w:val="21"/>
        </w:rPr>
        <w:t xml:space="preserve"> </w:t>
      </w:r>
      <w:r>
        <w:rPr>
          <w:rFonts w:eastAsia="等线"/>
          <w:i w:val="0"/>
          <w:iCs/>
          <w:sz w:val="21"/>
          <w:szCs w:val="21"/>
          <w:lang w:eastAsia="zh-CN"/>
        </w:rPr>
        <w:t>Detailed behavioral analyses and microglial marker descriptions</w:t>
      </w:r>
    </w:p>
    <w:p w14:paraId="4C383BDB" w14:textId="77777777" w:rsidR="00210785" w:rsidRDefault="00000000">
      <w:pPr>
        <w:pStyle w:val="AuthorsFull"/>
        <w:spacing w:line="480" w:lineRule="auto"/>
        <w:ind w:left="880"/>
        <w:jc w:val="both"/>
        <w:rPr>
          <w:rFonts w:eastAsia="等线"/>
          <w:b/>
          <w:bCs/>
          <w:i w:val="0"/>
          <w:iCs/>
          <w:sz w:val="21"/>
          <w:szCs w:val="21"/>
          <w:lang w:eastAsia="zh-CN"/>
        </w:rPr>
      </w:pPr>
      <w:r>
        <w:rPr>
          <w:rFonts w:eastAsia="等线"/>
          <w:b/>
          <w:bCs/>
          <w:i w:val="0"/>
          <w:iCs/>
          <w:sz w:val="21"/>
          <w:szCs w:val="21"/>
          <w:lang w:eastAsia="zh-CN"/>
        </w:rPr>
        <w:t xml:space="preserve">Supplementary Notes 2.2: </w:t>
      </w:r>
      <w:r>
        <w:rPr>
          <w:rFonts w:eastAsia="等线"/>
          <w:i w:val="0"/>
          <w:iCs/>
          <w:sz w:val="21"/>
          <w:szCs w:val="21"/>
          <w:lang w:eastAsia="zh-CN"/>
        </w:rPr>
        <w:t>Detailed Metabolomic sequencing analysis</w:t>
      </w:r>
    </w:p>
    <w:p w14:paraId="245D1DD9" w14:textId="77777777" w:rsidR="00210785" w:rsidRDefault="00000000">
      <w:pPr>
        <w:pStyle w:val="AuthorsFull"/>
        <w:spacing w:line="480" w:lineRule="auto"/>
        <w:ind w:left="880"/>
        <w:jc w:val="both"/>
        <w:rPr>
          <w:rFonts w:eastAsia="等线"/>
          <w:i w:val="0"/>
          <w:iCs/>
          <w:sz w:val="21"/>
          <w:szCs w:val="21"/>
          <w:lang w:eastAsia="zh-CN"/>
        </w:rPr>
      </w:pPr>
      <w:r>
        <w:rPr>
          <w:rFonts w:eastAsia="等线"/>
          <w:b/>
          <w:bCs/>
          <w:i w:val="0"/>
          <w:iCs/>
          <w:sz w:val="21"/>
          <w:szCs w:val="21"/>
          <w:lang w:eastAsia="zh-CN"/>
        </w:rPr>
        <w:t>Supplementary</w:t>
      </w:r>
      <w:r>
        <w:rPr>
          <w:rFonts w:eastAsia="等线" w:hint="eastAsia"/>
          <w:b/>
          <w:bCs/>
          <w:i w:val="0"/>
          <w:iCs/>
          <w:sz w:val="21"/>
          <w:szCs w:val="21"/>
          <w:lang w:eastAsia="zh-CN"/>
        </w:rPr>
        <w:t xml:space="preserve"> Notes 2.3:</w:t>
      </w:r>
      <w:r>
        <w:rPr>
          <w:rFonts w:eastAsia="等线"/>
          <w:i w:val="0"/>
          <w:iCs/>
          <w:sz w:val="21"/>
          <w:szCs w:val="21"/>
          <w:lang w:eastAsia="zh-CN"/>
        </w:rPr>
        <w:t xml:space="preserve"> Detailed protocols for </w:t>
      </w:r>
      <w:r w:rsidRPr="00A135DE">
        <w:rPr>
          <w:rFonts w:eastAsia="等线"/>
          <w:i w:val="0"/>
          <w:iCs/>
          <w:sz w:val="21"/>
          <w:szCs w:val="21"/>
          <w:lang w:eastAsia="zh-CN"/>
        </w:rPr>
        <w:t>in vitro</w:t>
      </w:r>
      <w:r>
        <w:rPr>
          <w:rFonts w:eastAsia="等线"/>
          <w:i w:val="0"/>
          <w:iCs/>
          <w:sz w:val="21"/>
          <w:szCs w:val="21"/>
          <w:lang w:eastAsia="zh-CN"/>
        </w:rPr>
        <w:t xml:space="preserve"> model establishment and extended validation data</w:t>
      </w:r>
    </w:p>
    <w:p w14:paraId="234EC6C8" w14:textId="77777777" w:rsidR="00210785" w:rsidRDefault="00000000">
      <w:pPr>
        <w:pStyle w:val="AuthorsFull"/>
        <w:spacing w:line="480" w:lineRule="auto"/>
        <w:ind w:left="880"/>
        <w:jc w:val="both"/>
        <w:rPr>
          <w:rFonts w:eastAsia="等线"/>
          <w:i w:val="0"/>
          <w:iCs/>
          <w:sz w:val="21"/>
          <w:szCs w:val="21"/>
          <w:lang w:eastAsia="zh-CN"/>
        </w:rPr>
      </w:pPr>
      <w:r>
        <w:rPr>
          <w:rFonts w:eastAsia="等线"/>
          <w:b/>
          <w:bCs/>
          <w:i w:val="0"/>
          <w:iCs/>
          <w:sz w:val="21"/>
          <w:szCs w:val="21"/>
          <w:lang w:eastAsia="zh-CN"/>
        </w:rPr>
        <w:t>Supplementary</w:t>
      </w:r>
      <w:r>
        <w:rPr>
          <w:rFonts w:eastAsia="等线" w:hint="eastAsia"/>
          <w:b/>
          <w:bCs/>
          <w:i w:val="0"/>
          <w:iCs/>
          <w:sz w:val="21"/>
          <w:szCs w:val="21"/>
          <w:lang w:eastAsia="zh-CN"/>
        </w:rPr>
        <w:t xml:space="preserve"> Notes 2.4:</w:t>
      </w:r>
      <w:r>
        <w:rPr>
          <w:rFonts w:eastAsia="等线"/>
          <w:i w:val="0"/>
          <w:iCs/>
          <w:sz w:val="21"/>
          <w:szCs w:val="21"/>
          <w:lang w:eastAsia="zh-CN"/>
        </w:rPr>
        <w:t xml:space="preserve"> Complete dataset descriptions for the PI3K/Akt2 pathway inhibition experiments</w:t>
      </w:r>
    </w:p>
    <w:bookmarkEnd w:id="0"/>
    <w:p w14:paraId="202C9BEF" w14:textId="77777777" w:rsidR="00210785" w:rsidRDefault="00000000">
      <w:pPr>
        <w:pStyle w:val="AuthorsFull"/>
        <w:numPr>
          <w:ilvl w:val="0"/>
          <w:numId w:val="1"/>
        </w:numPr>
        <w:spacing w:line="480" w:lineRule="auto"/>
        <w:jc w:val="both"/>
        <w:rPr>
          <w:b/>
          <w:bCs/>
          <w:i w:val="0"/>
          <w:iCs/>
          <w:vertAlign w:val="superscript"/>
          <w:lang w:bidi="en-US"/>
        </w:rPr>
      </w:pPr>
      <w:r>
        <w:rPr>
          <w:b/>
          <w:bCs/>
          <w:i w:val="0"/>
          <w:iCs/>
        </w:rPr>
        <w:t xml:space="preserve">Supplementary Table </w:t>
      </w:r>
      <w:r>
        <w:rPr>
          <w:rFonts w:eastAsia="等线" w:hint="eastAsia"/>
          <w:b/>
          <w:bCs/>
          <w:i w:val="0"/>
          <w:iCs/>
          <w:lang w:eastAsia="zh-CN"/>
        </w:rPr>
        <w:t>S</w:t>
      </w:r>
      <w:r>
        <w:rPr>
          <w:b/>
          <w:bCs/>
          <w:i w:val="0"/>
          <w:iCs/>
        </w:rPr>
        <w:t>1.</w:t>
      </w:r>
    </w:p>
    <w:p w14:paraId="6A66D8EB" w14:textId="77777777" w:rsidR="00210785" w:rsidRDefault="00000000">
      <w:pPr>
        <w:pStyle w:val="AuthorsFull"/>
        <w:numPr>
          <w:ilvl w:val="0"/>
          <w:numId w:val="1"/>
        </w:numPr>
        <w:spacing w:line="480" w:lineRule="auto"/>
        <w:jc w:val="both"/>
        <w:rPr>
          <w:b/>
          <w:bCs/>
          <w:i w:val="0"/>
          <w:iCs/>
          <w:vertAlign w:val="superscript"/>
          <w:lang w:bidi="en-US"/>
        </w:rPr>
      </w:pPr>
      <w:r>
        <w:rPr>
          <w:rFonts w:eastAsia="等线" w:hint="eastAsia"/>
          <w:b/>
          <w:bCs/>
          <w:i w:val="0"/>
          <w:iCs/>
          <w:lang w:eastAsia="zh-CN"/>
        </w:rPr>
        <w:t>Supplementary Figures 1-14</w:t>
      </w:r>
      <w:r>
        <w:rPr>
          <w:rFonts w:eastAsia="等线"/>
          <w:b/>
          <w:bCs/>
          <w:iCs/>
          <w:lang w:eastAsia="zh-CN"/>
        </w:rPr>
        <w:br w:type="page"/>
      </w:r>
    </w:p>
    <w:p w14:paraId="069C98F3" w14:textId="77777777" w:rsidR="00210785" w:rsidRDefault="00000000">
      <w:pPr>
        <w:pStyle w:val="AuthorsFull"/>
        <w:spacing w:line="360" w:lineRule="auto"/>
        <w:jc w:val="both"/>
        <w:rPr>
          <w:rFonts w:eastAsia="等线"/>
          <w:b/>
          <w:bCs/>
          <w:i w:val="0"/>
          <w:iCs/>
          <w:lang w:eastAsia="zh-CN"/>
        </w:rPr>
      </w:pPr>
      <w:r>
        <w:rPr>
          <w:rFonts w:eastAsia="等线"/>
          <w:b/>
          <w:bCs/>
          <w:i w:val="0"/>
          <w:iCs/>
          <w:lang w:eastAsia="zh-CN"/>
        </w:rPr>
        <w:lastRenderedPageBreak/>
        <w:t xml:space="preserve">Supplementary </w:t>
      </w:r>
      <w:r>
        <w:rPr>
          <w:rFonts w:eastAsia="等线" w:hint="eastAsia"/>
          <w:b/>
          <w:bCs/>
          <w:i w:val="0"/>
          <w:iCs/>
          <w:lang w:eastAsia="zh-CN"/>
        </w:rPr>
        <w:t>N</w:t>
      </w:r>
      <w:r>
        <w:rPr>
          <w:rFonts w:eastAsia="等线"/>
          <w:b/>
          <w:bCs/>
          <w:i w:val="0"/>
          <w:iCs/>
          <w:lang w:eastAsia="zh-CN"/>
        </w:rPr>
        <w:t>otes</w:t>
      </w:r>
    </w:p>
    <w:p w14:paraId="40A45322" w14:textId="77777777" w:rsidR="00210785" w:rsidRDefault="00000000">
      <w:pPr>
        <w:spacing w:after="0" w:line="480" w:lineRule="auto"/>
        <w:rPr>
          <w:rFonts w:ascii="Times New Roman" w:eastAsia="等线" w:hAnsi="Times New Roman" w:cs="Times New Roman"/>
          <w:b/>
          <w:bCs/>
          <w:iCs/>
          <w:kern w:val="0"/>
          <w:lang w:eastAsia="zh-CN"/>
          <w14:ligatures w14:val="none"/>
        </w:rPr>
      </w:pPr>
      <w:r>
        <w:rPr>
          <w:rFonts w:ascii="Times New Roman" w:eastAsia="等线" w:hAnsi="Times New Roman" w:cs="Times New Roman"/>
          <w:b/>
          <w:bCs/>
          <w:iCs/>
          <w:kern w:val="0"/>
          <w:lang w:eastAsia="zh-CN"/>
          <w14:ligatures w14:val="none"/>
        </w:rPr>
        <w:t>Supplementary Notes 1: Detailed Methodology</w:t>
      </w:r>
    </w:p>
    <w:p w14:paraId="7B16034F" w14:textId="77777777" w:rsidR="00210785" w:rsidRDefault="00000000">
      <w:pPr>
        <w:spacing w:after="0" w:line="240" w:lineRule="auto"/>
        <w:rPr>
          <w:rFonts w:ascii="Times New Roman" w:eastAsia="等线" w:hAnsi="Times New Roman" w:cs="Times New Roman"/>
          <w:iCs/>
          <w:kern w:val="0"/>
          <w:lang w:eastAsia="zh-CN"/>
          <w14:ligatures w14:val="none"/>
        </w:rPr>
      </w:pPr>
      <w:r>
        <w:rPr>
          <w:rFonts w:ascii="Times New Roman" w:eastAsia="等线" w:hAnsi="Times New Roman" w:cs="Times New Roman"/>
          <w:b/>
          <w:bCs/>
          <w:iCs/>
          <w:kern w:val="0"/>
          <w:lang w:eastAsia="zh-CN"/>
          <w14:ligatures w14:val="none"/>
        </w:rPr>
        <w:t>Supplementary Notes 1.</w:t>
      </w:r>
      <w:r>
        <w:rPr>
          <w:rFonts w:ascii="Times New Roman" w:eastAsia="等线" w:hAnsi="Times New Roman" w:cs="Times New Roman" w:hint="eastAsia"/>
          <w:b/>
          <w:bCs/>
          <w:iCs/>
          <w:kern w:val="0"/>
          <w:lang w:eastAsia="zh-CN"/>
          <w14:ligatures w14:val="none"/>
        </w:rPr>
        <w:t>1</w:t>
      </w:r>
      <w:r>
        <w:rPr>
          <w:rFonts w:ascii="Times New Roman" w:eastAsia="等线" w:hAnsi="Times New Roman" w:cs="Times New Roman"/>
          <w:b/>
          <w:bCs/>
          <w:iCs/>
          <w:kern w:val="0"/>
          <w:lang w:eastAsia="zh-CN"/>
          <w14:ligatures w14:val="none"/>
        </w:rPr>
        <w:t xml:space="preserve">: </w:t>
      </w:r>
      <w:r>
        <w:rPr>
          <w:rFonts w:ascii="Times New Roman" w:eastAsia="等线" w:hAnsi="Times New Roman" w:cs="Times New Roman"/>
          <w:iCs/>
          <w:kern w:val="0"/>
          <w:lang w:eastAsia="zh-CN"/>
          <w14:ligatures w14:val="none"/>
        </w:rPr>
        <w:t>Experimental animal groups and drug treatment</w:t>
      </w:r>
    </w:p>
    <w:p w14:paraId="1689E43D" w14:textId="77777777" w:rsidR="00210785" w:rsidRDefault="00210785" w:rsidP="006864FD">
      <w:pPr>
        <w:spacing w:after="0" w:line="240" w:lineRule="auto"/>
        <w:jc w:val="both"/>
        <w:rPr>
          <w:rFonts w:ascii="Times New Roman" w:eastAsia="等线" w:hAnsi="Times New Roman" w:cs="Times New Roman"/>
          <w:i/>
          <w:kern w:val="0"/>
          <w:szCs w:val="20"/>
          <w:lang w:eastAsia="zh-CN"/>
          <w14:ligatures w14:val="none"/>
        </w:rPr>
      </w:pPr>
    </w:p>
    <w:p w14:paraId="4305B96C" w14:textId="29BC300E" w:rsidR="00210785" w:rsidRDefault="00000000">
      <w:pPr>
        <w:spacing w:after="0" w:line="480" w:lineRule="auto"/>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i/>
          <w:kern w:val="0"/>
          <w:lang w:eastAsia="zh-CN"/>
          <w14:ligatures w14:val="none"/>
        </w:rPr>
        <w:t xml:space="preserve">Experiment 1 (evaluating phenotypic changes in cognitive impairment in TN rats): </w:t>
      </w:r>
      <w:r>
        <w:rPr>
          <w:rFonts w:ascii="Times New Roman" w:eastAsia="Times New Roman" w:hAnsi="Times New Roman" w:cs="Times New Roman"/>
          <w:kern w:val="0"/>
          <w:lang w:eastAsia="zh-CN"/>
          <w14:ligatures w14:val="none"/>
        </w:rPr>
        <w:t>Sixty-four rats were randomly assigned to the Sham or dION-CCI group. In the Sham group, the right infraorbital nerve was exposed without ligation. In the dION-CCI group, TN model induction was performed through dION-CCI surgery, and the rats were further divided into 7-, 14-, and 28-day subgroups. The dION-CCI 7- and 14-day groups (</w:t>
      </w:r>
      <w:r w:rsidRPr="0080200E">
        <w:rPr>
          <w:rFonts w:ascii="Times New Roman" w:eastAsia="Times New Roman" w:hAnsi="Times New Roman" w:cs="Times New Roman"/>
          <w:i/>
          <w:iCs/>
          <w:kern w:val="0"/>
          <w:lang w:eastAsia="zh-CN"/>
          <w14:ligatures w14:val="none"/>
        </w:rPr>
        <w:t>n</w:t>
      </w:r>
      <w:r w:rsidR="0080200E">
        <w:rPr>
          <w:rFonts w:ascii="Times New Roman" w:eastAsia="等线" w:hAnsi="Times New Roman" w:cs="Times New Roman" w:hint="eastAsia"/>
          <w:i/>
          <w:iCs/>
          <w:kern w:val="0"/>
          <w:lang w:eastAsia="zh-CN"/>
          <w14:ligatures w14:val="none"/>
        </w:rPr>
        <w:t xml:space="preserve"> </w:t>
      </w:r>
      <w:r>
        <w:rPr>
          <w:rFonts w:ascii="Times New Roman" w:eastAsia="Times New Roman" w:hAnsi="Times New Roman" w:cs="Times New Roman"/>
          <w:kern w:val="0"/>
          <w:lang w:eastAsia="zh-CN"/>
          <w14:ligatures w14:val="none"/>
        </w:rPr>
        <w:t>=</w:t>
      </w:r>
      <w:r w:rsidR="0080200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7 each) were used for immunofluorescence and western blotting. The Sham and dION-CCI 28-day groups (</w:t>
      </w:r>
      <w:r w:rsidRPr="00A135DE">
        <w:rPr>
          <w:rFonts w:ascii="Times New Roman" w:eastAsia="Times New Roman" w:hAnsi="Times New Roman" w:cs="Times New Roman"/>
          <w:i/>
          <w:iCs/>
          <w:kern w:val="0"/>
          <w:lang w:eastAsia="zh-CN"/>
          <w14:ligatures w14:val="none"/>
        </w:rPr>
        <w:t>n</w:t>
      </w:r>
      <w:r w:rsidR="00A135DE">
        <w:rPr>
          <w:rFonts w:ascii="Times New Roman" w:eastAsia="等线" w:hAnsi="Times New Roman" w:cs="Times New Roman" w:hint="eastAsia"/>
          <w:i/>
          <w:iCs/>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23 each) were further allocated as follows: nine rats were used for transcriptomic and metabolomic sequencing, seven rats for real-time quantitative polymerase chain reaction (RT-qPCR) and western blotting, and nine for immunofluorescence and transmission electron microscopy (TEM). Details of behavioral tests and sample collection are shown in Figure S1.</w:t>
      </w:r>
    </w:p>
    <w:p w14:paraId="4DA74617" w14:textId="5882CE17" w:rsidR="00210785" w:rsidRDefault="00000000">
      <w:pPr>
        <w:spacing w:after="0" w:line="480" w:lineRule="auto"/>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i/>
          <w:kern w:val="0"/>
          <w:lang w:eastAsia="zh-CN"/>
          <w14:ligatures w14:val="none"/>
        </w:rPr>
        <w:t xml:space="preserve">Experiment 2 (evaluating the efficacy of Nr4a1-targeted interventions within microglia): </w:t>
      </w:r>
      <w:r>
        <w:rPr>
          <w:rFonts w:ascii="Times New Roman" w:eastAsia="Times New Roman" w:hAnsi="Times New Roman" w:cs="Times New Roman"/>
          <w:kern w:val="0"/>
          <w:lang w:eastAsia="zh-CN"/>
          <w14:ligatures w14:val="none"/>
        </w:rPr>
        <w:t>Seventy-two rats were randomly assigned to four groups (</w:t>
      </w:r>
      <w:r w:rsidRPr="00A135DE">
        <w:rPr>
          <w:rFonts w:ascii="Times New Roman" w:eastAsia="Times New Roman" w:hAnsi="Times New Roman" w:cs="Times New Roman"/>
          <w:i/>
          <w:iCs/>
          <w:kern w:val="0"/>
          <w:lang w:eastAsia="zh-CN"/>
          <w14:ligatures w14:val="none"/>
        </w:rPr>
        <w:t>n</w:t>
      </w:r>
      <w:r w:rsidR="00A135DE">
        <w:rPr>
          <w:rFonts w:ascii="Times New Roman" w:eastAsia="等线" w:hAnsi="Times New Roman" w:cs="Times New Roman" w:hint="eastAsia"/>
          <w:i/>
          <w:iCs/>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18 per group), namely, Sham</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AAV⁻ (stereotactic injection of empty AAV into the hippocampus), dION-CCI</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AAV⁻ (TN model with empty AAV injection), Sham</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 xml:space="preserve">AAV⁺ (Sham rats injected with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-overexpressing AAV), and dION-CCI</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 xml:space="preserve">AAV⁺ (TN model injected with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-overexpressing AAV). Within each group, six rats were used for western blotting, and the remaining 12 were used for immunofluorescence, TEM, and Golgi staining (Figure S1).</w:t>
      </w:r>
    </w:p>
    <w:p w14:paraId="2538C2BD" w14:textId="67F2DF34" w:rsidR="00210785" w:rsidRDefault="00000000">
      <w:pPr>
        <w:spacing w:after="0" w:line="480" w:lineRule="auto"/>
        <w:jc w:val="both"/>
        <w:rPr>
          <w:rFonts w:ascii="Times New Roman" w:eastAsia="等线" w:hAnsi="Times New Roman" w:cs="Times New Roman"/>
          <w:kern w:val="0"/>
          <w:lang w:eastAsia="zh-CN"/>
          <w14:ligatures w14:val="none"/>
        </w:rPr>
      </w:pPr>
      <w:r>
        <w:rPr>
          <w:rFonts w:ascii="Times New Roman" w:eastAsia="Times New Roman" w:hAnsi="Times New Roman" w:cs="Times New Roman"/>
          <w:i/>
          <w:kern w:val="0"/>
          <w:lang w:eastAsia="zh-CN"/>
          <w14:ligatures w14:val="none"/>
        </w:rPr>
        <w:t xml:space="preserve">Experiment 3 (Pharmacological inhibition of the PI3K/Akt2 pathway): </w:t>
      </w:r>
      <w:r>
        <w:rPr>
          <w:rFonts w:ascii="Times New Roman" w:eastAsia="Times New Roman" w:hAnsi="Times New Roman" w:cs="Times New Roman"/>
          <w:iCs/>
          <w:kern w:val="0"/>
          <w:lang w:eastAsia="zh-CN"/>
          <w14:ligatures w14:val="none"/>
        </w:rPr>
        <w:t>To mechanistically interrogate the PI3K/Akt2 pathway, eighty rats were randomly allocated into five groups (</w:t>
      </w:r>
      <w:r w:rsidRPr="00A135DE">
        <w:rPr>
          <w:rFonts w:ascii="Times New Roman" w:eastAsia="Times New Roman" w:hAnsi="Times New Roman" w:cs="Times New Roman"/>
          <w:i/>
          <w:kern w:val="0"/>
          <w:lang w:eastAsia="zh-CN"/>
          <w14:ligatures w14:val="none"/>
        </w:rPr>
        <w:t>n</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16 per group): Sham</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AAV⁻, dION-CCI</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AAV⁻, dION-CCI</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AAV⁺, dION-CCI</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AAV⁺</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LY294002, and dION-CCI</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AAV⁺</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w:t>
      </w:r>
      <w:r w:rsidR="00A135DE">
        <w:rPr>
          <w:rFonts w:ascii="Times New Roman" w:eastAsia="等线" w:hAnsi="Times New Roman" w:cs="Times New Roman" w:hint="eastAsia"/>
          <w:iCs/>
          <w:kern w:val="0"/>
          <w:lang w:eastAsia="zh-CN"/>
          <w14:ligatures w14:val="none"/>
        </w:rPr>
        <w:t xml:space="preserve"> </w:t>
      </w:r>
      <w:r>
        <w:rPr>
          <w:rFonts w:ascii="Times New Roman" w:eastAsia="Times New Roman" w:hAnsi="Times New Roman" w:cs="Times New Roman"/>
          <w:iCs/>
          <w:kern w:val="0"/>
          <w:lang w:eastAsia="zh-CN"/>
          <w14:ligatures w14:val="none"/>
        </w:rPr>
        <w:t xml:space="preserve">MK-2206. Rats in the inhibitor groups received the PI3K </w:t>
      </w:r>
      <w:r>
        <w:rPr>
          <w:rFonts w:ascii="Times New Roman" w:eastAsia="Times New Roman" w:hAnsi="Times New Roman" w:cs="Times New Roman"/>
          <w:iCs/>
          <w:kern w:val="0"/>
          <w:lang w:eastAsia="zh-CN"/>
          <w14:ligatures w14:val="none"/>
        </w:rPr>
        <w:lastRenderedPageBreak/>
        <w:t xml:space="preserve">inhibitor LY294002 (1.2 mg/kg/day, i.p. for 14 days) or the Akt2 inhibitor MK-2206 (100 mg/kg/day, i.p. for 5 days). These distinct regimens—selected based on established protocols for sustained pathway inhibition (LY294002) or rapid, potent target suppression (MK-2206)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{"citationID":"TesmlMJX","properties":{"formattedCitation":"[1\\uc0\\u8211{}4]","plainCitation":"[1–4]","noteIndex":0},"citationItems":[{"id":14369,"uris":["http://zotero.org/users/9311172/items/AHSAYZJY"],"itemData":{"id":14369,"type":"article-journal","abstract":"This paper aims to clarify the effect of Undercarboxylated osteocalcin (ucOC) on cognitive function in rats with type 2 diabetes mellitus (T2DM). This research reviewed the cognitive function of 35 diabetic patients, 33 non-diabetic patients and the serum levels of Undercarboxylated osteocalcin (ucOC) in patients. What's more, we analyzed the correlation between serum ucOC levels and cognitive function. Diabetic rats were treated with high (30 μg·kg-1·d-1) and low (10 μg·kg-1·d-1) doses of ucOC to investigate its effects in regulating ucOC on blood lipid, blood glucose and cognitive function. We systematically detected the phosphorylation levels of cognitive level-related proteins (PI3K, AKT, and GSK/3β) in the hippocampus by Western Blot. Finally, PI3K-Akt pathway involved in regulating cognitive function in diabetic rats by ucOC was verified with AKT pathway inhibitor LY294002. MoCA score and serum ucOC levels were significantly reduced in patients with diabetes mellitus. ucOC could concentration-dose-dependently decrease the blood glucose and lipid levels, and improve glucose metabolism and weaken insulin resistance in diabetic rats (P &lt; 0.001). In addition, escape latency in diabetic rats was significantly higher than that of normal rats in the Morris maze test, and ucOC dose-dependently shortened the escape latency in diabetic rats (all with P &lt; 0.05). After using AKT pathway inhibitor, ucOC failed to shorten the escape latency in diabetic rats. In conclusion, this study explored the relevant mechanisms in inducing cognitive dysfunction of T2DM, suggesting the potential value of ucOC as a drug to improve cognitive dysfunction in patients with T2DM in clinical.\n\n</w:instrText>
      </w:r>
      <w:r>
        <w:rPr>
          <w:rFonts w:ascii="Times New Roman" w:eastAsia="宋体" w:hAnsi="Times New Roman" w:cs="Times New Roman"/>
          <w:kern w:val="0"/>
          <w14:ligatures w14:val="none"/>
        </w:rPr>
        <w:instrText>【摘要翻译】本文旨在阐明低羧化骨钙素</w:instrText>
      </w:r>
      <w:r>
        <w:rPr>
          <w:rFonts w:ascii="Times New Roman" w:eastAsia="宋体" w:hAnsi="Times New Roman" w:cs="Times New Roman"/>
          <w:kern w:val="0"/>
          <w14:ligatures w14:val="none"/>
        </w:rPr>
        <w:instrText>(ucOC)</w:instrText>
      </w:r>
      <w:r>
        <w:rPr>
          <w:rFonts w:ascii="Times New Roman" w:eastAsia="宋体" w:hAnsi="Times New Roman" w:cs="Times New Roman"/>
          <w:kern w:val="0"/>
          <w14:ligatures w14:val="none"/>
        </w:rPr>
        <w:instrText>对</w:instrText>
      </w:r>
      <w:r>
        <w:rPr>
          <w:rFonts w:ascii="Times New Roman" w:eastAsia="宋体" w:hAnsi="Times New Roman" w:cs="Times New Roman"/>
          <w:kern w:val="0"/>
          <w14:ligatures w14:val="none"/>
        </w:rPr>
        <w:instrText>2</w:instrText>
      </w:r>
      <w:r>
        <w:rPr>
          <w:rFonts w:ascii="Times New Roman" w:eastAsia="宋体" w:hAnsi="Times New Roman" w:cs="Times New Roman"/>
          <w:kern w:val="0"/>
          <w14:ligatures w14:val="none"/>
        </w:rPr>
        <w:instrText>型糖尿病</w:instrText>
      </w:r>
      <w:r>
        <w:rPr>
          <w:rFonts w:ascii="Times New Roman" w:eastAsia="宋体" w:hAnsi="Times New Roman" w:cs="Times New Roman"/>
          <w:kern w:val="0"/>
          <w14:ligatures w14:val="none"/>
        </w:rPr>
        <w:instrText>(t2DM)</w:instrText>
      </w:r>
      <w:r>
        <w:rPr>
          <w:rFonts w:ascii="Times New Roman" w:eastAsia="宋体" w:hAnsi="Times New Roman" w:cs="Times New Roman"/>
          <w:kern w:val="0"/>
          <w14:ligatures w14:val="none"/>
        </w:rPr>
        <w:instrText>大鼠认知功能的影响。本研究对</w:instrText>
      </w:r>
      <w:r>
        <w:rPr>
          <w:rFonts w:ascii="Times New Roman" w:eastAsia="宋体" w:hAnsi="Times New Roman" w:cs="Times New Roman"/>
          <w:kern w:val="0"/>
          <w14:ligatures w14:val="none"/>
        </w:rPr>
        <w:instrText>35</w:instrText>
      </w:r>
      <w:r>
        <w:rPr>
          <w:rFonts w:ascii="Times New Roman" w:eastAsia="宋体" w:hAnsi="Times New Roman" w:cs="Times New Roman"/>
          <w:kern w:val="0"/>
          <w14:ligatures w14:val="none"/>
        </w:rPr>
        <w:instrText>例糖尿病患者、</w:instrText>
      </w:r>
      <w:r>
        <w:rPr>
          <w:rFonts w:ascii="Times New Roman" w:eastAsia="宋体" w:hAnsi="Times New Roman" w:cs="Times New Roman"/>
          <w:kern w:val="0"/>
          <w14:ligatures w14:val="none"/>
        </w:rPr>
        <w:instrText>33</w:instrText>
      </w:r>
      <w:r>
        <w:rPr>
          <w:rFonts w:ascii="Times New Roman" w:eastAsia="宋体" w:hAnsi="Times New Roman" w:cs="Times New Roman"/>
          <w:kern w:val="0"/>
          <w14:ligatures w14:val="none"/>
        </w:rPr>
        <w:instrText>例非糖尿病患者的认知功能及糖尿病患者血清低羧酸化骨钙素</w:instrText>
      </w:r>
      <w:r>
        <w:rPr>
          <w:rFonts w:ascii="Times New Roman" w:eastAsia="宋体" w:hAnsi="Times New Roman" w:cs="Times New Roman"/>
          <w:kern w:val="0"/>
          <w14:ligatures w14:val="none"/>
        </w:rPr>
        <w:instrText>(ucOC)</w:instrText>
      </w:r>
      <w:r>
        <w:rPr>
          <w:rFonts w:ascii="Times New Roman" w:eastAsia="宋体" w:hAnsi="Times New Roman" w:cs="Times New Roman"/>
          <w:kern w:val="0"/>
          <w14:ligatures w14:val="none"/>
        </w:rPr>
        <w:instrText>水平进行了回顾性研究。此外，我们还分析了血清</w:instrText>
      </w:r>
      <w:r>
        <w:rPr>
          <w:rFonts w:ascii="Times New Roman" w:eastAsia="宋体" w:hAnsi="Times New Roman" w:cs="Times New Roman"/>
          <w:kern w:val="0"/>
          <w14:ligatures w14:val="none"/>
        </w:rPr>
        <w:instrText xml:space="preserve"> ucOC </w:instrText>
      </w:r>
      <w:r>
        <w:rPr>
          <w:rFonts w:ascii="Times New Roman" w:eastAsia="宋体" w:hAnsi="Times New Roman" w:cs="Times New Roman"/>
          <w:kern w:val="0"/>
          <w14:ligatures w14:val="none"/>
        </w:rPr>
        <w:instrText>水平与认知功能的相关性。采用高</w:instrText>
      </w:r>
      <w:r>
        <w:rPr>
          <w:rFonts w:ascii="Times New Roman" w:eastAsia="宋体" w:hAnsi="Times New Roman" w:cs="Times New Roman"/>
          <w:kern w:val="0"/>
          <w14:ligatures w14:val="none"/>
        </w:rPr>
        <w:instrText>(30μg · kg-1 · d-1)</w:instrText>
      </w:r>
      <w:r>
        <w:rPr>
          <w:rFonts w:ascii="Times New Roman" w:eastAsia="宋体" w:hAnsi="Times New Roman" w:cs="Times New Roman"/>
          <w:kern w:val="0"/>
          <w14:ligatures w14:val="none"/>
        </w:rPr>
        <w:instrText>和低</w:instrText>
      </w:r>
      <w:r>
        <w:rPr>
          <w:rFonts w:ascii="Times New Roman" w:eastAsia="宋体" w:hAnsi="Times New Roman" w:cs="Times New Roman"/>
          <w:kern w:val="0"/>
          <w14:ligatures w14:val="none"/>
        </w:rPr>
        <w:instrText>(10μg · kg-1 · d-1)</w:instrText>
      </w:r>
      <w:r>
        <w:rPr>
          <w:rFonts w:ascii="Times New Roman" w:eastAsia="宋体" w:hAnsi="Times New Roman" w:cs="Times New Roman"/>
          <w:kern w:val="0"/>
          <w14:ligatures w14:val="none"/>
        </w:rPr>
        <w:instrText>剂量的</w:instrText>
      </w:r>
      <w:r>
        <w:rPr>
          <w:rFonts w:ascii="Times New Roman" w:eastAsia="宋体" w:hAnsi="Times New Roman" w:cs="Times New Roman"/>
          <w:kern w:val="0"/>
          <w14:ligatures w14:val="none"/>
        </w:rPr>
        <w:instrText xml:space="preserve"> ucOC </w:instrText>
      </w:r>
      <w:r>
        <w:rPr>
          <w:rFonts w:ascii="Times New Roman" w:eastAsia="宋体" w:hAnsi="Times New Roman" w:cs="Times New Roman"/>
          <w:kern w:val="0"/>
          <w14:ligatures w14:val="none"/>
        </w:rPr>
        <w:instrText>治疗糖尿病大鼠，观察其对血脂、血糖和认知功能的调节作用。我们系统地检测了</w:instrText>
      </w:r>
      <w:r>
        <w:rPr>
          <w:rFonts w:ascii="Times New Roman" w:eastAsia="宋体" w:hAnsi="Times New Roman" w:cs="Times New Roman"/>
          <w:kern w:val="0"/>
          <w14:ligatures w14:val="none"/>
        </w:rPr>
        <w:instrText xml:space="preserve"> Western Blot </w:instrText>
      </w:r>
      <w:r>
        <w:rPr>
          <w:rFonts w:ascii="Times New Roman" w:eastAsia="宋体" w:hAnsi="Times New Roman" w:cs="Times New Roman"/>
          <w:kern w:val="0"/>
          <w14:ligatures w14:val="none"/>
        </w:rPr>
        <w:instrText>大鼠海马中认知水平相关蛋白</w:instrText>
      </w:r>
      <w:r>
        <w:rPr>
          <w:rFonts w:ascii="Times New Roman" w:eastAsia="宋体" w:hAnsi="Times New Roman" w:cs="Times New Roman"/>
          <w:kern w:val="0"/>
          <w14:ligatures w14:val="none"/>
        </w:rPr>
        <w:instrText>(PI3K</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AKT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GSK/3β)</w:instrText>
      </w:r>
      <w:r>
        <w:rPr>
          <w:rFonts w:ascii="Times New Roman" w:eastAsia="宋体" w:hAnsi="Times New Roman" w:cs="Times New Roman"/>
          <w:kern w:val="0"/>
          <w14:ligatures w14:val="none"/>
        </w:rPr>
        <w:instrText>的磷酸化水平。最后，用</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通路抑制剂</w:instrText>
      </w:r>
      <w:r>
        <w:rPr>
          <w:rFonts w:ascii="Times New Roman" w:eastAsia="宋体" w:hAnsi="Times New Roman" w:cs="Times New Roman"/>
          <w:kern w:val="0"/>
          <w14:ligatures w14:val="none"/>
        </w:rPr>
        <w:instrText xml:space="preserve"> LY294002</w:instrText>
      </w:r>
      <w:r>
        <w:rPr>
          <w:rFonts w:ascii="Times New Roman" w:eastAsia="宋体" w:hAnsi="Times New Roman" w:cs="Times New Roman"/>
          <w:kern w:val="0"/>
          <w14:ligatures w14:val="none"/>
        </w:rPr>
        <w:instrText>对</w:instrText>
      </w:r>
      <w:r>
        <w:rPr>
          <w:rFonts w:ascii="Times New Roman" w:eastAsia="宋体" w:hAnsi="Times New Roman" w:cs="Times New Roman"/>
          <w:kern w:val="0"/>
          <w14:ligatures w14:val="none"/>
        </w:rPr>
        <w:instrText xml:space="preserve"> ucOC </w:instrText>
      </w:r>
      <w:r>
        <w:rPr>
          <w:rFonts w:ascii="Times New Roman" w:eastAsia="宋体" w:hAnsi="Times New Roman" w:cs="Times New Roman"/>
          <w:kern w:val="0"/>
          <w14:ligatures w14:val="none"/>
        </w:rPr>
        <w:instrText>参与糖尿病大鼠认知功能调节的</w:instrText>
      </w:r>
      <w:r>
        <w:rPr>
          <w:rFonts w:ascii="Times New Roman" w:eastAsia="宋体" w:hAnsi="Times New Roman" w:cs="Times New Roman"/>
          <w:kern w:val="0"/>
          <w14:ligatures w14:val="none"/>
        </w:rPr>
        <w:instrText xml:space="preserve"> PI3K-AKT </w:instrText>
      </w:r>
      <w:r>
        <w:rPr>
          <w:rFonts w:ascii="Times New Roman" w:eastAsia="宋体" w:hAnsi="Times New Roman" w:cs="Times New Roman"/>
          <w:kern w:val="0"/>
          <w14:ligatures w14:val="none"/>
        </w:rPr>
        <w:instrText>通路进行了验证。糖尿病患者的</w:instrText>
      </w:r>
      <w:r>
        <w:rPr>
          <w:rFonts w:ascii="Times New Roman" w:eastAsia="宋体" w:hAnsi="Times New Roman" w:cs="Times New Roman"/>
          <w:kern w:val="0"/>
          <w14:ligatures w14:val="none"/>
        </w:rPr>
        <w:instrText xml:space="preserve"> MoCA </w:instrText>
      </w:r>
      <w:r>
        <w:rPr>
          <w:rFonts w:ascii="Times New Roman" w:eastAsia="宋体" w:hAnsi="Times New Roman" w:cs="Times New Roman"/>
          <w:kern w:val="0"/>
          <w14:ligatures w14:val="none"/>
        </w:rPr>
        <w:instrText>评分和血清</w:instrText>
      </w:r>
      <w:r>
        <w:rPr>
          <w:rFonts w:ascii="Times New Roman" w:eastAsia="宋体" w:hAnsi="Times New Roman" w:cs="Times New Roman"/>
          <w:kern w:val="0"/>
          <w14:ligatures w14:val="none"/>
        </w:rPr>
        <w:instrText xml:space="preserve"> ucOC </w:instrText>
      </w:r>
      <w:r>
        <w:rPr>
          <w:rFonts w:ascii="Times New Roman" w:eastAsia="宋体" w:hAnsi="Times New Roman" w:cs="Times New Roman"/>
          <w:kern w:val="0"/>
          <w14:ligatures w14:val="none"/>
        </w:rPr>
        <w:instrText>水平显著降低。</w:instrText>
      </w:r>
      <w:r>
        <w:rPr>
          <w:rFonts w:ascii="Times New Roman" w:eastAsia="宋体" w:hAnsi="Times New Roman" w:cs="Times New Roman"/>
          <w:kern w:val="0"/>
          <w14:ligatures w14:val="none"/>
        </w:rPr>
        <w:instrText xml:space="preserve">UcOC </w:instrText>
      </w:r>
      <w:r>
        <w:rPr>
          <w:rFonts w:ascii="Times New Roman" w:eastAsia="宋体" w:hAnsi="Times New Roman" w:cs="Times New Roman"/>
          <w:kern w:val="0"/>
          <w14:ligatures w14:val="none"/>
        </w:rPr>
        <w:instrText>可浓度</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剂量依赖性降低糖尿病大鼠血糖、血脂水平，改善糖代谢，降低胰岛素抵抗</w:instrText>
      </w:r>
      <w:r>
        <w:rPr>
          <w:rFonts w:ascii="Times New Roman" w:eastAsia="宋体" w:hAnsi="Times New Roman" w:cs="Times New Roman"/>
          <w:kern w:val="0"/>
          <w14:ligatures w14:val="none"/>
        </w:rPr>
        <w:instrText>(P &lt; 0.001)</w:instrText>
      </w:r>
      <w:r>
        <w:rPr>
          <w:rFonts w:ascii="Times New Roman" w:eastAsia="宋体" w:hAnsi="Times New Roman" w:cs="Times New Roman"/>
          <w:kern w:val="0"/>
          <w14:ligatures w14:val="none"/>
        </w:rPr>
        <w:instrText>。此外，在</w:instrText>
      </w:r>
      <w:r>
        <w:rPr>
          <w:rFonts w:ascii="Times New Roman" w:eastAsia="宋体" w:hAnsi="Times New Roman" w:cs="Times New Roman"/>
          <w:kern w:val="0"/>
          <w14:ligatures w14:val="none"/>
        </w:rPr>
        <w:instrText xml:space="preserve"> Morris </w:instrText>
      </w:r>
      <w:r>
        <w:rPr>
          <w:rFonts w:ascii="Times New Roman" w:eastAsia="宋体" w:hAnsi="Times New Roman" w:cs="Times New Roman"/>
          <w:kern w:val="0"/>
          <w14:ligatures w14:val="none"/>
        </w:rPr>
        <w:instrText>迷宫实验中，糖尿病大鼠逃逸潜伏期显著高于正常大鼠，</w:instrText>
      </w:r>
      <w:r>
        <w:rPr>
          <w:rFonts w:ascii="Times New Roman" w:eastAsia="宋体" w:hAnsi="Times New Roman" w:cs="Times New Roman"/>
          <w:kern w:val="0"/>
          <w14:ligatures w14:val="none"/>
        </w:rPr>
        <w:instrText xml:space="preserve">ucOC </w:instrText>
      </w:r>
      <w:r>
        <w:rPr>
          <w:rFonts w:ascii="Times New Roman" w:eastAsia="宋体" w:hAnsi="Times New Roman" w:cs="Times New Roman"/>
          <w:kern w:val="0"/>
          <w14:ligatures w14:val="none"/>
        </w:rPr>
        <w:instrText>剂量依赖性地缩短了糖尿病大鼠的逃逸潜伏期</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均</w:instrText>
      </w:r>
      <w:r>
        <w:rPr>
          <w:rFonts w:ascii="Times New Roman" w:eastAsia="宋体" w:hAnsi="Times New Roman" w:cs="Times New Roman"/>
          <w:kern w:val="0"/>
          <w14:ligatures w14:val="none"/>
        </w:rPr>
        <w:instrText xml:space="preserve"> P &lt; 0.05)</w:instrText>
      </w:r>
      <w:r>
        <w:rPr>
          <w:rFonts w:ascii="Times New Roman" w:eastAsia="宋体" w:hAnsi="Times New Roman" w:cs="Times New Roman"/>
          <w:kern w:val="0"/>
          <w14:ligatures w14:val="none"/>
        </w:rPr>
        <w:instrText>。在使用</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途径抑制剂后，</w:instrText>
      </w:r>
      <w:r>
        <w:rPr>
          <w:rFonts w:ascii="Times New Roman" w:eastAsia="宋体" w:hAnsi="Times New Roman" w:cs="Times New Roman"/>
          <w:kern w:val="0"/>
          <w14:ligatures w14:val="none"/>
        </w:rPr>
        <w:instrText xml:space="preserve">ucOC </w:instrText>
      </w:r>
      <w:r>
        <w:rPr>
          <w:rFonts w:ascii="Times New Roman" w:eastAsia="宋体" w:hAnsi="Times New Roman" w:cs="Times New Roman"/>
          <w:kern w:val="0"/>
          <w14:ligatures w14:val="none"/>
        </w:rPr>
        <w:instrText>未能缩短糖尿病大鼠的逃逸潜伏期。总之，本研究探讨了诱导</w:instrText>
      </w:r>
      <w:r>
        <w:rPr>
          <w:rFonts w:ascii="Times New Roman" w:eastAsia="宋体" w:hAnsi="Times New Roman" w:cs="Times New Roman"/>
          <w:kern w:val="0"/>
          <w14:ligatures w14:val="none"/>
        </w:rPr>
        <w:instrText>2</w:instrText>
      </w:r>
      <w:r>
        <w:rPr>
          <w:rFonts w:ascii="Times New Roman" w:eastAsia="宋体" w:hAnsi="Times New Roman" w:cs="Times New Roman"/>
          <w:kern w:val="0"/>
          <w14:ligatures w14:val="none"/>
        </w:rPr>
        <w:instrText>型糖尿病患者认知功能障碍的相关机制，提示</w:instrText>
      </w:r>
      <w:r>
        <w:rPr>
          <w:rFonts w:ascii="Times New Roman" w:eastAsia="宋体" w:hAnsi="Times New Roman" w:cs="Times New Roman"/>
          <w:kern w:val="0"/>
          <w14:ligatures w14:val="none"/>
        </w:rPr>
        <w:instrText xml:space="preserve"> ucOC </w:instrText>
      </w:r>
      <w:r>
        <w:rPr>
          <w:rFonts w:ascii="Times New Roman" w:eastAsia="宋体" w:hAnsi="Times New Roman" w:cs="Times New Roman"/>
          <w:kern w:val="0"/>
          <w14:ligatures w14:val="none"/>
        </w:rPr>
        <w:instrText>作为改善</w:instrText>
      </w:r>
      <w:r>
        <w:rPr>
          <w:rFonts w:ascii="Times New Roman" w:eastAsia="宋体" w:hAnsi="Times New Roman" w:cs="Times New Roman"/>
          <w:kern w:val="0"/>
          <w14:ligatures w14:val="none"/>
        </w:rPr>
        <w:instrText>2</w:instrText>
      </w:r>
      <w:r>
        <w:rPr>
          <w:rFonts w:ascii="Times New Roman" w:eastAsia="宋体" w:hAnsi="Times New Roman" w:cs="Times New Roman"/>
          <w:kern w:val="0"/>
          <w14:ligatures w14:val="none"/>
        </w:rPr>
        <w:instrText>型糖尿病患者认知功能障碍的药物在临床上的潜在价值。</w:instrText>
      </w:r>
      <w:r>
        <w:rPr>
          <w:rFonts w:ascii="Times New Roman" w:eastAsia="宋体" w:hAnsi="Times New Roman" w:cs="Times New Roman"/>
          <w:kern w:val="0"/>
          <w14:ligatures w14:val="none"/>
        </w:rPr>
        <w:instrText xml:space="preserve">","archive_location":"1 citation(s)","call-number":"3","container-title":"Biotechnology and Genetic Engineering Reviews","DOI":"10.1080/02648725.2023.2199238","ISSN":"0264-8725","issue":"3","journalAbbreviation":"Biotechnology and Genetic Engineering Reviews","language":"en","license":"1.2 mg·kg-1·d-1","note":"TLDR: The relevant mechanisms in inducing cognitive dysfunction of T2DM are explored, suggesting the potential value of ucOC as a drug to improve cognitive dysfunction in patients with T2 DM in clinical.\ntitleTranslation: </w:instrText>
      </w:r>
      <w:r>
        <w:rPr>
          <w:rFonts w:ascii="Times New Roman" w:eastAsia="宋体" w:hAnsi="Times New Roman" w:cs="Times New Roman"/>
          <w:kern w:val="0"/>
          <w14:ligatures w14:val="none"/>
        </w:rPr>
        <w:instrText>低羧化骨钙素通过调节</w:instrText>
      </w:r>
      <w:r>
        <w:rPr>
          <w:rFonts w:ascii="Times New Roman" w:eastAsia="宋体" w:hAnsi="Times New Roman" w:cs="Times New Roman"/>
          <w:kern w:val="0"/>
          <w14:ligatures w14:val="none"/>
        </w:rPr>
        <w:instrText>PI3K-AKT-GSK/3 β</w:instrText>
      </w:r>
      <w:r>
        <w:rPr>
          <w:rFonts w:ascii="Times New Roman" w:eastAsia="宋体" w:hAnsi="Times New Roman" w:cs="Times New Roman"/>
          <w:kern w:val="0"/>
          <w14:ligatures w14:val="none"/>
        </w:rPr>
        <w:instrText>信号通路改善</w:instrText>
      </w:r>
      <w:r>
        <w:rPr>
          <w:rFonts w:ascii="Times New Roman" w:eastAsia="宋体" w:hAnsi="Times New Roman" w:cs="Times New Roman"/>
          <w:kern w:val="0"/>
          <w14:ligatures w14:val="none"/>
        </w:rPr>
        <w:instrText>2</w:instrText>
      </w:r>
      <w:r>
        <w:rPr>
          <w:rFonts w:ascii="Times New Roman" w:eastAsia="宋体" w:hAnsi="Times New Roman" w:cs="Times New Roman"/>
          <w:kern w:val="0"/>
          <w14:ligatures w14:val="none"/>
        </w:rPr>
        <w:instrText>型糖尿病大鼠认知功能的医学影像研究</w:instrText>
      </w:r>
      <w:r>
        <w:rPr>
          <w:rFonts w:ascii="Times New Roman" w:eastAsia="宋体" w:hAnsi="Times New Roman" w:cs="Times New Roman"/>
          <w:kern w:val="0"/>
          <w14:ligatures w14:val="none"/>
        </w:rPr>
        <w:instrText>","page":"2246-2261","PMID":"37036954","source":"6.5 (Q1)","title":"Study on Undercarboxylated Osteocalcin in Improving Cognitive Function of Rats with Type 2 Diabetes Mellitus by Regulating PI3K-AKT-GSK/3β Signaling Pathwaythrough medical images","title-short":"</w:instrText>
      </w:r>
      <w:r>
        <w:rPr>
          <w:rFonts w:ascii="Times New Roman" w:eastAsia="宋体" w:hAnsi="Times New Roman" w:cs="Times New Roman"/>
          <w:kern w:val="0"/>
          <w14:ligatures w14:val="none"/>
        </w:rPr>
        <w:instrText>低羧化骨钙素通过医学影像调控</w:instrText>
      </w:r>
      <w:r>
        <w:rPr>
          <w:rFonts w:ascii="Times New Roman" w:eastAsia="宋体" w:hAnsi="Times New Roman" w:cs="Times New Roman"/>
          <w:kern w:val="0"/>
          <w14:ligatures w14:val="none"/>
        </w:rPr>
        <w:instrText xml:space="preserve"> PI3K-AKT-GSK/3β </w:instrText>
      </w:r>
      <w:r>
        <w:rPr>
          <w:rFonts w:ascii="Times New Roman" w:eastAsia="宋体" w:hAnsi="Times New Roman" w:cs="Times New Roman"/>
          <w:kern w:val="0"/>
          <w14:ligatures w14:val="none"/>
        </w:rPr>
        <w:instrText>信号通路改善</w:instrText>
      </w:r>
      <w:r>
        <w:rPr>
          <w:rFonts w:ascii="Times New Roman" w:eastAsia="宋体" w:hAnsi="Times New Roman" w:cs="Times New Roman"/>
          <w:kern w:val="0"/>
          <w14:ligatures w14:val="none"/>
        </w:rPr>
        <w:instrText>2</w:instrText>
      </w:r>
      <w:r>
        <w:rPr>
          <w:rFonts w:ascii="Times New Roman" w:eastAsia="宋体" w:hAnsi="Times New Roman" w:cs="Times New Roman"/>
          <w:kern w:val="0"/>
          <w14:ligatures w14:val="none"/>
        </w:rPr>
        <w:instrText>型糖尿病大鼠认知功能的研究</w:instrText>
      </w:r>
      <w:r>
        <w:rPr>
          <w:rFonts w:ascii="Times New Roman" w:eastAsia="宋体" w:hAnsi="Times New Roman" w:cs="Times New Roman"/>
          <w:kern w:val="0"/>
          <w14:ligatures w14:val="none"/>
        </w:rPr>
        <w:instrText>","volume":"40","author":[{"family":"Zhao","given":"Yu"},{"family":"Yang","given":"Lili"},{"family":"Chen","given":"Mei"},{"family":"Gao","given":"Feng"},{"family":"Lv","given":"Yinghui"},{"family":"Li","given":"Xue"},{"family":"Liu","given":"Hongmin"}],"issued":{"date-parts":[["2024",11]]}}},{"id":14386,"uris":["http://zotero.org/users/9311172/items/DWUZYYUJ"],"itemData":{"id":14386,"type":"article-journal","abstract":"Depression is a widespread neuropsychiatric illness whose etiology is yet mysterious. Lactoferrin (LF), an iron-binding glycoprotein, is reported to promote neuroprotection through its role in the modulation of oxidative stress and inflammation. The objective of the present research was to evaluate the efficacy of LF against chronic restraint stress (CRS)-induced depressive behavior in rats. Depression was evidenced by a reduced grooming time in the splash test and an increased immobility time in the tail suspension test (TST) and forced swimming test (FST). This effect was also accompanied by reduced GSH and serotonin levels and elevated lipid peroxidation and corticosterone levels in the hippocampus. Additionally, an exaggerated hippocampal inflammatory response was also shown by a rise in NF-κB (p65) and TNF-α levels and a reduced IL-10 level. Moreover, CRS substantially reduced the BDNF content as well as the protein levels of PI3K, Akt, and mTOR while boosting the GSK3β content. Interestingly, LF therapy significantly improved CRS-induced behavioral and biochemical aberrations, an effect which was suppressed upon pretreatment with LY294002 (PI3K inhibitor). This suggests that the antidepressant potential of LF may be mediated through the modulation of the PI3K/Akt/mTOR signaling pathway. Furthermore, LF succeeded in restoring 5-HT and corticosterone levels, diminishing oxidative stress and ameliorating the inflammatory cascades. Therefore, and for the first time, LF might serve as a promising antidepressant drug through targeting the PI3K/Akt/mTOR pathway.\n\n</w:instrText>
      </w:r>
      <w:r>
        <w:rPr>
          <w:rFonts w:ascii="Times New Roman" w:eastAsia="宋体" w:hAnsi="Times New Roman" w:cs="Times New Roman"/>
          <w:kern w:val="0"/>
          <w14:ligatures w14:val="none"/>
        </w:rPr>
        <w:instrText>【摘要翻译】抑郁症是一种广泛存在的神经精神疾病，其病因尚不清楚。乳铁蛋白</w:instrText>
      </w:r>
      <w:r>
        <w:rPr>
          <w:rFonts w:ascii="Times New Roman" w:eastAsia="宋体" w:hAnsi="Times New Roman" w:cs="Times New Roman"/>
          <w:kern w:val="0"/>
          <w14:ligatures w14:val="none"/>
        </w:rPr>
        <w:instrText>(LF)</w:instrText>
      </w:r>
      <w:r>
        <w:rPr>
          <w:rFonts w:ascii="Times New Roman" w:eastAsia="宋体" w:hAnsi="Times New Roman" w:cs="Times New Roman"/>
          <w:kern w:val="0"/>
          <w14:ligatures w14:val="none"/>
        </w:rPr>
        <w:instrText>是一种铁结合糖蛋白，据报道它通过调节氧化应激和炎症来促进神经保护作用。本研究的目的是评价低频对慢性束缚应激</w:instrText>
      </w:r>
      <w:r>
        <w:rPr>
          <w:rFonts w:ascii="Times New Roman" w:eastAsia="宋体" w:hAnsi="Times New Roman" w:cs="Times New Roman"/>
          <w:kern w:val="0"/>
          <w14:ligatures w14:val="none"/>
        </w:rPr>
        <w:instrText>(CRS)</w:instrText>
      </w:r>
      <w:r>
        <w:rPr>
          <w:rFonts w:ascii="Times New Roman" w:eastAsia="宋体" w:hAnsi="Times New Roman" w:cs="Times New Roman"/>
          <w:kern w:val="0"/>
          <w14:ligatures w14:val="none"/>
        </w:rPr>
        <w:instrText>诱导的大鼠抑郁行为的影响。泼溅试验中的梳理时间减少，尾吊试验</w:instrText>
      </w:r>
      <w:r>
        <w:rPr>
          <w:rFonts w:ascii="Times New Roman" w:eastAsia="宋体" w:hAnsi="Times New Roman" w:cs="Times New Roman"/>
          <w:kern w:val="0"/>
          <w14:ligatures w14:val="none"/>
        </w:rPr>
        <w:instrText>(TST)</w:instrText>
      </w:r>
      <w:r>
        <w:rPr>
          <w:rFonts w:ascii="Times New Roman" w:eastAsia="宋体" w:hAnsi="Times New Roman" w:cs="Times New Roman"/>
          <w:kern w:val="0"/>
          <w14:ligatures w14:val="none"/>
        </w:rPr>
        <w:instrText>和强迫游泳试验</w:instrText>
      </w:r>
      <w:r>
        <w:rPr>
          <w:rFonts w:ascii="Times New Roman" w:eastAsia="宋体" w:hAnsi="Times New Roman" w:cs="Times New Roman"/>
          <w:kern w:val="0"/>
          <w14:ligatures w14:val="none"/>
        </w:rPr>
        <w:instrText>(FST)</w:instrText>
      </w:r>
      <w:r>
        <w:rPr>
          <w:rFonts w:ascii="Times New Roman" w:eastAsia="宋体" w:hAnsi="Times New Roman" w:cs="Times New Roman"/>
          <w:kern w:val="0"/>
          <w14:ligatures w14:val="none"/>
        </w:rPr>
        <w:instrText>中的静止时间增加。这种效应还伴随着海马中谷胱甘肽和</w:instrText>
      </w:r>
      <w:r>
        <w:rPr>
          <w:rFonts w:ascii="Times New Roman" w:eastAsia="宋体" w:hAnsi="Times New Roman" w:cs="Times New Roman"/>
          <w:kern w:val="0"/>
          <w14:ligatures w14:val="none"/>
        </w:rPr>
        <w:instrText>5-</w:instrText>
      </w:r>
      <w:r>
        <w:rPr>
          <w:rFonts w:ascii="Times New Roman" w:eastAsia="宋体" w:hAnsi="Times New Roman" w:cs="Times New Roman"/>
          <w:kern w:val="0"/>
          <w14:ligatures w14:val="none"/>
        </w:rPr>
        <w:instrText>羟色胺水平的降低以及脂质过氧化和皮质酮水平的升高。另外，</w:instrText>
      </w:r>
      <w:r>
        <w:rPr>
          <w:rFonts w:ascii="Times New Roman" w:eastAsia="宋体" w:hAnsi="Times New Roman" w:cs="Times New Roman"/>
          <w:kern w:val="0"/>
          <w14:ligatures w14:val="none"/>
        </w:rPr>
        <w:instrText>NF-κB (p65)</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TNF-α </w:instrText>
      </w:r>
      <w:r>
        <w:rPr>
          <w:rFonts w:ascii="Times New Roman" w:eastAsia="宋体" w:hAnsi="Times New Roman" w:cs="Times New Roman"/>
          <w:kern w:val="0"/>
          <w14:ligatures w14:val="none"/>
        </w:rPr>
        <w:instrText>水平的升高以及</w:instrText>
      </w:r>
      <w:r>
        <w:rPr>
          <w:rFonts w:ascii="Times New Roman" w:eastAsia="宋体" w:hAnsi="Times New Roman" w:cs="Times New Roman"/>
          <w:kern w:val="0"/>
          <w14:ligatures w14:val="none"/>
        </w:rPr>
        <w:instrText xml:space="preserve"> IL-10</w:instrText>
      </w:r>
      <w:r>
        <w:rPr>
          <w:rFonts w:ascii="Times New Roman" w:eastAsia="宋体" w:hAnsi="Times New Roman" w:cs="Times New Roman"/>
          <w:kern w:val="0"/>
          <w14:ligatures w14:val="none"/>
        </w:rPr>
        <w:instrText>水平的降低也显示了过度的海马炎症反应。此外，</w:instrText>
      </w:r>
      <w:r>
        <w:rPr>
          <w:rFonts w:ascii="Times New Roman" w:eastAsia="宋体" w:hAnsi="Times New Roman" w:cs="Times New Roman"/>
          <w:kern w:val="0"/>
          <w14:ligatures w14:val="none"/>
        </w:rPr>
        <w:instrText xml:space="preserve">CRS </w:instrText>
      </w:r>
      <w:r>
        <w:rPr>
          <w:rFonts w:ascii="Times New Roman" w:eastAsia="宋体" w:hAnsi="Times New Roman" w:cs="Times New Roman"/>
          <w:kern w:val="0"/>
          <w14:ligatures w14:val="none"/>
        </w:rPr>
        <w:instrText>显著降低</w:instrText>
      </w:r>
      <w:r>
        <w:rPr>
          <w:rFonts w:ascii="Times New Roman" w:eastAsia="宋体" w:hAnsi="Times New Roman" w:cs="Times New Roman"/>
          <w:kern w:val="0"/>
          <w14:ligatures w14:val="none"/>
        </w:rPr>
        <w:instrText xml:space="preserve"> BDNF </w:instrText>
      </w:r>
      <w:r>
        <w:rPr>
          <w:rFonts w:ascii="Times New Roman" w:eastAsia="宋体" w:hAnsi="Times New Roman" w:cs="Times New Roman"/>
          <w:kern w:val="0"/>
          <w14:ligatures w14:val="none"/>
        </w:rPr>
        <w:instrText>含量以及</w:instrText>
      </w:r>
      <w:r>
        <w:rPr>
          <w:rFonts w:ascii="Times New Roman" w:eastAsia="宋体" w:hAnsi="Times New Roman" w:cs="Times New Roman"/>
          <w:kern w:val="0"/>
          <w14:ligatures w14:val="none"/>
        </w:rPr>
        <w:instrText xml:space="preserve"> PI3K</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mTOR </w:instrText>
      </w:r>
      <w:r>
        <w:rPr>
          <w:rFonts w:ascii="Times New Roman" w:eastAsia="宋体" w:hAnsi="Times New Roman" w:cs="Times New Roman"/>
          <w:kern w:val="0"/>
          <w14:ligatures w14:val="none"/>
        </w:rPr>
        <w:instrText>的蛋白质水平，同时提高</w:instrText>
      </w:r>
      <w:r>
        <w:rPr>
          <w:rFonts w:ascii="Times New Roman" w:eastAsia="宋体" w:hAnsi="Times New Roman" w:cs="Times New Roman"/>
          <w:kern w:val="0"/>
          <w14:ligatures w14:val="none"/>
        </w:rPr>
        <w:instrText xml:space="preserve"> GSK3β </w:instrText>
      </w:r>
      <w:r>
        <w:rPr>
          <w:rFonts w:ascii="Times New Roman" w:eastAsia="宋体" w:hAnsi="Times New Roman" w:cs="Times New Roman"/>
          <w:kern w:val="0"/>
          <w14:ligatures w14:val="none"/>
        </w:rPr>
        <w:instrText>的含量。有趣的是，</w:instrText>
      </w:r>
      <w:r>
        <w:rPr>
          <w:rFonts w:ascii="Times New Roman" w:eastAsia="宋体" w:hAnsi="Times New Roman" w:cs="Times New Roman"/>
          <w:kern w:val="0"/>
          <w14:ligatures w14:val="none"/>
        </w:rPr>
        <w:instrText xml:space="preserve">LF </w:instrText>
      </w:r>
      <w:r>
        <w:rPr>
          <w:rFonts w:ascii="Times New Roman" w:eastAsia="宋体" w:hAnsi="Times New Roman" w:cs="Times New Roman"/>
          <w:kern w:val="0"/>
          <w14:ligatures w14:val="none"/>
        </w:rPr>
        <w:instrText>治疗显着改善</w:instrText>
      </w:r>
      <w:r>
        <w:rPr>
          <w:rFonts w:ascii="Times New Roman" w:eastAsia="宋体" w:hAnsi="Times New Roman" w:cs="Times New Roman"/>
          <w:kern w:val="0"/>
          <w14:ligatures w14:val="none"/>
        </w:rPr>
        <w:instrText xml:space="preserve"> CRS </w:instrText>
      </w:r>
      <w:r>
        <w:rPr>
          <w:rFonts w:ascii="Times New Roman" w:eastAsia="宋体" w:hAnsi="Times New Roman" w:cs="Times New Roman"/>
          <w:kern w:val="0"/>
          <w14:ligatures w14:val="none"/>
        </w:rPr>
        <w:instrText>诱导的行为和生化畸变，这种效应在用</w:instrText>
      </w:r>
      <w:r>
        <w:rPr>
          <w:rFonts w:ascii="Times New Roman" w:eastAsia="宋体" w:hAnsi="Times New Roman" w:cs="Times New Roman"/>
          <w:kern w:val="0"/>
          <w14:ligatures w14:val="none"/>
        </w:rPr>
        <w:instrText xml:space="preserve"> LY294002(PI3K </w:instrText>
      </w:r>
      <w:r>
        <w:rPr>
          <w:rFonts w:ascii="Times New Roman" w:eastAsia="宋体" w:hAnsi="Times New Roman" w:cs="Times New Roman"/>
          <w:kern w:val="0"/>
          <w14:ligatures w14:val="none"/>
        </w:rPr>
        <w:instrText>抑制剂</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预处理时被抑制。这表明</w:instrText>
      </w:r>
      <w:r>
        <w:rPr>
          <w:rFonts w:ascii="Times New Roman" w:eastAsia="宋体" w:hAnsi="Times New Roman" w:cs="Times New Roman"/>
          <w:kern w:val="0"/>
          <w14:ligatures w14:val="none"/>
        </w:rPr>
        <w:instrText xml:space="preserve"> LF </w:instrText>
      </w:r>
      <w:r>
        <w:rPr>
          <w:rFonts w:ascii="Times New Roman" w:eastAsia="宋体" w:hAnsi="Times New Roman" w:cs="Times New Roman"/>
          <w:kern w:val="0"/>
          <w14:ligatures w14:val="none"/>
        </w:rPr>
        <w:instrText>的抗抑郁作用可能是通过调节</w:instrText>
      </w:r>
      <w:r>
        <w:rPr>
          <w:rFonts w:ascii="Times New Roman" w:eastAsia="宋体" w:hAnsi="Times New Roman" w:cs="Times New Roman"/>
          <w:kern w:val="0"/>
          <w14:ligatures w14:val="none"/>
        </w:rPr>
        <w:instrText xml:space="preserve"> PI3K/Akt/mTOR </w:instrText>
      </w:r>
      <w:r>
        <w:rPr>
          <w:rFonts w:ascii="Times New Roman" w:eastAsia="宋体" w:hAnsi="Times New Roman" w:cs="Times New Roman"/>
          <w:kern w:val="0"/>
          <w14:ligatures w14:val="none"/>
        </w:rPr>
        <w:instrText>信号通路介导的。此外，</w:instrText>
      </w:r>
      <w:r>
        <w:rPr>
          <w:rFonts w:ascii="Times New Roman" w:eastAsia="宋体" w:hAnsi="Times New Roman" w:cs="Times New Roman"/>
          <w:kern w:val="0"/>
          <w14:ligatures w14:val="none"/>
        </w:rPr>
        <w:instrText xml:space="preserve">LF </w:instrText>
      </w:r>
      <w:r>
        <w:rPr>
          <w:rFonts w:ascii="Times New Roman" w:eastAsia="宋体" w:hAnsi="Times New Roman" w:cs="Times New Roman"/>
          <w:kern w:val="0"/>
          <w14:ligatures w14:val="none"/>
        </w:rPr>
        <w:instrText>成功地恢复了</w:instrText>
      </w:r>
      <w:r>
        <w:rPr>
          <w:rFonts w:ascii="Times New Roman" w:eastAsia="宋体" w:hAnsi="Times New Roman" w:cs="Times New Roman"/>
          <w:kern w:val="0"/>
          <w14:ligatures w14:val="none"/>
        </w:rPr>
        <w:instrText xml:space="preserve">5-HT </w:instrText>
      </w:r>
      <w:r>
        <w:rPr>
          <w:rFonts w:ascii="Times New Roman" w:eastAsia="宋体" w:hAnsi="Times New Roman" w:cs="Times New Roman"/>
          <w:kern w:val="0"/>
          <w14:ligatures w14:val="none"/>
        </w:rPr>
        <w:instrText>和皮质酮的水平，减少了氧化应激，改善了炎症级联反应。因此，</w:instrText>
      </w:r>
      <w:r>
        <w:rPr>
          <w:rFonts w:ascii="Times New Roman" w:eastAsia="宋体" w:hAnsi="Times New Roman" w:cs="Times New Roman"/>
          <w:kern w:val="0"/>
          <w14:ligatures w14:val="none"/>
        </w:rPr>
        <w:instrText xml:space="preserve">LF </w:instrText>
      </w:r>
      <w:r>
        <w:rPr>
          <w:rFonts w:ascii="Times New Roman" w:eastAsia="宋体" w:hAnsi="Times New Roman" w:cs="Times New Roman"/>
          <w:kern w:val="0"/>
          <w14:ligatures w14:val="none"/>
        </w:rPr>
        <w:instrText>可能首次通过靶向</w:instrText>
      </w:r>
      <w:r>
        <w:rPr>
          <w:rFonts w:ascii="Times New Roman" w:eastAsia="宋体" w:hAnsi="Times New Roman" w:cs="Times New Roman"/>
          <w:kern w:val="0"/>
          <w14:ligatures w14:val="none"/>
        </w:rPr>
        <w:instrText xml:space="preserve"> PI3K/Akt/mTOR </w:instrText>
      </w:r>
      <w:r>
        <w:rPr>
          <w:rFonts w:ascii="Times New Roman" w:eastAsia="宋体" w:hAnsi="Times New Roman" w:cs="Times New Roman"/>
          <w:kern w:val="0"/>
          <w14:ligatures w14:val="none"/>
        </w:rPr>
        <w:instrText>途径作为一种有前途的抗抑郁药物。</w:instrText>
      </w:r>
      <w:r>
        <w:rPr>
          <w:rFonts w:ascii="Times New Roman" w:eastAsia="宋体" w:hAnsi="Times New Roman" w:cs="Times New Roman"/>
          <w:kern w:val="0"/>
          <w14:ligatures w14:val="none"/>
        </w:rPr>
        <w:instrText xml:space="preserve">","archive_location":"7 citation(s)","call-number":"1","container-title":"Food &amp; Function","DOI":"10.1039/D3FO02222F","ISSN":"2042-6496","issue":"20","journalAbbreviation":"Food Funct.","language":"en","license":"1.2 mg/kg/d ip","note":"TLDR: Interestingly, LF therapy significantly improved CRS-induced behavioral and biochemical aberrations, an effect which was suppressed upon pretreatment with LY294002 (PI3K inhibitor), suggesting that the antidepressant potential of LF may be mediated through the modulation of the PI3K/Akt/mTOR signaling pathway.\ntitleTranslation: </w:instrText>
      </w:r>
      <w:r>
        <w:rPr>
          <w:rFonts w:ascii="Times New Roman" w:eastAsia="宋体" w:hAnsi="Times New Roman" w:cs="Times New Roman"/>
          <w:kern w:val="0"/>
          <w14:ligatures w14:val="none"/>
        </w:rPr>
        <w:instrText>通过</w:instrText>
      </w:r>
      <w:r>
        <w:rPr>
          <w:rFonts w:ascii="Times New Roman" w:eastAsia="宋体" w:hAnsi="Times New Roman" w:cs="Times New Roman"/>
          <w:kern w:val="0"/>
          <w14:ligatures w14:val="none"/>
        </w:rPr>
        <w:instrText>PI3K/Akt/mTOR</w:instrText>
      </w:r>
      <w:r>
        <w:rPr>
          <w:rFonts w:ascii="Times New Roman" w:eastAsia="宋体" w:hAnsi="Times New Roman" w:cs="Times New Roman"/>
          <w:kern w:val="0"/>
          <w14:ligatures w14:val="none"/>
        </w:rPr>
        <w:instrText>通路释放乳铁蛋白的抗抑郁潜能</w:instrText>
      </w:r>
      <w:r>
        <w:rPr>
          <w:rFonts w:ascii="Times New Roman" w:eastAsia="宋体" w:hAnsi="Times New Roman" w:cs="Times New Roman"/>
          <w:kern w:val="0"/>
          <w14:ligatures w14:val="none"/>
        </w:rPr>
        <w:instrText>","page":"9265-9278","PMID":"37767889","source":"5.1 (Q1)","title":"Unleashing lactoferrin's antidepressant potential through the PI3K/Akt/mTOR pathway in chronic restraint stress rats","title-short":"</w:instrText>
      </w:r>
      <w:r>
        <w:rPr>
          <w:rFonts w:ascii="Times New Roman" w:eastAsia="宋体" w:hAnsi="Times New Roman" w:cs="Times New Roman"/>
          <w:kern w:val="0"/>
          <w14:ligatures w14:val="none"/>
        </w:rPr>
        <w:instrText>通过</w:instrText>
      </w:r>
      <w:r>
        <w:rPr>
          <w:rFonts w:ascii="Times New Roman" w:eastAsia="宋体" w:hAnsi="Times New Roman" w:cs="Times New Roman"/>
          <w:kern w:val="0"/>
          <w14:ligatures w14:val="none"/>
        </w:rPr>
        <w:instrText xml:space="preserve"> PI3K/Akt/mTOR </w:instrText>
      </w:r>
      <w:r>
        <w:rPr>
          <w:rFonts w:ascii="Times New Roman" w:eastAsia="宋体" w:hAnsi="Times New Roman" w:cs="Times New Roman"/>
          <w:kern w:val="0"/>
          <w14:ligatures w14:val="none"/>
        </w:rPr>
        <w:instrText>通路释放乳铁蛋白在慢性束缚应激大鼠中的抗抑郁作用</w:instrText>
      </w:r>
      <w:r>
        <w:rPr>
          <w:rFonts w:ascii="Times New Roman" w:eastAsia="宋体" w:hAnsi="Times New Roman" w:cs="Times New Roman"/>
          <w:kern w:val="0"/>
          <w14:ligatures w14:val="none"/>
        </w:rPr>
        <w:instrText>","volume":"14","author":[{"family":"Ahmed","given":"Hanan H."},{"family":"Essam","given":"Reham M."},{"family":"El-Yamany","given":"Muhammed F."},{"family":"Ahmed","given":"Kawkab A."},{"family":"El-Sahar","given":"Ayman E."}],"issued":{"date-parts":[["2023",10,16]]}}},{"id":14832,"uris":["http://zotero.org/users/9311172/items/BGYIYIIQ"],"itemData":{"id":14832,"type":"article-journal","abstract":"Our previous clinical studies demonstrated the synergistic therapeutic effect induced by co-administering recombinant human erythropoietin (rhEPO) in human umbilical cord blood (hUCB) therapy for children with cerebral palsy. However, the cellular mechanism beyond the beneficial effects in this combination therapy still needs to be elucidated. A hypoxic-ischemic encephalopathy (HIE) model of neonates, representing cerebral palsy, was prepared and randomly divided into five groups (hUCB+rhEPO combination, hUCB, and rhEPO treatments over HIE, HIE control, and sham). Seven days after, hUCB was administered intraperitoneally and the rhEPO injections were started. Neurobehavioral tests showed the best outcome in the combination therapy group, while the hUCB and rhEPO alone treatments also showed better outcomes compared with the control (p &lt; 0.05). Inflammatory cytokines were downregulated by the treatments and attenuated most by the combination therapy (p &lt; 0.05). The hUCB+rhEPO treatment also showed remarkable increase in phosphorylation of Akt and potentiation of anti-apoptotic responses with decreased Bax and increased Bcl-2 (p &lt; 0.05). Pre-treatment of MK-2206, an Akt inhibitor, for the combination therapy depressed the anti-apoptotic effects. In conclusion, these findings suggest that the therapeutic effect of hUCB therapy might be potentiated by co-administration of rhEPO via augmentation of anti-inflammatory and anti-apoptotic responses related to the phosphorylation of Akt.\n\n</w:instrText>
      </w:r>
      <w:r>
        <w:rPr>
          <w:rFonts w:ascii="Times New Roman" w:eastAsia="宋体" w:hAnsi="Times New Roman" w:cs="Times New Roman"/>
          <w:kern w:val="0"/>
          <w14:ligatures w14:val="none"/>
        </w:rPr>
        <w:instrText>【摘要翻译】我们以往的临床研究显示，重组人促红细胞生成素</w:instrText>
      </w:r>
      <w:r>
        <w:rPr>
          <w:rFonts w:ascii="Times New Roman" w:eastAsia="宋体" w:hAnsi="Times New Roman" w:cs="Times New Roman"/>
          <w:kern w:val="0"/>
          <w14:ligatures w14:val="none"/>
        </w:rPr>
        <w:instrText>(rhEPO)</w:instrText>
      </w:r>
      <w:r>
        <w:rPr>
          <w:rFonts w:ascii="Times New Roman" w:eastAsia="宋体" w:hAnsi="Times New Roman" w:cs="Times New Roman"/>
          <w:kern w:val="0"/>
          <w14:ligatures w14:val="none"/>
        </w:rPr>
        <w:instrText>在人类脐带血</w:instrText>
      </w:r>
      <w:r>
        <w:rPr>
          <w:rFonts w:ascii="Times New Roman" w:eastAsia="宋体" w:hAnsi="Times New Roman" w:cs="Times New Roman"/>
          <w:kern w:val="0"/>
          <w14:ligatures w14:val="none"/>
        </w:rPr>
        <w:instrText>(hUCB)</w:instrText>
      </w:r>
      <w:r>
        <w:rPr>
          <w:rFonts w:ascii="Times New Roman" w:eastAsia="宋体" w:hAnsi="Times New Roman" w:cs="Times New Roman"/>
          <w:kern w:val="0"/>
          <w14:ligatures w14:val="none"/>
        </w:rPr>
        <w:instrText>治疗脑瘫儿童时，能够协同治疗效果。然而，在这种联合疗法中除了有益作用之外的细胞机制仍有待阐明。制备代表脑性瘫痪的新生儿缺氧缺血性脑病</w:instrText>
      </w:r>
      <w:r>
        <w:rPr>
          <w:rFonts w:ascii="Times New Roman" w:eastAsia="宋体" w:hAnsi="Times New Roman" w:cs="Times New Roman"/>
          <w:kern w:val="0"/>
          <w14:ligatures w14:val="none"/>
        </w:rPr>
        <w:instrText>(HIE)</w:instrText>
      </w:r>
      <w:r>
        <w:rPr>
          <w:rFonts w:ascii="Times New Roman" w:eastAsia="宋体" w:hAnsi="Times New Roman" w:cs="Times New Roman"/>
          <w:kern w:val="0"/>
          <w14:ligatures w14:val="none"/>
        </w:rPr>
        <w:instrText>模型，并随机分为五组</w:instrText>
      </w:r>
      <w:r>
        <w:rPr>
          <w:rFonts w:ascii="Times New Roman" w:eastAsia="宋体" w:hAnsi="Times New Roman" w:cs="Times New Roman"/>
          <w:kern w:val="0"/>
          <w14:ligatures w14:val="none"/>
        </w:rPr>
        <w:instrText xml:space="preserve">(hUCB + rhEPO </w:instrText>
      </w:r>
      <w:r>
        <w:rPr>
          <w:rFonts w:ascii="Times New Roman" w:eastAsia="宋体" w:hAnsi="Times New Roman" w:cs="Times New Roman"/>
          <w:kern w:val="0"/>
          <w14:ligatures w14:val="none"/>
        </w:rPr>
        <w:instrText>组合，</w:instrText>
      </w:r>
      <w:r>
        <w:rPr>
          <w:rFonts w:ascii="Times New Roman" w:eastAsia="宋体" w:hAnsi="Times New Roman" w:cs="Times New Roman"/>
          <w:kern w:val="0"/>
          <w14:ligatures w14:val="none"/>
        </w:rPr>
        <w:instrText xml:space="preserve">hUCB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rhEPO </w:instrText>
      </w:r>
      <w:r>
        <w:rPr>
          <w:rFonts w:ascii="Times New Roman" w:eastAsia="宋体" w:hAnsi="Times New Roman" w:cs="Times New Roman"/>
          <w:kern w:val="0"/>
          <w14:ligatures w14:val="none"/>
        </w:rPr>
        <w:instrText>治疗</w:instrText>
      </w:r>
      <w:r>
        <w:rPr>
          <w:rFonts w:ascii="Times New Roman" w:eastAsia="宋体" w:hAnsi="Times New Roman" w:cs="Times New Roman"/>
          <w:kern w:val="0"/>
          <w14:ligatures w14:val="none"/>
        </w:rPr>
        <w:instrText xml:space="preserve"> HIE</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HIE </w:instrText>
      </w:r>
      <w:r>
        <w:rPr>
          <w:rFonts w:ascii="Times New Roman" w:eastAsia="宋体" w:hAnsi="Times New Roman" w:cs="Times New Roman"/>
          <w:kern w:val="0"/>
          <w14:ligatures w14:val="none"/>
        </w:rPr>
        <w:instrText>对照和假手术</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7</w:instrText>
      </w:r>
      <w:r>
        <w:rPr>
          <w:rFonts w:ascii="Times New Roman" w:eastAsia="宋体" w:hAnsi="Times New Roman" w:cs="Times New Roman"/>
          <w:kern w:val="0"/>
          <w14:ligatures w14:val="none"/>
        </w:rPr>
        <w:instrText>天后腹腔注射</w:instrText>
      </w:r>
      <w:r>
        <w:rPr>
          <w:rFonts w:ascii="Times New Roman" w:eastAsia="宋体" w:hAnsi="Times New Roman" w:cs="Times New Roman"/>
          <w:kern w:val="0"/>
          <w14:ligatures w14:val="none"/>
        </w:rPr>
        <w:instrText xml:space="preserve"> hUCB </w:instrText>
      </w:r>
      <w:r>
        <w:rPr>
          <w:rFonts w:ascii="Times New Roman" w:eastAsia="宋体" w:hAnsi="Times New Roman" w:cs="Times New Roman"/>
          <w:kern w:val="0"/>
          <w14:ligatures w14:val="none"/>
        </w:rPr>
        <w:instrText>并开始注射</w:instrText>
      </w:r>
      <w:r>
        <w:rPr>
          <w:rFonts w:ascii="Times New Roman" w:eastAsia="宋体" w:hAnsi="Times New Roman" w:cs="Times New Roman"/>
          <w:kern w:val="0"/>
          <w14:ligatures w14:val="none"/>
        </w:rPr>
        <w:instrText xml:space="preserve"> rhEPO</w:instrText>
      </w:r>
      <w:r>
        <w:rPr>
          <w:rFonts w:ascii="Times New Roman" w:eastAsia="宋体" w:hAnsi="Times New Roman" w:cs="Times New Roman"/>
          <w:kern w:val="0"/>
          <w14:ligatures w14:val="none"/>
        </w:rPr>
        <w:instrText>。神经行为测试显示联合治疗组疗效最好，而单独使用</w:instrText>
      </w:r>
      <w:r>
        <w:rPr>
          <w:rFonts w:ascii="Times New Roman" w:eastAsia="宋体" w:hAnsi="Times New Roman" w:cs="Times New Roman"/>
          <w:kern w:val="0"/>
          <w14:ligatures w14:val="none"/>
        </w:rPr>
        <w:instrText xml:space="preserve"> hUCB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rhEPO </w:instrText>
      </w:r>
      <w:r>
        <w:rPr>
          <w:rFonts w:ascii="Times New Roman" w:eastAsia="宋体" w:hAnsi="Times New Roman" w:cs="Times New Roman"/>
          <w:kern w:val="0"/>
          <w14:ligatures w14:val="none"/>
        </w:rPr>
        <w:instrText>治疗组疗效也优于对照组</w:instrText>
      </w:r>
      <w:r>
        <w:rPr>
          <w:rFonts w:ascii="Times New Roman" w:eastAsia="宋体" w:hAnsi="Times New Roman" w:cs="Times New Roman"/>
          <w:kern w:val="0"/>
          <w14:ligatures w14:val="none"/>
        </w:rPr>
        <w:instrText>(p &lt; 0.05)</w:instrText>
      </w:r>
      <w:r>
        <w:rPr>
          <w:rFonts w:ascii="Times New Roman" w:eastAsia="宋体" w:hAnsi="Times New Roman" w:cs="Times New Roman"/>
          <w:kern w:val="0"/>
          <w14:ligatures w14:val="none"/>
        </w:rPr>
        <w:instrText>。治疗组炎性细胞因子下调，联合治疗组下调幅度最大</w:instrText>
      </w:r>
      <w:r>
        <w:rPr>
          <w:rFonts w:ascii="Times New Roman" w:eastAsia="宋体" w:hAnsi="Times New Roman" w:cs="Times New Roman"/>
          <w:kern w:val="0"/>
          <w14:ligatures w14:val="none"/>
        </w:rPr>
        <w:instrText>(p &lt; 0.05)</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HUCB + rhEPO </w:instrText>
      </w:r>
      <w:r>
        <w:rPr>
          <w:rFonts w:ascii="Times New Roman" w:eastAsia="宋体" w:hAnsi="Times New Roman" w:cs="Times New Roman"/>
          <w:kern w:val="0"/>
          <w14:ligatures w14:val="none"/>
        </w:rPr>
        <w:instrText>处理组</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磷酸化水平显著升高，抗凋亡反应增强，</w:instrText>
      </w:r>
      <w:r>
        <w:rPr>
          <w:rFonts w:ascii="Times New Roman" w:eastAsia="宋体" w:hAnsi="Times New Roman" w:cs="Times New Roman"/>
          <w:kern w:val="0"/>
          <w14:ligatures w14:val="none"/>
        </w:rPr>
        <w:instrText xml:space="preserve">Bax </w:instrText>
      </w:r>
      <w:r>
        <w:rPr>
          <w:rFonts w:ascii="Times New Roman" w:eastAsia="宋体" w:hAnsi="Times New Roman" w:cs="Times New Roman"/>
          <w:kern w:val="0"/>
          <w14:ligatures w14:val="none"/>
        </w:rPr>
        <w:instrText>降低，</w:instrText>
      </w:r>
      <w:r>
        <w:rPr>
          <w:rFonts w:ascii="Times New Roman" w:eastAsia="宋体" w:hAnsi="Times New Roman" w:cs="Times New Roman"/>
          <w:kern w:val="0"/>
          <w14:ligatures w14:val="none"/>
        </w:rPr>
        <w:instrText>Bcl-2</w:instrText>
      </w:r>
      <w:r>
        <w:rPr>
          <w:rFonts w:ascii="Times New Roman" w:eastAsia="宋体" w:hAnsi="Times New Roman" w:cs="Times New Roman"/>
          <w:kern w:val="0"/>
          <w14:ligatures w14:val="none"/>
        </w:rPr>
        <w:instrText>升高</w:instrText>
      </w:r>
      <w:r>
        <w:rPr>
          <w:rFonts w:ascii="Times New Roman" w:eastAsia="宋体" w:hAnsi="Times New Roman" w:cs="Times New Roman"/>
          <w:kern w:val="0"/>
          <w14:ligatures w14:val="none"/>
        </w:rPr>
        <w:instrText>(p &lt; 0.05)</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Akt </w:instrText>
      </w:r>
      <w:r>
        <w:rPr>
          <w:rFonts w:ascii="Times New Roman" w:eastAsia="宋体" w:hAnsi="Times New Roman" w:cs="Times New Roman"/>
          <w:kern w:val="0"/>
          <w14:ligatures w14:val="none"/>
        </w:rPr>
        <w:instrText>抑制剂</w:instrText>
      </w:r>
      <w:r>
        <w:rPr>
          <w:rFonts w:ascii="Times New Roman" w:eastAsia="宋体" w:hAnsi="Times New Roman" w:cs="Times New Roman"/>
          <w:kern w:val="0"/>
          <w14:ligatures w14:val="none"/>
        </w:rPr>
        <w:instrText xml:space="preserve"> MK-2206</w:instrText>
      </w:r>
      <w:r>
        <w:rPr>
          <w:rFonts w:ascii="Times New Roman" w:eastAsia="宋体" w:hAnsi="Times New Roman" w:cs="Times New Roman"/>
          <w:kern w:val="0"/>
          <w14:ligatures w14:val="none"/>
        </w:rPr>
        <w:instrText>的预处理抑制了联合治疗的抗凋亡作用。总之，这些发现表明</w:instrText>
      </w:r>
      <w:r>
        <w:rPr>
          <w:rFonts w:ascii="Times New Roman" w:eastAsia="宋体" w:hAnsi="Times New Roman" w:cs="Times New Roman"/>
          <w:kern w:val="0"/>
          <w14:ligatures w14:val="none"/>
        </w:rPr>
        <w:instrText xml:space="preserve"> hUCB </w:instrText>
      </w:r>
      <w:r>
        <w:rPr>
          <w:rFonts w:ascii="Times New Roman" w:eastAsia="宋体" w:hAnsi="Times New Roman" w:cs="Times New Roman"/>
          <w:kern w:val="0"/>
          <w14:ligatures w14:val="none"/>
        </w:rPr>
        <w:instrText>治疗的治疗效果可能通过共同施用</w:instrText>
      </w:r>
      <w:r>
        <w:rPr>
          <w:rFonts w:ascii="Times New Roman" w:eastAsia="宋体" w:hAnsi="Times New Roman" w:cs="Times New Roman"/>
          <w:kern w:val="0"/>
          <w14:ligatures w14:val="none"/>
        </w:rPr>
        <w:instrText xml:space="preserve"> rhEPO </w:instrText>
      </w:r>
      <w:r>
        <w:rPr>
          <w:rFonts w:ascii="Times New Roman" w:eastAsia="宋体" w:hAnsi="Times New Roman" w:cs="Times New Roman"/>
          <w:kern w:val="0"/>
          <w14:ligatures w14:val="none"/>
        </w:rPr>
        <w:instrText>来增强与</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磷酸化相关的抗炎和抗凋亡反应。</w:instrText>
      </w:r>
      <w:r>
        <w:rPr>
          <w:rFonts w:ascii="Times New Roman" w:eastAsia="宋体" w:hAnsi="Times New Roman" w:cs="Times New Roman"/>
          <w:kern w:val="0"/>
          <w14:ligatures w14:val="none"/>
        </w:rPr>
        <w:instrText>","archive_location":"10 citation(s)","call-number":"2","container-title":"International Journal of Molecular Sciences","DOI":"10.3390/ijms222111995","ISSN":"1422-0067","issue":"21","journalAbbreviation":"IJMS","language":"en","license":"</w:instrText>
      </w:r>
      <w:r>
        <w:rPr>
          <w:rFonts w:ascii="Times New Roman" w:eastAsia="宋体" w:hAnsi="Times New Roman" w:cs="Times New Roman"/>
          <w:kern w:val="0"/>
          <w14:ligatures w14:val="none"/>
        </w:rPr>
        <w:instrText>小鼠，</w:instrText>
      </w:r>
      <w:r>
        <w:rPr>
          <w:rFonts w:ascii="Times New Roman" w:eastAsia="宋体" w:hAnsi="Times New Roman" w:cs="Times New Roman"/>
          <w:kern w:val="0"/>
          <w14:ligatures w14:val="none"/>
        </w:rPr>
        <w:instrText>ip</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MK-2206</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100 mg/kg </w:instrText>
      </w:r>
      <w:r>
        <w:rPr>
          <w:rFonts w:ascii="Times New Roman" w:eastAsia="宋体" w:hAnsi="Times New Roman" w:cs="Times New Roman"/>
          <w:kern w:val="0"/>
          <w14:ligatures w14:val="none"/>
        </w:rPr>
        <w:instrText>连续</w:instrText>
      </w:r>
      <w:r>
        <w:rPr>
          <w:rFonts w:ascii="Times New Roman" w:eastAsia="宋体" w:hAnsi="Times New Roman" w:cs="Times New Roman"/>
          <w:kern w:val="0"/>
          <w14:ligatures w14:val="none"/>
        </w:rPr>
        <w:instrText>5</w:instrText>
      </w:r>
      <w:r>
        <w:rPr>
          <w:rFonts w:ascii="Times New Roman" w:eastAsia="宋体" w:hAnsi="Times New Roman" w:cs="Times New Roman"/>
          <w:kern w:val="0"/>
          <w14:ligatures w14:val="none"/>
        </w:rPr>
        <w:instrText>天</w:instrText>
      </w:r>
      <w:r>
        <w:rPr>
          <w:rFonts w:ascii="Times New Roman" w:eastAsia="宋体" w:hAnsi="Times New Roman" w:cs="Times New Roman"/>
          <w:kern w:val="0"/>
          <w14:ligatures w14:val="none"/>
        </w:rPr>
        <w:instrText xml:space="preserve">","note":"titleTranslation: </w:instrText>
      </w:r>
      <w:r>
        <w:rPr>
          <w:rFonts w:ascii="Times New Roman" w:eastAsia="宋体" w:hAnsi="Times New Roman" w:cs="Times New Roman"/>
          <w:kern w:val="0"/>
          <w14:ligatures w14:val="none"/>
        </w:rPr>
        <w:instrText>脐带血中抗凋亡</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信号传导与促红细胞生成素联合治疗新生儿缺氧缺血性脑损伤对神经功能恢复的协同作用</w:instrText>
      </w:r>
      <w:r>
        <w:rPr>
          <w:rFonts w:ascii="Times New Roman" w:eastAsia="宋体" w:hAnsi="Times New Roman" w:cs="Times New Roman"/>
          <w:kern w:val="0"/>
          <w14:ligatures w14:val="none"/>
        </w:rPr>
        <w:instrText>\nTLDR: The findings suggest that the therapeutic effect of hUCB therapy might be potentiated by co-administration of rhEPO via augmentation of anti-inflammatory and anti-apoptotic responses related to the phosphorylation of Akt.","page":"11995","PMID":"34769434","PMCID":"PMC8584683","source":"4.9 (Q2)","title":"Synergistic Effect in Neurological Recovery via Anti-Apoptotic Akt Signaling in Umbilical Cord Blood and Erythropoietin Combination Therapy for Neonatal Hypoxic-Ischemic Brain Injury","title-short":"</w:instrText>
      </w:r>
      <w:r>
        <w:rPr>
          <w:rFonts w:ascii="Times New Roman" w:eastAsia="宋体" w:hAnsi="Times New Roman" w:cs="Times New Roman"/>
          <w:kern w:val="0"/>
          <w14:ligatures w14:val="none"/>
        </w:rPr>
        <w:instrText>脐血抗凋亡</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信号通路与促红细胞生成素联合治疗新生儿缺氧缺血性脑损伤的协同作用</w:instrText>
      </w:r>
      <w:r>
        <w:rPr>
          <w:rFonts w:ascii="Times New Roman" w:eastAsia="宋体" w:hAnsi="Times New Roman" w:cs="Times New Roman"/>
          <w:kern w:val="0"/>
          <w14:ligatures w14:val="none"/>
        </w:rPr>
        <w:instrText>","volume":"22","author":[{"family":"Choi","given":"Jee In"},{"family":"Choi","given":"Joo-Wan"},{"family":"Shim","given":"Kyu-Ho"},{"family":"Choung","given":"Jin Seung"},{"family":"Kim","given":"Hyun-Jin"},{"family":"Sim","given":"Hye Ryeong"},{"family":"Suh","given":"Mi Ri"},{"family":"Jung","given":"Joo Eun"},{"family":"Kim","given":"MinYoung"}],"issued":{"date-parts":[["2021",11,5]]}}},{"id":14793,"uris":["http://zotero.org/users/9311172/items/V2P3EVGK"],"itemData":{"id":14793,"type":"article-journal","abstract":"A global, quantitative proteomics/systems-biology analysis of the selective pharmacological inhibition of phosphodiesterase-4D (PDE4D) revealed the differential regulation of pathways associated with neuroplasticity in memory-associated brain regions. Subtype selective inhibitors of PDE4D bind in an allosteric site that differs between mice and humans in a single amino acid (tyrosine vs. phenylalanine, respectively). Therefore to study selective inhibition of PDE4D by BPN14770, a subtype selective allosteric inhibitor of PDE4D, we utilized a line of mice in which the PDE4D gene had been humanized by mutating the critical tyrosine to phenylalanine. Relatively low doses of BPN14770 were effective at reversing scopolamine-induced memory and cognitive deficits in humanized PDE4D mice. Inhibition of PDE4D alters the expression of protein kinase A (PKA), Sirt1, Akt, and Bcl-2/Bax which are components of signaling pathways for regulating endocrine response, stress resistance, neuronal autophagy, and apoptosis. Treatment with a series of antagonists, such as H89, sirtinol, and MK-2206, reversed the effect of BPN14770 as shown by behavioral tests and immunoblot analysis. These findings suggest that inhibition of PDE4D enhances signaling through the cAMP-PKA-SIRT1-Akt -Bcl-2/Bax pathway and thereby may provide therapeutic benefit in neurocognitive disorders.\n\n</w:instrText>
      </w:r>
      <w:r>
        <w:rPr>
          <w:rFonts w:ascii="Times New Roman" w:eastAsia="宋体" w:hAnsi="Times New Roman" w:cs="Times New Roman"/>
          <w:kern w:val="0"/>
          <w14:ligatures w14:val="none"/>
        </w:rPr>
        <w:instrText>【摘要翻译】对磷酸二酯酶</w:instrText>
      </w:r>
      <w:r>
        <w:rPr>
          <w:rFonts w:ascii="Times New Roman" w:eastAsia="宋体" w:hAnsi="Times New Roman" w:cs="Times New Roman"/>
          <w:kern w:val="0"/>
          <w14:ligatures w14:val="none"/>
        </w:rPr>
        <w:instrText xml:space="preserve"> -4D (PDE4D)</w:instrText>
      </w:r>
      <w:r>
        <w:rPr>
          <w:rFonts w:ascii="Times New Roman" w:eastAsia="宋体" w:hAnsi="Times New Roman" w:cs="Times New Roman"/>
          <w:kern w:val="0"/>
          <w14:ligatures w14:val="none"/>
        </w:rPr>
        <w:instrText>的选择性药理学抑制的全球定量蛋白质组学</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系统生物学分析揭示了记忆相关脑区中与神经可塑性相关的途径的差异调节。</w:instrText>
      </w:r>
      <w:r>
        <w:rPr>
          <w:rFonts w:ascii="Times New Roman" w:eastAsia="宋体" w:hAnsi="Times New Roman" w:cs="Times New Roman"/>
          <w:kern w:val="0"/>
          <w14:ligatures w14:val="none"/>
        </w:rPr>
        <w:instrText xml:space="preserve">PDE4D </w:instrText>
      </w:r>
      <w:r>
        <w:rPr>
          <w:rFonts w:ascii="Times New Roman" w:eastAsia="宋体" w:hAnsi="Times New Roman" w:cs="Times New Roman"/>
          <w:kern w:val="0"/>
          <w14:ligatures w14:val="none"/>
        </w:rPr>
        <w:instrText>的亚型选择性抑制剂在一个变构位点结合，这个变构位点在单个氨基酸中小鼠和人之间是不同的</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分别是酪氨酸和苯丙氨酸</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。因此，为了研究</w:instrText>
      </w:r>
      <w:r>
        <w:rPr>
          <w:rFonts w:ascii="Times New Roman" w:eastAsia="宋体" w:hAnsi="Times New Roman" w:cs="Times New Roman"/>
          <w:kern w:val="0"/>
          <w14:ligatures w14:val="none"/>
        </w:rPr>
        <w:instrText xml:space="preserve"> PDE4D </w:instrText>
      </w:r>
      <w:r>
        <w:rPr>
          <w:rFonts w:ascii="Times New Roman" w:eastAsia="宋体" w:hAnsi="Times New Roman" w:cs="Times New Roman"/>
          <w:kern w:val="0"/>
          <w14:ligatures w14:val="none"/>
        </w:rPr>
        <w:instrText>的亚型选择性变构抑制剂</w:instrText>
      </w:r>
      <w:r>
        <w:rPr>
          <w:rFonts w:ascii="Times New Roman" w:eastAsia="宋体" w:hAnsi="Times New Roman" w:cs="Times New Roman"/>
          <w:kern w:val="0"/>
          <w14:ligatures w14:val="none"/>
        </w:rPr>
        <w:instrText xml:space="preserve"> BPN14770</w:instrText>
      </w:r>
      <w:r>
        <w:rPr>
          <w:rFonts w:ascii="Times New Roman" w:eastAsia="宋体" w:hAnsi="Times New Roman" w:cs="Times New Roman"/>
          <w:kern w:val="0"/>
          <w14:ligatures w14:val="none"/>
        </w:rPr>
        <w:instrText>对</w:instrText>
      </w:r>
      <w:r>
        <w:rPr>
          <w:rFonts w:ascii="Times New Roman" w:eastAsia="宋体" w:hAnsi="Times New Roman" w:cs="Times New Roman"/>
          <w:kern w:val="0"/>
          <w14:ligatures w14:val="none"/>
        </w:rPr>
        <w:instrText xml:space="preserve"> PDE4D </w:instrText>
      </w:r>
      <w:r>
        <w:rPr>
          <w:rFonts w:ascii="Times New Roman" w:eastAsia="宋体" w:hAnsi="Times New Roman" w:cs="Times New Roman"/>
          <w:kern w:val="0"/>
          <w14:ligatures w14:val="none"/>
        </w:rPr>
        <w:instrText>的选择性抑制作用，我们利用了通过将关键酪氨酸突变为苯丙氨酸使</w:instrText>
      </w:r>
      <w:r>
        <w:rPr>
          <w:rFonts w:ascii="Times New Roman" w:eastAsia="宋体" w:hAnsi="Times New Roman" w:cs="Times New Roman"/>
          <w:kern w:val="0"/>
          <w14:ligatures w14:val="none"/>
        </w:rPr>
        <w:instrText xml:space="preserve"> PDE4D </w:instrText>
      </w:r>
      <w:r>
        <w:rPr>
          <w:rFonts w:ascii="Times New Roman" w:eastAsia="宋体" w:hAnsi="Times New Roman" w:cs="Times New Roman"/>
          <w:kern w:val="0"/>
          <w14:ligatures w14:val="none"/>
        </w:rPr>
        <w:instrText>基因人源化的一系小鼠。相对低剂量的</w:instrText>
      </w:r>
      <w:r>
        <w:rPr>
          <w:rFonts w:ascii="Times New Roman" w:eastAsia="宋体" w:hAnsi="Times New Roman" w:cs="Times New Roman"/>
          <w:kern w:val="0"/>
          <w14:ligatures w14:val="none"/>
        </w:rPr>
        <w:instrText xml:space="preserve"> BPN14770</w:instrText>
      </w:r>
      <w:r>
        <w:rPr>
          <w:rFonts w:ascii="Times New Roman" w:eastAsia="宋体" w:hAnsi="Times New Roman" w:cs="Times New Roman"/>
          <w:kern w:val="0"/>
          <w14:ligatures w14:val="none"/>
        </w:rPr>
        <w:instrText>能有效逆转东莨菪碱诱导的人源化</w:instrText>
      </w:r>
      <w:r>
        <w:rPr>
          <w:rFonts w:ascii="Times New Roman" w:eastAsia="宋体" w:hAnsi="Times New Roman" w:cs="Times New Roman"/>
          <w:kern w:val="0"/>
          <w14:ligatures w14:val="none"/>
        </w:rPr>
        <w:instrText xml:space="preserve"> PDE4D </w:instrText>
      </w:r>
      <w:r>
        <w:rPr>
          <w:rFonts w:ascii="Times New Roman" w:eastAsia="宋体" w:hAnsi="Times New Roman" w:cs="Times New Roman"/>
          <w:kern w:val="0"/>
          <w14:ligatures w14:val="none"/>
        </w:rPr>
        <w:instrText>小鼠的记忆和认知缺陷。抑制</w:instrText>
      </w:r>
      <w:r>
        <w:rPr>
          <w:rFonts w:ascii="Times New Roman" w:eastAsia="宋体" w:hAnsi="Times New Roman" w:cs="Times New Roman"/>
          <w:kern w:val="0"/>
          <w14:ligatures w14:val="none"/>
        </w:rPr>
        <w:instrText xml:space="preserve"> PDE4D </w:instrText>
      </w:r>
      <w:r>
        <w:rPr>
          <w:rFonts w:ascii="Times New Roman" w:eastAsia="宋体" w:hAnsi="Times New Roman" w:cs="Times New Roman"/>
          <w:kern w:val="0"/>
          <w14:ligatures w14:val="none"/>
        </w:rPr>
        <w:instrText>会改变蛋白激酶</w:instrText>
      </w:r>
      <w:r>
        <w:rPr>
          <w:rFonts w:ascii="Times New Roman" w:eastAsia="宋体" w:hAnsi="Times New Roman" w:cs="Times New Roman"/>
          <w:kern w:val="0"/>
          <w14:ligatures w14:val="none"/>
        </w:rPr>
        <w:instrText xml:space="preserve">A </w:instrText>
      </w:r>
      <w:r>
        <w:rPr>
          <w:rFonts w:ascii="Times New Roman" w:eastAsia="宋体" w:hAnsi="Times New Roman" w:cs="Times New Roman"/>
          <w:kern w:val="0"/>
          <w14:ligatures w14:val="none"/>
        </w:rPr>
        <w:instrText>蛋白</w:instrText>
      </w:r>
      <w:r>
        <w:rPr>
          <w:rFonts w:ascii="Times New Roman" w:eastAsia="宋体" w:hAnsi="Times New Roman" w:cs="Times New Roman"/>
          <w:kern w:val="0"/>
          <w14:ligatures w14:val="none"/>
        </w:rPr>
        <w:instrText>(PKA)</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 Sirt1</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 Akt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Bcl-2/Bax </w:instrText>
      </w:r>
      <w:r>
        <w:rPr>
          <w:rFonts w:ascii="Times New Roman" w:eastAsia="宋体" w:hAnsi="Times New Roman" w:cs="Times New Roman"/>
          <w:kern w:val="0"/>
          <w14:ligatures w14:val="none"/>
        </w:rPr>
        <w:instrText>的表达，这些蛋白是调节内分泌反应、应激抵抗、神经元自噬和细胞凋亡的信号传导途径的组成部分。如行为试验和免疫印迹分析所示，用一系列拮抗剂如</w:instrText>
      </w:r>
      <w:r>
        <w:rPr>
          <w:rFonts w:ascii="Times New Roman" w:eastAsia="宋体" w:hAnsi="Times New Roman" w:cs="Times New Roman"/>
          <w:kern w:val="0"/>
          <w14:ligatures w14:val="none"/>
        </w:rPr>
        <w:instrText xml:space="preserve"> H89</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sirtinol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MK-2206</w:instrText>
      </w:r>
      <w:r>
        <w:rPr>
          <w:rFonts w:ascii="Times New Roman" w:eastAsia="宋体" w:hAnsi="Times New Roman" w:cs="Times New Roman"/>
          <w:kern w:val="0"/>
          <w14:ligatures w14:val="none"/>
        </w:rPr>
        <w:instrText>治疗可逆转</w:instrText>
      </w:r>
      <w:r>
        <w:rPr>
          <w:rFonts w:ascii="Times New Roman" w:eastAsia="宋体" w:hAnsi="Times New Roman" w:cs="Times New Roman"/>
          <w:kern w:val="0"/>
          <w14:ligatures w14:val="none"/>
        </w:rPr>
        <w:instrText xml:space="preserve"> BPN14770</w:instrText>
      </w:r>
      <w:r>
        <w:rPr>
          <w:rFonts w:ascii="Times New Roman" w:eastAsia="宋体" w:hAnsi="Times New Roman" w:cs="Times New Roman"/>
          <w:kern w:val="0"/>
          <w14:ligatures w14:val="none"/>
        </w:rPr>
        <w:instrText>的作用。这些发现表明抑制</w:instrText>
      </w:r>
      <w:r>
        <w:rPr>
          <w:rFonts w:ascii="Times New Roman" w:eastAsia="宋体" w:hAnsi="Times New Roman" w:cs="Times New Roman"/>
          <w:kern w:val="0"/>
          <w14:ligatures w14:val="none"/>
        </w:rPr>
        <w:instrText xml:space="preserve"> PDE4D </w:instrText>
      </w:r>
      <w:r>
        <w:rPr>
          <w:rFonts w:ascii="Times New Roman" w:eastAsia="宋体" w:hAnsi="Times New Roman" w:cs="Times New Roman"/>
          <w:kern w:val="0"/>
          <w14:ligatures w14:val="none"/>
        </w:rPr>
        <w:instrText>通过</w:instrText>
      </w:r>
      <w:r>
        <w:rPr>
          <w:rFonts w:ascii="Times New Roman" w:eastAsia="宋体" w:hAnsi="Times New Roman" w:cs="Times New Roman"/>
          <w:kern w:val="0"/>
          <w14:ligatures w14:val="none"/>
        </w:rPr>
        <w:instrText xml:space="preserve"> cAMP-PKA-SIRT1-Akt-Bcl-2/Bax </w:instrText>
      </w:r>
      <w:r>
        <w:rPr>
          <w:rFonts w:ascii="Times New Roman" w:eastAsia="宋体" w:hAnsi="Times New Roman" w:cs="Times New Roman"/>
          <w:kern w:val="0"/>
          <w14:ligatures w14:val="none"/>
        </w:rPr>
        <w:instrText>途径增强信号传导，从而可能为神经认知障碍提供治疗益处。</w:instrText>
      </w:r>
      <w:r>
        <w:rPr>
          <w:rFonts w:ascii="Times New Roman" w:eastAsia="宋体" w:hAnsi="Times New Roman" w:cs="Times New Roman"/>
          <w:kern w:val="0"/>
          <w14:ligatures w14:val="none"/>
        </w:rPr>
        <w:instrText>","archive_location":"27 citation(s)","call-number":"2","container-title":"Frontiers in Cell and Developmental Biology","DOI":"10.3389/fcell.2020.599389","ISSN":"2296-634X","journalAbbreviation":"Front. Cell Dev. Biol.","language":"en","license":"</w:instrText>
      </w:r>
      <w:r>
        <w:rPr>
          <w:rFonts w:ascii="Times New Roman" w:eastAsia="宋体" w:hAnsi="Times New Roman" w:cs="Times New Roman"/>
          <w:kern w:val="0"/>
          <w14:ligatures w14:val="none"/>
        </w:rPr>
        <w:instrText>小鼠，</w:instrText>
      </w:r>
      <w:r>
        <w:rPr>
          <w:rFonts w:ascii="Times New Roman" w:eastAsia="宋体" w:hAnsi="Times New Roman" w:cs="Times New Roman"/>
          <w:kern w:val="0"/>
          <w14:ligatures w14:val="none"/>
        </w:rPr>
        <w:instrText>ip</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MK-2206</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100 mg/kg","note":"titleTranslation: </w:instrText>
      </w:r>
      <w:r>
        <w:rPr>
          <w:rFonts w:ascii="Times New Roman" w:eastAsia="宋体" w:hAnsi="Times New Roman" w:cs="Times New Roman"/>
          <w:kern w:val="0"/>
          <w14:ligatures w14:val="none"/>
        </w:rPr>
        <w:instrText>新型</w:instrText>
      </w:r>
      <w:r>
        <w:rPr>
          <w:rFonts w:ascii="Times New Roman" w:eastAsia="宋体" w:hAnsi="Times New Roman" w:cs="Times New Roman"/>
          <w:kern w:val="0"/>
          <w14:ligatures w14:val="none"/>
        </w:rPr>
        <w:instrText>PDE4D</w:instrText>
      </w:r>
      <w:r>
        <w:rPr>
          <w:rFonts w:ascii="Times New Roman" w:eastAsia="宋体" w:hAnsi="Times New Roman" w:cs="Times New Roman"/>
          <w:kern w:val="0"/>
          <w14:ligatures w14:val="none"/>
        </w:rPr>
        <w:instrText>抑制剂</w:instrText>
      </w:r>
      <w:r>
        <w:rPr>
          <w:rFonts w:ascii="Times New Roman" w:eastAsia="宋体" w:hAnsi="Times New Roman" w:cs="Times New Roman"/>
          <w:kern w:val="0"/>
          <w14:ligatures w14:val="none"/>
        </w:rPr>
        <w:instrText>BPN14770</w:instrText>
      </w:r>
      <w:r>
        <w:rPr>
          <w:rFonts w:ascii="Times New Roman" w:eastAsia="宋体" w:hAnsi="Times New Roman" w:cs="Times New Roman"/>
          <w:kern w:val="0"/>
          <w14:ligatures w14:val="none"/>
        </w:rPr>
        <w:instrText>通过</w:instrText>
      </w:r>
      <w:r>
        <w:rPr>
          <w:rFonts w:ascii="Times New Roman" w:eastAsia="宋体" w:hAnsi="Times New Roman" w:cs="Times New Roman"/>
          <w:kern w:val="0"/>
          <w14:ligatures w14:val="none"/>
        </w:rPr>
        <w:instrText>cAMP/SIRT1/Akt/Bcl-2</w:instrText>
      </w:r>
      <w:r>
        <w:rPr>
          <w:rFonts w:ascii="Times New Roman" w:eastAsia="宋体" w:hAnsi="Times New Roman" w:cs="Times New Roman"/>
          <w:kern w:val="0"/>
          <w14:ligatures w14:val="none"/>
        </w:rPr>
        <w:instrText>途径逆转东莨菪碱诱导的认知缺陷</w:instrText>
      </w:r>
      <w:r>
        <w:rPr>
          <w:rFonts w:ascii="Times New Roman" w:eastAsia="宋体" w:hAnsi="Times New Roman" w:cs="Times New Roman"/>
          <w:kern w:val="0"/>
          <w14:ligatures w14:val="none"/>
        </w:rPr>
        <w:instrText>\nTLDR: It is suggested that inhibition of PDE4D enhances signaling through the cAMP-PKA-SIRT1-Akt -Bcl-2/Bax pathway and thereby may provide therapeutic benefit in neurocognitive disorders.","page":"599389","PMID":"33363155","PMCID":"PMC7758534","source":"4.6 (Q1)","title":"A Novel PDE4D Inhibitor BPN14770 Reverses Scopolamine-Induced Cognitive Deficits via cAMP/SIRT1/Akt/Bcl-2 Pathway","title-short":"</w:instrText>
      </w:r>
      <w:r>
        <w:rPr>
          <w:rFonts w:ascii="Times New Roman" w:eastAsia="宋体" w:hAnsi="Times New Roman" w:cs="Times New Roman"/>
          <w:kern w:val="0"/>
          <w14:ligatures w14:val="none"/>
        </w:rPr>
        <w:instrText>新型</w:instrText>
      </w:r>
      <w:r>
        <w:rPr>
          <w:rFonts w:ascii="Times New Roman" w:eastAsia="宋体" w:hAnsi="Times New Roman" w:cs="Times New Roman"/>
          <w:kern w:val="0"/>
          <w14:ligatures w14:val="none"/>
        </w:rPr>
        <w:instrText xml:space="preserve"> PDE4D </w:instrText>
      </w:r>
      <w:r>
        <w:rPr>
          <w:rFonts w:ascii="Times New Roman" w:eastAsia="宋体" w:hAnsi="Times New Roman" w:cs="Times New Roman"/>
          <w:kern w:val="0"/>
          <w14:ligatures w14:val="none"/>
        </w:rPr>
        <w:instrText>抑制剂</w:instrText>
      </w:r>
      <w:r>
        <w:rPr>
          <w:rFonts w:ascii="Times New Roman" w:eastAsia="宋体" w:hAnsi="Times New Roman" w:cs="Times New Roman"/>
          <w:kern w:val="0"/>
          <w14:ligatures w14:val="none"/>
        </w:rPr>
        <w:instrText xml:space="preserve"> BPN14770</w:instrText>
      </w:r>
      <w:r>
        <w:rPr>
          <w:rFonts w:ascii="Times New Roman" w:eastAsia="宋体" w:hAnsi="Times New Roman" w:cs="Times New Roman"/>
          <w:kern w:val="0"/>
          <w14:ligatures w14:val="none"/>
        </w:rPr>
        <w:instrText>通过</w:instrText>
      </w:r>
      <w:r>
        <w:rPr>
          <w:rFonts w:ascii="Times New Roman" w:eastAsia="宋体" w:hAnsi="Times New Roman" w:cs="Times New Roman"/>
          <w:kern w:val="0"/>
          <w14:ligatures w14:val="none"/>
        </w:rPr>
        <w:instrText xml:space="preserve"> cAMP/SIRT1/Akt/Bcl-2</w:instrText>
      </w:r>
      <w:r>
        <w:rPr>
          <w:rFonts w:ascii="Times New Roman" w:eastAsia="宋体" w:hAnsi="Times New Roman" w:cs="Times New Roman"/>
          <w:kern w:val="0"/>
          <w14:ligatures w14:val="none"/>
        </w:rPr>
        <w:instrText>途径逆转东莨菪碱诱导的认知功能障碍</w:instrText>
      </w:r>
      <w:r>
        <w:rPr>
          <w:rFonts w:ascii="Times New Roman" w:eastAsia="宋体" w:hAnsi="Times New Roman" w:cs="Times New Roman"/>
          <w:kern w:val="0"/>
          <w14:ligatures w14:val="none"/>
        </w:rPr>
        <w:instrText xml:space="preserve">","volume":"8","author":[{"family":"Wang","given":"Yulu"},{"family":"Gao","given":"Shichao"},{"family":"Zheng","given":"Victor"},{"family":"Chen","given":"Ling"},{"family":"Ma","given":"Min"},{"family":"Shen","given":"Shichen"},{"family":"Qu","given":"Jun"},{"family":"Zhang","given":"Hanting"},{"family":"Gurney","given":"Mark E."},{"family":"O’Donnell","given":"James M."},{"family":"Xu","given":"Ying"}],"issued":{"date-parts":[["2020"]]}}}],"schema":"https://github.com/citation-style-language/schema/raw/master/csl-citation.json"}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kern w:val="0"/>
        </w:rPr>
        <w:t>[1–4]</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iCs/>
          <w:kern w:val="0"/>
          <w:lang w:eastAsia="zh-CN"/>
          <w14:ligatures w14:val="none"/>
        </w:rPr>
        <w:t xml:space="preserve"> and validated in our pilot studies—effectively inhibited hippocampal p-PI3K or p-Akt2, respectively, without overt toxicity. Control animals received vehicle (DMSO-saline). </w:t>
      </w:r>
      <w:r>
        <w:rPr>
          <w:rFonts w:ascii="Times New Roman" w:eastAsia="Times New Roman" w:hAnsi="Times New Roman" w:cs="Times New Roman"/>
          <w:kern w:val="0"/>
          <w:lang w:eastAsia="zh-CN"/>
          <w14:ligatures w14:val="none"/>
        </w:rPr>
        <w:t>For each group, four rats were used for western blotting, and 12 were used for immunofluorescence, TEM, and Golgi staining (Figure S1).</w:t>
      </w:r>
    </w:p>
    <w:p w14:paraId="0D939319" w14:textId="77777777" w:rsidR="00210785" w:rsidRDefault="00000000">
      <w:pPr>
        <w:spacing w:after="0" w:line="480" w:lineRule="auto"/>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kern w:val="0"/>
          <w:lang w:eastAsia="zh-CN"/>
          <w14:ligatures w14:val="none"/>
        </w:rPr>
        <w:t>References:</w:t>
      </w:r>
    </w:p>
    <w:p w14:paraId="717ECFAA" w14:textId="1E77C9CE" w:rsidR="00210785" w:rsidRDefault="00000000" w:rsidP="002D4670">
      <w:pPr>
        <w:pStyle w:val="14"/>
        <w:spacing w:after="0" w:line="480" w:lineRule="auto"/>
        <w:jc w:val="both"/>
        <w:rPr>
          <w:rFonts w:ascii="Times New Roman" w:hAnsi="Times New Roman" w:cs="Times New Roman"/>
        </w:rPr>
      </w:pPr>
      <w:r>
        <w:rPr>
          <w:rFonts w:ascii="Times New Roman" w:eastAsia="宋体" w:hAnsi="Times New Roman" w:cs="Times New Roman"/>
          <w:b/>
          <w:bCs/>
        </w:rPr>
        <w:fldChar w:fldCharType="begin"/>
      </w:r>
      <w:r>
        <w:rPr>
          <w:rFonts w:ascii="Times New Roman" w:eastAsia="宋体" w:hAnsi="Times New Roman" w:cs="Times New Roman"/>
          <w:b/>
          <w:bCs/>
        </w:rPr>
        <w:instrText xml:space="preserve"> ADDIN ZOTERO_BIBL {"uncited":[],"omitted":[],"custom":[]} CSL_BIBLIOGRAPHY </w:instrText>
      </w:r>
      <w:r>
        <w:rPr>
          <w:rFonts w:ascii="Times New Roman" w:eastAsia="宋体" w:hAnsi="Times New Roman" w:cs="Times New Roman"/>
          <w:b/>
          <w:bCs/>
        </w:rPr>
        <w:fldChar w:fldCharType="separate"/>
      </w:r>
      <w:r w:rsidR="002D4670">
        <w:rPr>
          <w:rFonts w:ascii="Times New Roman" w:eastAsia="等线" w:hAnsi="Times New Roman" w:cs="Times New Roman" w:hint="eastAsia"/>
          <w:lang w:eastAsia="zh-CN"/>
        </w:rPr>
        <w:t>1</w:t>
      </w:r>
      <w:r w:rsidR="002D4670" w:rsidRPr="002D4670">
        <w:rPr>
          <w:rFonts w:ascii="Times New Roman" w:hAnsi="Times New Roman" w:cs="Times New Roman"/>
        </w:rPr>
        <w:tab/>
        <w:t>Zhao Y, Yang L, Chen M, Gao F, Lv Y, Li X, Liu H (2024) Study on Undercarboxylated Osteocalcin in Improving Cognitive Function of Rats with Type 2 Diabetes Mellitus by Regulating PI3K-AKT-GSK/3β Signaling Pathwaythrough medical images. Biotechnol Genet Eng Rev 40:2246-2261. doi.10.1080/02648725.2023.2199238</w:t>
      </w:r>
    </w:p>
    <w:p w14:paraId="28F1A5B2" w14:textId="4ACEC2F5" w:rsidR="00210785" w:rsidRDefault="00000000" w:rsidP="002D4670">
      <w:pPr>
        <w:pStyle w:val="14"/>
        <w:spacing w:after="0" w:line="48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2D4670" w:rsidRPr="002D4670">
        <w:rPr>
          <w:rFonts w:ascii="Times New Roman" w:hAnsi="Times New Roman" w:cs="Times New Roman"/>
        </w:rPr>
        <w:t>Ahmed HH, Essam RM, El-Yamany MF, Ahmed KA, El-Sahar AE (2023) Unleashing lactoferrin’s antidepressant potential through the PI3K/Akt/mTOR pathway in chronic restraint stress rats. Food Funct 14:9265-9278. doi.10.1039/D3FO02222F</w:t>
      </w:r>
    </w:p>
    <w:p w14:paraId="596E57BB" w14:textId="7919FC27" w:rsidR="00210785" w:rsidRDefault="00000000" w:rsidP="002D4670">
      <w:pPr>
        <w:pStyle w:val="14"/>
        <w:spacing w:after="0" w:line="48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2D4670" w:rsidRPr="002D4670">
        <w:rPr>
          <w:rFonts w:ascii="Times New Roman" w:hAnsi="Times New Roman" w:cs="Times New Roman"/>
        </w:rPr>
        <w:t>Choi JI, Choi J-W, Shim K-H, Choung JS, Kim H-J, Sim HR, Suh MR, Jung JE, Kim M (2021) Synergistic effect in neurological recovery via anti-apoptotic Akt signaling in umbilical cord blood and erythropoietin combination therapy for neonatal hypoxic-ischemic brain injury. Int J Mol Sci 22:11995. doi.10.3390/ijms222111995</w:t>
      </w:r>
    </w:p>
    <w:p w14:paraId="7928985E" w14:textId="74EB6B7C" w:rsidR="00210785" w:rsidRDefault="00000000" w:rsidP="002D4670">
      <w:pPr>
        <w:pStyle w:val="14"/>
        <w:spacing w:after="0" w:line="480" w:lineRule="auto"/>
        <w:jc w:val="both"/>
        <w:rPr>
          <w:rFonts w:ascii="Times New Roman" w:eastAsia="等线" w:hAnsi="Times New Roman" w:cs="Times New Roman"/>
          <w:lang w:eastAsia="zh-CN"/>
        </w:rPr>
      </w:pPr>
      <w:r>
        <w:rPr>
          <w:rFonts w:ascii="Times New Roman" w:hAnsi="Times New Roman" w:cs="Times New Roman"/>
        </w:rPr>
        <w:t>4.</w:t>
      </w:r>
      <w:r>
        <w:rPr>
          <w:rFonts w:ascii="Times New Roman" w:hAnsi="Times New Roman" w:cs="Times New Roman"/>
        </w:rPr>
        <w:tab/>
      </w:r>
      <w:r w:rsidR="002D4670" w:rsidRPr="002D4670">
        <w:rPr>
          <w:rFonts w:ascii="Times New Roman" w:hAnsi="Times New Roman" w:cs="Times New Roman"/>
        </w:rPr>
        <w:t>Wang Y, Gao S, Zheng V, Chen L, Ma M, Shen S, Qu J, Zhang H, Gurney ME, O’Donnell JM, Xu Y (2020) A novel PDE4D inhibitor BPN14770 reverses scopolamine-induced cognitive deficits via cAMP/SIRT1/Akt/Bcl-2 pathway. Front Cell Dev Biol 8:599389. doi.10.3389/fcell.2020.599389</w:t>
      </w:r>
    </w:p>
    <w:p w14:paraId="63D6F16E" w14:textId="4AA47936" w:rsidR="00210785" w:rsidRPr="00A4105A" w:rsidRDefault="00000000">
      <w:pPr>
        <w:spacing w:after="0" w:line="240" w:lineRule="auto"/>
        <w:rPr>
          <w:rFonts w:ascii="Times New Roman" w:eastAsia="宋体" w:hAnsi="Times New Roman" w:cs="Times New Roman" w:hint="eastAsia"/>
          <w:b/>
          <w:bCs/>
          <w:lang w:eastAsia="zh-CN"/>
        </w:rPr>
      </w:pPr>
      <w:r>
        <w:rPr>
          <w:rFonts w:ascii="Times New Roman" w:eastAsia="宋体" w:hAnsi="Times New Roman" w:cs="Times New Roman"/>
          <w:b/>
          <w:bCs/>
        </w:rPr>
        <w:lastRenderedPageBreak/>
        <w:fldChar w:fldCharType="end"/>
      </w:r>
    </w:p>
    <w:p w14:paraId="47F8ECFD" w14:textId="77777777" w:rsidR="00210785" w:rsidRDefault="00000000">
      <w:pPr>
        <w:pStyle w:val="AuthorsFull"/>
        <w:spacing w:line="360" w:lineRule="auto"/>
        <w:jc w:val="both"/>
        <w:rPr>
          <w:rFonts w:eastAsia="等线"/>
          <w:b/>
          <w:bCs/>
          <w:i w:val="0"/>
          <w:iCs/>
          <w:lang w:eastAsia="zh-CN"/>
        </w:rPr>
      </w:pPr>
      <w:r>
        <w:rPr>
          <w:rFonts w:eastAsia="等线"/>
          <w:b/>
          <w:bCs/>
          <w:i w:val="0"/>
          <w:iCs/>
          <w:lang w:eastAsia="zh-CN"/>
        </w:rPr>
        <w:t>Supplementary Notes 1.</w:t>
      </w:r>
      <w:r>
        <w:rPr>
          <w:rFonts w:eastAsia="等线" w:hint="eastAsia"/>
          <w:b/>
          <w:bCs/>
          <w:i w:val="0"/>
          <w:iCs/>
          <w:lang w:eastAsia="zh-CN"/>
        </w:rPr>
        <w:t>2</w:t>
      </w:r>
      <w:r>
        <w:rPr>
          <w:rFonts w:eastAsia="等线"/>
          <w:b/>
          <w:bCs/>
          <w:i w:val="0"/>
          <w:iCs/>
          <w:lang w:eastAsia="zh-CN"/>
        </w:rPr>
        <w:t>: Behavioral tests</w:t>
      </w:r>
    </w:p>
    <w:p w14:paraId="33A8928F" w14:textId="77777777" w:rsidR="00210785" w:rsidRDefault="00210785" w:rsidP="006864FD">
      <w:pPr>
        <w:pStyle w:val="AuthorsFull"/>
        <w:jc w:val="both"/>
        <w:rPr>
          <w:rFonts w:eastAsia="等线"/>
          <w:b/>
          <w:bCs/>
          <w:i w:val="0"/>
          <w:iCs/>
          <w:lang w:eastAsia="zh-CN"/>
        </w:rPr>
      </w:pPr>
    </w:p>
    <w:p w14:paraId="650B39F6" w14:textId="77777777" w:rsidR="00210785" w:rsidRDefault="00000000">
      <w:pPr>
        <w:spacing w:after="0" w:line="480" w:lineRule="auto"/>
        <w:jc w:val="both"/>
        <w:rPr>
          <w:rFonts w:ascii="Times New Roman" w:eastAsia="等线" w:hAnsi="Times New Roman" w:cs="Times New Roman"/>
          <w:bCs/>
          <w:kern w:val="0"/>
          <w:lang w:eastAsia="zh-CN"/>
          <w14:ligatures w14:val="none"/>
        </w:rPr>
      </w:pPr>
      <w:r>
        <w:rPr>
          <w:rFonts w:ascii="Times New Roman" w:eastAsia="Times New Roman" w:hAnsi="Times New Roman" w:cs="Times New Roman"/>
          <w:kern w:val="0"/>
          <w:lang w:eastAsia="zh-CN"/>
          <w14:ligatures w14:val="none"/>
        </w:rPr>
        <w:t>Rats were acclimated to the testing room for 30 min before each experiment. All behavioral tests were conducted between 7:00 AM and 7:00 PM under controlled light and noise conditions. Tests were performed in order of invasiveness, from least to most invasive. The apparatus was cleaned with 75% ethanol between trials. Behavioral data were analyzed using Smart 3.0 (Panlab, S.L.U., Barcelona, Spain) or manually scored by a blinded experimenter.</w:t>
      </w:r>
    </w:p>
    <w:p w14:paraId="7ABB6D2D" w14:textId="77777777" w:rsidR="00210785" w:rsidRDefault="00000000">
      <w:pPr>
        <w:spacing w:after="0" w:line="480" w:lineRule="auto"/>
        <w:jc w:val="both"/>
        <w:rPr>
          <w:rFonts w:ascii="Times New Roman" w:eastAsia="宋体" w:hAnsi="Times New Roman" w:cs="Times New Roman"/>
          <w:b/>
          <w:kern w:val="0"/>
          <w:lang w:eastAsia="zh-CN"/>
          <w14:ligatures w14:val="none"/>
        </w:rPr>
      </w:pPr>
      <w:r>
        <w:rPr>
          <w:rFonts w:ascii="Times New Roman" w:eastAsia="Times New Roman" w:hAnsi="Times New Roman" w:cs="Times New Roman"/>
          <w:b/>
          <w:kern w:val="0"/>
          <w:lang w:eastAsia="zh-CN"/>
          <w14:ligatures w14:val="none"/>
        </w:rPr>
        <w:t>1</w:t>
      </w:r>
      <w:r>
        <w:rPr>
          <w:rFonts w:ascii="Times New Roman" w:eastAsia="等线" w:hAnsi="Times New Roman" w:cs="Times New Roman"/>
          <w:b/>
          <w:kern w:val="0"/>
          <w:lang w:eastAsia="zh-CN"/>
          <w14:ligatures w14:val="none"/>
        </w:rPr>
        <w:t>.</w:t>
      </w:r>
      <w:r>
        <w:rPr>
          <w:rFonts w:ascii="Times New Roman" w:eastAsia="Times New Roman" w:hAnsi="Times New Roman" w:cs="Times New Roman"/>
          <w:b/>
          <w:kern w:val="0"/>
          <w:lang w:eastAsia="zh-CN"/>
          <w14:ligatures w14:val="none"/>
        </w:rPr>
        <w:t xml:space="preserve"> Mechanical pain threshold detection</w:t>
      </w:r>
    </w:p>
    <w:p w14:paraId="03585D40" w14:textId="77777777" w:rsidR="00210785" w:rsidRDefault="00000000">
      <w:pPr>
        <w:spacing w:after="0" w:line="480" w:lineRule="auto"/>
        <w:jc w:val="both"/>
        <w:rPr>
          <w:rFonts w:ascii="Times New Roman" w:eastAsia="等线" w:hAnsi="Times New Roman" w:cs="Times New Roman"/>
          <w:kern w:val="0"/>
          <w:lang w:eastAsia="zh-CN"/>
          <w14:ligatures w14:val="none"/>
        </w:rPr>
      </w:pPr>
      <w:r>
        <w:rPr>
          <w:rFonts w:ascii="Times New Roman" w:eastAsia="Times New Roman" w:hAnsi="Times New Roman" w:cs="Times New Roman"/>
          <w:kern w:val="0"/>
          <w:lang w:eastAsia="zh-CN"/>
          <w14:ligatures w14:val="none"/>
        </w:rPr>
        <w:t xml:space="preserve">The mechanical pain threshold was assessed using von Frey filaments and the “Up–Down” method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{"citationID":"UxXwXXCe","properties":{"formattedCitation":"[1]","plainCitation":"[1]","noteIndex":0},"citationItems":[{"id":14854,"uris":["http://zotero.org/users/9311172/items/67TJSSYD"],"itemData":{"id":14854,"type":"article-journal","abstract":"Trigeminal neuralgia (TN)-related cognitive impairment is a common cause of decreased quality of life in patients and is closely associated with neuroinflammation. Although minocycline has demonstrated antiinflammatory, analgesic, and neuroprotective functions, its role in treating TN-related cognitive impairment remains unreported. In this study, we used an in vivo TN model and an in vitro model of primary microglial neuroinflammation to investigate the potential effects of minocycline on cognitive function and microglial polarization in TN rats. Our results suggested that minocycline treatment attenuated cognitive deficits by alleviating hippocampal neuronal damage and enhancing synaptic plasticity in TN rats. Furthermore, both in vitro and in vivo assays demonstrated that minocycline polarized activated microglia to the M2 phenotype, leading to the reduction of pro-inflammatory factors, including tumor necrosis factor-α and interleukin-1, and an increase in the anti-inflammatory factors, such as interleukin-4 and interleukin-10, thereby attenuating neuroinflammation. Moreover, it was found that the TLR4/MyD88/NF-κB pathway was involved in the shift of microglia from a proinflammatory (M1) to an anti-inflammatory (M2). In summary, minocycline likely mediated the process of microglia polarization partly via the TLR4/MyD88/NF-κB pathway, promoting neuronal survival and restoring synaptic plasticity, thereby improving TN-related cognitive impairment.\n\n</w:instrText>
      </w:r>
      <w:r>
        <w:rPr>
          <w:rFonts w:ascii="Times New Roman" w:eastAsia="宋体" w:hAnsi="Times New Roman" w:cs="Times New Roman"/>
          <w:kern w:val="0"/>
          <w14:ligatures w14:val="none"/>
        </w:rPr>
        <w:instrText>【摘要翻译】与三叉神经痛相关的认知障碍是病人生活质量下降的一个常见原因，与神经炎症密切相关。尽管米诺环素具有抗炎、镇痛和神经保护作用，但其在治疗</w:instrText>
      </w:r>
      <w:r>
        <w:rPr>
          <w:rFonts w:ascii="Times New Roman" w:eastAsia="宋体" w:hAnsi="Times New Roman" w:cs="Times New Roman"/>
          <w:kern w:val="0"/>
          <w14:ligatures w14:val="none"/>
        </w:rPr>
        <w:instrText xml:space="preserve"> TN </w:instrText>
      </w:r>
      <w:r>
        <w:rPr>
          <w:rFonts w:ascii="Times New Roman" w:eastAsia="宋体" w:hAnsi="Times New Roman" w:cs="Times New Roman"/>
          <w:kern w:val="0"/>
          <w14:ligatures w14:val="none"/>
        </w:rPr>
        <w:instrText>相关认知障碍方面的作用尚未见报道。在这项研究中，我们使用在体</w:instrText>
      </w:r>
      <w:r>
        <w:rPr>
          <w:rFonts w:ascii="Times New Roman" w:eastAsia="宋体" w:hAnsi="Times New Roman" w:cs="Times New Roman"/>
          <w:kern w:val="0"/>
          <w14:ligatures w14:val="none"/>
        </w:rPr>
        <w:instrText xml:space="preserve"> TN </w:instrText>
      </w:r>
      <w:r>
        <w:rPr>
          <w:rFonts w:ascii="Times New Roman" w:eastAsia="宋体" w:hAnsi="Times New Roman" w:cs="Times New Roman"/>
          <w:kern w:val="0"/>
          <w14:ligatures w14:val="none"/>
        </w:rPr>
        <w:instrText>模型和原发性小胶质细胞神经炎症的体外模型来研究米诺环素对</w:instrText>
      </w:r>
      <w:r>
        <w:rPr>
          <w:rFonts w:ascii="Times New Roman" w:eastAsia="宋体" w:hAnsi="Times New Roman" w:cs="Times New Roman"/>
          <w:kern w:val="0"/>
          <w14:ligatures w14:val="none"/>
        </w:rPr>
        <w:instrText xml:space="preserve"> TN </w:instrText>
      </w:r>
      <w:r>
        <w:rPr>
          <w:rFonts w:ascii="Times New Roman" w:eastAsia="宋体" w:hAnsi="Times New Roman" w:cs="Times New Roman"/>
          <w:kern w:val="0"/>
          <w14:ligatures w14:val="none"/>
        </w:rPr>
        <w:instrText>大鼠认知功能和小胶质细胞极化的潜在影响。我们的研究结果表明，米诺环素治疗通过减轻</w:instrText>
      </w:r>
      <w:r>
        <w:rPr>
          <w:rFonts w:ascii="Times New Roman" w:eastAsia="宋体" w:hAnsi="Times New Roman" w:cs="Times New Roman"/>
          <w:kern w:val="0"/>
          <w14:ligatures w14:val="none"/>
        </w:rPr>
        <w:instrText xml:space="preserve"> TN </w:instrText>
      </w:r>
      <w:r>
        <w:rPr>
          <w:rFonts w:ascii="Times New Roman" w:eastAsia="宋体" w:hAnsi="Times New Roman" w:cs="Times New Roman"/>
          <w:kern w:val="0"/>
          <w14:ligatures w14:val="none"/>
        </w:rPr>
        <w:instrText>大鼠海马神经元损伤和增强突触可塑性来减轻认知缺陷。此外，体外和体内测定均显示米诺环素将活化的小胶质细胞极化至</w:instrText>
      </w:r>
      <w:r>
        <w:rPr>
          <w:rFonts w:ascii="Times New Roman" w:eastAsia="宋体" w:hAnsi="Times New Roman" w:cs="Times New Roman"/>
          <w:kern w:val="0"/>
          <w14:ligatures w14:val="none"/>
        </w:rPr>
        <w:instrText xml:space="preserve"> M2</w:instrText>
      </w:r>
      <w:r>
        <w:rPr>
          <w:rFonts w:ascii="Times New Roman" w:eastAsia="宋体" w:hAnsi="Times New Roman" w:cs="Times New Roman"/>
          <w:kern w:val="0"/>
          <w14:ligatures w14:val="none"/>
        </w:rPr>
        <w:instrText>表型，导致促炎因子</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包括肿瘤坏死因子</w:instrText>
      </w:r>
      <w:r>
        <w:rPr>
          <w:rFonts w:ascii="Times New Roman" w:eastAsia="宋体" w:hAnsi="Times New Roman" w:cs="Times New Roman"/>
          <w:kern w:val="0"/>
          <w14:ligatures w14:val="none"/>
        </w:rPr>
        <w:instrText xml:space="preserve"> -α </w:instrText>
      </w:r>
      <w:r>
        <w:rPr>
          <w:rFonts w:ascii="Times New Roman" w:eastAsia="宋体" w:hAnsi="Times New Roman" w:cs="Times New Roman"/>
          <w:kern w:val="0"/>
          <w14:ligatures w14:val="none"/>
        </w:rPr>
        <w:instrText>和白细胞介素</w:instrText>
      </w:r>
      <w:r>
        <w:rPr>
          <w:rFonts w:ascii="Times New Roman" w:eastAsia="宋体" w:hAnsi="Times New Roman" w:cs="Times New Roman"/>
          <w:kern w:val="0"/>
          <w14:ligatures w14:val="none"/>
        </w:rPr>
        <w:instrText xml:space="preserve"> -1)</w:instrText>
      </w:r>
      <w:r>
        <w:rPr>
          <w:rFonts w:ascii="Times New Roman" w:eastAsia="宋体" w:hAnsi="Times New Roman" w:cs="Times New Roman"/>
          <w:kern w:val="0"/>
          <w14:ligatures w14:val="none"/>
        </w:rPr>
        <w:instrText>减少，以及抗炎因子</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如白细胞介素</w:instrText>
      </w:r>
      <w:r>
        <w:rPr>
          <w:rFonts w:ascii="Times New Roman" w:eastAsia="宋体" w:hAnsi="Times New Roman" w:cs="Times New Roman"/>
          <w:kern w:val="0"/>
          <w14:ligatures w14:val="none"/>
        </w:rPr>
        <w:instrText xml:space="preserve"> -4</w:instrText>
      </w:r>
      <w:r>
        <w:rPr>
          <w:rFonts w:ascii="Times New Roman" w:eastAsia="宋体" w:hAnsi="Times New Roman" w:cs="Times New Roman"/>
          <w:kern w:val="0"/>
          <w14:ligatures w14:val="none"/>
        </w:rPr>
        <w:instrText>和白细胞介素</w:instrText>
      </w:r>
      <w:r>
        <w:rPr>
          <w:rFonts w:ascii="Times New Roman" w:eastAsia="宋体" w:hAnsi="Times New Roman" w:cs="Times New Roman"/>
          <w:kern w:val="0"/>
          <w14:ligatures w14:val="none"/>
        </w:rPr>
        <w:instrText xml:space="preserve"> -10)</w:instrText>
      </w:r>
      <w:r>
        <w:rPr>
          <w:rFonts w:ascii="Times New Roman" w:eastAsia="宋体" w:hAnsi="Times New Roman" w:cs="Times New Roman"/>
          <w:kern w:val="0"/>
          <w14:ligatures w14:val="none"/>
        </w:rPr>
        <w:instrText>增加，从而减弱神经炎症。此外，发现</w:instrText>
      </w:r>
      <w:r>
        <w:rPr>
          <w:rFonts w:ascii="Times New Roman" w:eastAsia="宋体" w:hAnsi="Times New Roman" w:cs="Times New Roman"/>
          <w:kern w:val="0"/>
          <w14:ligatures w14:val="none"/>
        </w:rPr>
        <w:instrText xml:space="preserve"> TLR4/MyD88/NF-κB </w:instrText>
      </w:r>
      <w:r>
        <w:rPr>
          <w:rFonts w:ascii="Times New Roman" w:eastAsia="宋体" w:hAnsi="Times New Roman" w:cs="Times New Roman"/>
          <w:kern w:val="0"/>
          <w14:ligatures w14:val="none"/>
        </w:rPr>
        <w:instrText>通路参与了小胶质细胞从促炎</w:instrText>
      </w:r>
      <w:r>
        <w:rPr>
          <w:rFonts w:ascii="Times New Roman" w:eastAsia="宋体" w:hAnsi="Times New Roman" w:cs="Times New Roman"/>
          <w:kern w:val="0"/>
          <w14:ligatures w14:val="none"/>
        </w:rPr>
        <w:instrText>(M1)</w:instrText>
      </w:r>
      <w:r>
        <w:rPr>
          <w:rFonts w:ascii="Times New Roman" w:eastAsia="宋体" w:hAnsi="Times New Roman" w:cs="Times New Roman"/>
          <w:kern w:val="0"/>
          <w14:ligatures w14:val="none"/>
        </w:rPr>
        <w:instrText>向抗炎</w:instrText>
      </w:r>
      <w:r>
        <w:rPr>
          <w:rFonts w:ascii="Times New Roman" w:eastAsia="宋体" w:hAnsi="Times New Roman" w:cs="Times New Roman"/>
          <w:kern w:val="0"/>
          <w14:ligatures w14:val="none"/>
        </w:rPr>
        <w:instrText>(M2)</w:instrText>
      </w:r>
      <w:r>
        <w:rPr>
          <w:rFonts w:ascii="Times New Roman" w:eastAsia="宋体" w:hAnsi="Times New Roman" w:cs="Times New Roman"/>
          <w:kern w:val="0"/>
          <w14:ligatures w14:val="none"/>
        </w:rPr>
        <w:instrText>的转变。总之，二甲胺四环素可能部分通过</w:instrText>
      </w:r>
      <w:r>
        <w:rPr>
          <w:rFonts w:ascii="Times New Roman" w:eastAsia="宋体" w:hAnsi="Times New Roman" w:cs="Times New Roman"/>
          <w:kern w:val="0"/>
          <w14:ligatures w14:val="none"/>
        </w:rPr>
        <w:instrText xml:space="preserve"> TLR4/MyD88/NF-κB </w:instrText>
      </w:r>
      <w:r>
        <w:rPr>
          <w:rFonts w:ascii="Times New Roman" w:eastAsia="宋体" w:hAnsi="Times New Roman" w:cs="Times New Roman"/>
          <w:kern w:val="0"/>
          <w14:ligatures w14:val="none"/>
        </w:rPr>
        <w:instrText>途径介导小胶质细胞极化的过程，促进神经元存活和恢复突触可塑性，从而改善</w:instrText>
      </w:r>
      <w:r>
        <w:rPr>
          <w:rFonts w:ascii="Times New Roman" w:eastAsia="宋体" w:hAnsi="Times New Roman" w:cs="Times New Roman"/>
          <w:kern w:val="0"/>
          <w14:ligatures w14:val="none"/>
        </w:rPr>
        <w:instrText xml:space="preserve"> TN </w:instrText>
      </w:r>
      <w:r>
        <w:rPr>
          <w:rFonts w:ascii="Times New Roman" w:eastAsia="宋体" w:hAnsi="Times New Roman" w:cs="Times New Roman"/>
          <w:kern w:val="0"/>
          <w14:ligatures w14:val="none"/>
        </w:rPr>
        <w:instrText>相关的认知障碍。</w:instrText>
      </w:r>
      <w:r>
        <w:rPr>
          <w:rFonts w:ascii="Times New Roman" w:eastAsia="宋体" w:hAnsi="Times New Roman" w:cs="Times New Roman"/>
          <w:kern w:val="0"/>
          <w14:ligatures w14:val="none"/>
        </w:rPr>
        <w:instrText xml:space="preserve">","call-number":"2","container-title":"International Immunopharmacology","DOI":"10.1016/j.intimp.2024.113786","ISSN":"1567-5769","journalAbbreviation":"International Immunopharmacology","language":"en","note":"titleTranslation: </w:instrText>
      </w:r>
      <w:r>
        <w:rPr>
          <w:rFonts w:ascii="Times New Roman" w:eastAsia="宋体" w:hAnsi="Times New Roman" w:cs="Times New Roman"/>
          <w:kern w:val="0"/>
          <w14:ligatures w14:val="none"/>
        </w:rPr>
        <w:instrText>米诺环素通过调节小胶质细胞极化改善三叉神经痛大鼠的认知功能障碍</w:instrText>
      </w:r>
      <w:r>
        <w:rPr>
          <w:rFonts w:ascii="Times New Roman" w:eastAsia="宋体" w:hAnsi="Times New Roman" w:cs="Times New Roman"/>
          <w:kern w:val="0"/>
          <w14:ligatures w14:val="none"/>
        </w:rPr>
        <w:instrText>\nTLDR: Results suggested that minocycline treatment attenuated cognitive deficits by alleviating hippocampal neuronal damage and enhancing synaptic plasticity in TN rats, and likely mediated the process of microglia polarization partly via the TLR4/MyD88/NF-κB pathway, promoting neuronal survival and restoring synaptic plasticity, thereby improving TN-related cognitive impairment.","page":"113786","source":"4.8 (Q1)","title":"Minocycline ameliorates cognitive impairment in rats with trigeminal neuralgia by regulating microglial polarization","title-short":"</w:instrText>
      </w:r>
      <w:r>
        <w:rPr>
          <w:rFonts w:ascii="Times New Roman" w:eastAsia="宋体" w:hAnsi="Times New Roman" w:cs="Times New Roman"/>
          <w:kern w:val="0"/>
          <w14:ligatures w14:val="none"/>
        </w:rPr>
        <w:instrText>米诺环素通过调节小胶质细胞极化改善三叉神经痛大鼠的认知功能障碍</w:instrText>
      </w:r>
      <w:r>
        <w:rPr>
          <w:rFonts w:ascii="Times New Roman" w:eastAsia="宋体" w:hAnsi="Times New Roman" w:cs="Times New Roman"/>
          <w:kern w:val="0"/>
          <w14:ligatures w14:val="none"/>
        </w:rPr>
        <w:instrText xml:space="preserve">","volume":"145","author":[{"family":"Li","given":"Junjie"},{"family":"Mi","given":"Xiaojuan"},{"family":"Yang","given":"Zhilun"},{"family":"Feng","given":"Ziqi"},{"family":"Han","given":"Yong"},{"family":"Wang","given":"Ting"},{"family":"Lv","given":"Haowen"},{"family":"Liu","given":"Yanbo"},{"family":"Wu","given":"Kang"},{"family":"Liu","given":"Juan"}],"issued":{"date-parts":[["2025",1]]}}}],"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rPr>
        <w:t>[1]</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The infraorbital nerve-innervated perinasal area, including the vibrissal pad and adjacent hairy skin, was stimulated with filaments applied perpendicularly. Each stimulus was maintained for 2</w:t>
      </w:r>
      <w:r>
        <w:rPr>
          <w:rFonts w:ascii="Times New Roman" w:eastAsia="宋体" w:hAnsi="Times New Roman" w:cs="Times New Roman"/>
          <w:kern w:val="0"/>
          <w:lang w:eastAsia="zh-CN"/>
          <w14:ligatures w14:val="none"/>
        </w:rPr>
        <w:t>-</w:t>
      </w:r>
      <w:r>
        <w:rPr>
          <w:rFonts w:ascii="Times New Roman" w:eastAsia="Times New Roman" w:hAnsi="Times New Roman" w:cs="Times New Roman"/>
          <w:kern w:val="0"/>
          <w:lang w:eastAsia="zh-CN"/>
          <w14:ligatures w14:val="none"/>
        </w:rPr>
        <w:t>3 s. Behavioral responses were recorded, and the threshold for mechanical pain was calculated based on response patterns and the final filament used. Only rats meeting the baseline threshold criterion (15 g) were included in the study; a total of 5 rats were excluded based on this screening (1 rat in Experiment 1, and 2 rats each in Experiments 2 and 3). A significant decrease in the mechanical pain threshold on the operated side after surgery indicated successful model establishment.</w:t>
      </w:r>
    </w:p>
    <w:p w14:paraId="6FFE0423" w14:textId="77777777" w:rsidR="00210785" w:rsidRDefault="00000000">
      <w:pPr>
        <w:spacing w:after="0" w:line="480" w:lineRule="auto"/>
        <w:jc w:val="both"/>
        <w:rPr>
          <w:rFonts w:ascii="Times New Roman" w:eastAsia="宋体" w:hAnsi="Times New Roman" w:cs="Times New Roman"/>
          <w:b/>
          <w:kern w:val="0"/>
          <w:lang w:eastAsia="zh-CN"/>
          <w14:ligatures w14:val="none"/>
        </w:rPr>
      </w:pPr>
      <w:r>
        <w:rPr>
          <w:rFonts w:ascii="Times New Roman" w:eastAsia="Times New Roman" w:hAnsi="Times New Roman" w:cs="Times New Roman"/>
          <w:b/>
          <w:kern w:val="0"/>
          <w:lang w:eastAsia="zh-CN"/>
          <w14:ligatures w14:val="none"/>
        </w:rPr>
        <w:t>2</w:t>
      </w:r>
      <w:r>
        <w:rPr>
          <w:rFonts w:ascii="Times New Roman" w:eastAsia="宋体" w:hAnsi="Times New Roman" w:cs="Times New Roman"/>
          <w:b/>
          <w:kern w:val="0"/>
          <w:lang w:eastAsia="zh-CN"/>
          <w14:ligatures w14:val="none"/>
        </w:rPr>
        <w:t>.</w:t>
      </w:r>
      <w:r>
        <w:rPr>
          <w:rFonts w:ascii="Times New Roman" w:eastAsia="Times New Roman" w:hAnsi="Times New Roman" w:cs="Times New Roman"/>
          <w:b/>
          <w:kern w:val="0"/>
          <w:lang w:eastAsia="zh-CN"/>
          <w14:ligatures w14:val="none"/>
        </w:rPr>
        <w:t xml:space="preserve"> Open field test (OFT)</w:t>
      </w:r>
    </w:p>
    <w:p w14:paraId="7EF1B323" w14:textId="3E964D9C" w:rsidR="00210785" w:rsidRDefault="00000000">
      <w:pPr>
        <w:spacing w:after="0" w:line="480" w:lineRule="auto"/>
        <w:jc w:val="both"/>
        <w:rPr>
          <w:rFonts w:ascii="Times New Roman" w:eastAsia="等线" w:hAnsi="Times New Roman" w:cs="Times New Roman"/>
          <w:kern w:val="0"/>
          <w:lang w:eastAsia="zh-CN"/>
          <w14:ligatures w14:val="none"/>
        </w:rPr>
      </w:pPr>
      <w:r>
        <w:rPr>
          <w:rFonts w:ascii="Times New Roman" w:eastAsia="Times New Roman" w:hAnsi="Times New Roman" w:cs="Times New Roman"/>
          <w:kern w:val="0"/>
          <w:lang w:eastAsia="zh-CN"/>
          <w14:ligatures w14:val="none"/>
        </w:rPr>
        <w:t xml:space="preserve">Locomotor activity and potential motor deficits that could influence behavioral outcomes were evaluated using the OFT following an established protocol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{"citationID":"gUVhxUSk","properties":{"formattedCitation":"[2]","plainCitation":"[2]","noteIndex":0},"citationItems":[{"id":12625,"uris":["http://zotero.org/users/9311172/items/GE4YHGJT"],"itemData":{"id":12625,"type":"article-journal","abstract":"Chronic pain is often associated with cognitive decline, which could influence the quality of the patient's life. Recent studies have suggested that Toll-like receptor 3 (TLR3) is crucial for memory and learning. Nonetheless, the contribution of TLR3 to the pathogenesis of cognitive decline after ch …\n\n</w:instrText>
      </w:r>
      <w:r>
        <w:rPr>
          <w:rFonts w:ascii="Times New Roman" w:eastAsia="宋体" w:hAnsi="Times New Roman" w:cs="Times New Roman"/>
          <w:kern w:val="0"/>
          <w14:ligatures w14:val="none"/>
        </w:rPr>
        <w:instrText>【摘要翻译】慢性疼痛通常与认知能力下降有关，认知能力下降会影响患者的生活质量。最近的研究表明，</w:instrText>
      </w:r>
      <w:r>
        <w:rPr>
          <w:rFonts w:ascii="Times New Roman" w:eastAsia="宋体" w:hAnsi="Times New Roman" w:cs="Times New Roman"/>
          <w:kern w:val="0"/>
          <w14:ligatures w14:val="none"/>
        </w:rPr>
        <w:instrText>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3(tLR3)</w:instrText>
      </w:r>
      <w:r>
        <w:rPr>
          <w:rFonts w:ascii="Times New Roman" w:eastAsia="宋体" w:hAnsi="Times New Roman" w:cs="Times New Roman"/>
          <w:kern w:val="0"/>
          <w14:ligatures w14:val="none"/>
        </w:rPr>
        <w:instrText>对记忆和学习至关重要。然而，</w:instrText>
      </w:r>
      <w:r>
        <w:rPr>
          <w:rFonts w:ascii="Times New Roman" w:eastAsia="宋体" w:hAnsi="Times New Roman" w:cs="Times New Roman"/>
          <w:kern w:val="0"/>
          <w14:ligatures w14:val="none"/>
        </w:rPr>
        <w:instrText>TLR3</w:instrText>
      </w:r>
      <w:r>
        <w:rPr>
          <w:rFonts w:ascii="Times New Roman" w:eastAsia="宋体" w:hAnsi="Times New Roman" w:cs="Times New Roman"/>
          <w:kern w:val="0"/>
          <w14:ligatures w14:val="none"/>
        </w:rPr>
        <w:instrText>在认知功能下降的发病机制中的作用仍有待进一步研究。</w:instrText>
      </w:r>
      <w:r>
        <w:rPr>
          <w:rFonts w:ascii="Times New Roman" w:eastAsia="宋体" w:hAnsi="Times New Roman" w:cs="Times New Roman"/>
          <w:kern w:val="0"/>
          <w14:ligatures w14:val="none"/>
        </w:rPr>
        <w:instrText>","archive_location":"3 citation(s)","call-number":"1","container-title":"Signal Transduction and Targeted Therapy","DOI":"10.1038/s41392-023-01543-z","ISSN":"2059-3635","issue":"1","journalAbbreviation":"Sig Transduct Target Ther","language":"en","license":"</w:instrText>
      </w:r>
      <w:r>
        <w:rPr>
          <w:rFonts w:ascii="Segoe UI Emoji" w:eastAsia="宋体" w:hAnsi="Segoe UI Emoji" w:cs="Segoe UI Emoji"/>
          <w:kern w:val="0"/>
          <w14:ligatures w14:val="none"/>
        </w:rPr>
        <w:instrText>⭐⭐⭐⭐</w:instrText>
      </w:r>
      <w:r>
        <w:rPr>
          <w:rFonts w:ascii="Times New Roman" w:eastAsia="宋体" w:hAnsi="Times New Roman" w:cs="Times New Roman"/>
          <w:kern w:val="0"/>
          <w14:ligatures w14:val="none"/>
        </w:rPr>
        <w:instrText xml:space="preserve">","note":"TLDR: Ex RNAs, particularly dsRNAs, that were present in the condition of chronic neuropathic pain, activated TLR3, activated dsRNA, initiated downstream inflammatory and apoptotic signaling, caused damage to synaptic plasticity, and contributed to the etiology of cognitive impairment after chronic neuropathy pain.\ntitleTranslation: </w:instrText>
      </w:r>
      <w:r>
        <w:rPr>
          <w:rFonts w:ascii="Times New Roman" w:eastAsia="宋体" w:hAnsi="Times New Roman" w:cs="Times New Roman"/>
          <w:kern w:val="0"/>
          <w14:ligatures w14:val="none"/>
        </w:rPr>
        <w:instrText>细胞外</w:instrText>
      </w:r>
      <w:r>
        <w:rPr>
          <w:rFonts w:ascii="Times New Roman" w:eastAsia="宋体" w:hAnsi="Times New Roman" w:cs="Times New Roman"/>
          <w:kern w:val="0"/>
          <w14:ligatures w14:val="none"/>
        </w:rPr>
        <w:instrText>RNAs-TLR3</w:instrText>
      </w:r>
      <w:r>
        <w:rPr>
          <w:rFonts w:ascii="Times New Roman" w:eastAsia="宋体" w:hAnsi="Times New Roman" w:cs="Times New Roman"/>
          <w:kern w:val="0"/>
          <w14:ligatures w14:val="none"/>
        </w:rPr>
        <w:instrText>信号传导与小鼠慢性神经病理性疼痛后认知障碍的关系</w:instrText>
      </w:r>
      <w:r>
        <w:rPr>
          <w:rFonts w:ascii="Times New Roman" w:eastAsia="宋体" w:hAnsi="Times New Roman" w:cs="Times New Roman"/>
          <w:kern w:val="0"/>
          <w14:ligatures w14:val="none"/>
        </w:rPr>
        <w:instrText>","PMID":"37544956","publisher":"Signal Transduct Target Ther","source":"40.8 (Q1)","title":"Extracellular RNAs-TLR3 signaling contributes to cognitive impairment after chronic neuropathic pain in mice","title-short":"</w:instrText>
      </w:r>
      <w:r>
        <w:rPr>
          <w:rFonts w:ascii="Times New Roman" w:eastAsia="宋体" w:hAnsi="Times New Roman" w:cs="Times New Roman"/>
          <w:kern w:val="0"/>
          <w14:ligatures w14:val="none"/>
        </w:rPr>
        <w:instrText>细胞外</w:instrText>
      </w:r>
      <w:r>
        <w:rPr>
          <w:rFonts w:ascii="Times New Roman" w:eastAsia="宋体" w:hAnsi="Times New Roman" w:cs="Times New Roman"/>
          <w:kern w:val="0"/>
          <w14:ligatures w14:val="none"/>
        </w:rPr>
        <w:instrText xml:space="preserve"> RNA-TLR3</w:instrText>
      </w:r>
      <w:r>
        <w:rPr>
          <w:rFonts w:ascii="Times New Roman" w:eastAsia="宋体" w:hAnsi="Times New Roman" w:cs="Times New Roman"/>
          <w:kern w:val="0"/>
          <w14:ligatures w14:val="none"/>
        </w:rPr>
        <w:instrText>信号传导导致小鼠慢性神经性疼痛后的认知障碍</w:instrText>
      </w:r>
      <w:r>
        <w:rPr>
          <w:rFonts w:ascii="Times New Roman" w:eastAsia="宋体" w:hAnsi="Times New Roman" w:cs="Times New Roman"/>
          <w:kern w:val="0"/>
          <w14:ligatures w14:val="none"/>
        </w:rPr>
        <w:instrText xml:space="preserve">","URL":"https://www.nature.com/articles/s41392-023-01543-z","volume":"8","author":[{"family":"Zhang","given":"Xueying"},{"family":"Gao","given":"Rui"},{"family":"Zhang","given":"Changteng"},{"family":"Teng","given":"Yi"},{"family":"Chen","given":"Hai"},{"family":"Li","given":"Qi"},{"family":"Liu","given":"Changliang"},{"family":"Wu","given":"Jiahui"},{"family":"Wei","given":"Liuxing"},{"family":"Deng","given":"Liyun"},{"family":"Wu","given":"Lining"},{"family":"Ye-Lehmann","given":"Shixin"},{"family":"Mao","given":"Xiaobo"},{"family":"Liu","given":"Jin"},{"family":"Zhu","given":"Tao"},{"family":"Chen","given":"Chan"}],"accessed":{"date-parts":[["2024",10,11]]},"issued":{"date-parts":[["2023",7,8]]}}}],"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rPr>
        <w:t>[2]</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Each rat was placed in the center of a black cubic chamber (50</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50</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50 cm) and allowed to freely explore for 5 min. The total distance traveled (cm) was recorded and analyzed.</w:t>
      </w:r>
    </w:p>
    <w:p w14:paraId="197252CF" w14:textId="77777777" w:rsidR="00210785" w:rsidRDefault="00000000">
      <w:pPr>
        <w:spacing w:after="0" w:line="480" w:lineRule="auto"/>
        <w:jc w:val="both"/>
        <w:rPr>
          <w:rFonts w:ascii="Times New Roman" w:eastAsia="宋体" w:hAnsi="Times New Roman" w:cs="Times New Roman"/>
          <w:b/>
          <w:kern w:val="0"/>
          <w:lang w:eastAsia="zh-CN"/>
          <w14:ligatures w14:val="none"/>
        </w:rPr>
      </w:pPr>
      <w:r>
        <w:rPr>
          <w:rFonts w:ascii="Times New Roman" w:eastAsia="Times New Roman" w:hAnsi="Times New Roman" w:cs="Times New Roman"/>
          <w:b/>
          <w:kern w:val="0"/>
          <w:lang w:eastAsia="zh-CN"/>
          <w14:ligatures w14:val="none"/>
        </w:rPr>
        <w:t>3</w:t>
      </w:r>
      <w:r>
        <w:rPr>
          <w:rFonts w:ascii="Times New Roman" w:eastAsia="等线" w:hAnsi="Times New Roman" w:cs="Times New Roman"/>
          <w:b/>
          <w:kern w:val="0"/>
          <w:lang w:eastAsia="zh-CN"/>
          <w14:ligatures w14:val="none"/>
        </w:rPr>
        <w:t>.</w:t>
      </w:r>
      <w:r>
        <w:rPr>
          <w:rFonts w:ascii="Times New Roman" w:eastAsia="Times New Roman" w:hAnsi="Times New Roman" w:cs="Times New Roman"/>
          <w:b/>
          <w:kern w:val="0"/>
          <w:lang w:eastAsia="zh-CN"/>
          <w14:ligatures w14:val="none"/>
        </w:rPr>
        <w:t xml:space="preserve"> Novel object recognition test (NORT)</w:t>
      </w:r>
    </w:p>
    <w:p w14:paraId="51DF83E0" w14:textId="08D108E1" w:rsidR="00210785" w:rsidRDefault="00000000">
      <w:pPr>
        <w:spacing w:after="0" w:line="480" w:lineRule="auto"/>
        <w:jc w:val="both"/>
        <w:rPr>
          <w:rFonts w:ascii="Times New Roman" w:eastAsia="等线" w:hAnsi="Times New Roman" w:cs="Times New Roman"/>
          <w:kern w:val="0"/>
          <w:lang w:eastAsia="zh-CN"/>
          <w14:ligatures w14:val="none"/>
        </w:rPr>
      </w:pPr>
      <w:r>
        <w:rPr>
          <w:rFonts w:ascii="Times New Roman" w:eastAsia="Times New Roman" w:hAnsi="Times New Roman" w:cs="Times New Roman"/>
          <w:kern w:val="0"/>
          <w:lang w:eastAsia="zh-CN"/>
          <w14:ligatures w14:val="none"/>
        </w:rPr>
        <w:lastRenderedPageBreak/>
        <w:t xml:space="preserve">The NORT was used to assess recognition memory and hippocampal-dependent cognitive function, following established methods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{"citationID":"BcxcZWpo","properties":{"formattedCitation":"[2]","plainCitation":"[2]","noteIndex":0},"citationItems":[{"id":12625,"uris":["http://zotero.org/users/9311172/items/GE4YHGJT"],"itemData":{"id":12625,"type":"article-journal","abstract":"Chronic pain is often associated with cognitive decline, which could influence the quality of the patient's life. Recent studies have suggested that Toll-like receptor 3 (TLR3) is crucial for memory and learning. Nonetheless, the contribution of TLR3 to the pathogenesis of cognitive decline after ch …\n\n</w:instrText>
      </w:r>
      <w:r>
        <w:rPr>
          <w:rFonts w:ascii="Times New Roman" w:eastAsia="宋体" w:hAnsi="Times New Roman" w:cs="Times New Roman"/>
          <w:kern w:val="0"/>
          <w14:ligatures w14:val="none"/>
        </w:rPr>
        <w:instrText>【摘要翻译】慢性疼痛通常与认知能力下降有关，认知能力下降会影响患者的生活质量。最近的研究表明，</w:instrText>
      </w:r>
      <w:r>
        <w:rPr>
          <w:rFonts w:ascii="Times New Roman" w:eastAsia="宋体" w:hAnsi="Times New Roman" w:cs="Times New Roman"/>
          <w:kern w:val="0"/>
          <w14:ligatures w14:val="none"/>
        </w:rPr>
        <w:instrText>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3(tLR3)</w:instrText>
      </w:r>
      <w:r>
        <w:rPr>
          <w:rFonts w:ascii="Times New Roman" w:eastAsia="宋体" w:hAnsi="Times New Roman" w:cs="Times New Roman"/>
          <w:kern w:val="0"/>
          <w14:ligatures w14:val="none"/>
        </w:rPr>
        <w:instrText>对记忆和学习至关重要。然而，</w:instrText>
      </w:r>
      <w:r>
        <w:rPr>
          <w:rFonts w:ascii="Times New Roman" w:eastAsia="宋体" w:hAnsi="Times New Roman" w:cs="Times New Roman"/>
          <w:kern w:val="0"/>
          <w14:ligatures w14:val="none"/>
        </w:rPr>
        <w:instrText>TLR3</w:instrText>
      </w:r>
      <w:r>
        <w:rPr>
          <w:rFonts w:ascii="Times New Roman" w:eastAsia="宋体" w:hAnsi="Times New Roman" w:cs="Times New Roman"/>
          <w:kern w:val="0"/>
          <w14:ligatures w14:val="none"/>
        </w:rPr>
        <w:instrText>在认知功能下降的发病机制中的作用仍有待进一步研究。</w:instrText>
      </w:r>
      <w:r>
        <w:rPr>
          <w:rFonts w:ascii="Times New Roman" w:eastAsia="宋体" w:hAnsi="Times New Roman" w:cs="Times New Roman"/>
          <w:kern w:val="0"/>
          <w14:ligatures w14:val="none"/>
        </w:rPr>
        <w:instrText>","archive_location":"3 citation(s)","call-number":"1","container-title":"Signal Transduction and Targeted Therapy","DOI":"10.1038/s41392-023-01543-z","ISSN":"2059-3635","issue":"1","journalAbbreviation":"Sig Transduct Target Ther","language":"en","license":"</w:instrText>
      </w:r>
      <w:r>
        <w:rPr>
          <w:rFonts w:ascii="Segoe UI Emoji" w:eastAsia="宋体" w:hAnsi="Segoe UI Emoji" w:cs="Segoe UI Emoji"/>
          <w:kern w:val="0"/>
          <w14:ligatures w14:val="none"/>
        </w:rPr>
        <w:instrText>⭐⭐⭐⭐</w:instrText>
      </w:r>
      <w:r>
        <w:rPr>
          <w:rFonts w:ascii="Times New Roman" w:eastAsia="宋体" w:hAnsi="Times New Roman" w:cs="Times New Roman"/>
          <w:kern w:val="0"/>
          <w14:ligatures w14:val="none"/>
        </w:rPr>
        <w:instrText xml:space="preserve">","note":"TLDR: Ex RNAs, particularly dsRNAs, that were present in the condition of chronic neuropathic pain, activated TLR3, activated dsRNA, initiated downstream inflammatory and apoptotic signaling, caused damage to synaptic plasticity, and contributed to the etiology of cognitive impairment after chronic neuropathy pain.\ntitleTranslation: </w:instrText>
      </w:r>
      <w:r>
        <w:rPr>
          <w:rFonts w:ascii="Times New Roman" w:eastAsia="宋体" w:hAnsi="Times New Roman" w:cs="Times New Roman"/>
          <w:kern w:val="0"/>
          <w14:ligatures w14:val="none"/>
        </w:rPr>
        <w:instrText>细胞外</w:instrText>
      </w:r>
      <w:r>
        <w:rPr>
          <w:rFonts w:ascii="Times New Roman" w:eastAsia="宋体" w:hAnsi="Times New Roman" w:cs="Times New Roman"/>
          <w:kern w:val="0"/>
          <w14:ligatures w14:val="none"/>
        </w:rPr>
        <w:instrText>RNAs-TLR3</w:instrText>
      </w:r>
      <w:r>
        <w:rPr>
          <w:rFonts w:ascii="Times New Roman" w:eastAsia="宋体" w:hAnsi="Times New Roman" w:cs="Times New Roman"/>
          <w:kern w:val="0"/>
          <w14:ligatures w14:val="none"/>
        </w:rPr>
        <w:instrText>信号传导与小鼠慢性神经病理性疼痛后认知障碍的关系</w:instrText>
      </w:r>
      <w:r>
        <w:rPr>
          <w:rFonts w:ascii="Times New Roman" w:eastAsia="宋体" w:hAnsi="Times New Roman" w:cs="Times New Roman"/>
          <w:kern w:val="0"/>
          <w14:ligatures w14:val="none"/>
        </w:rPr>
        <w:instrText>","PMID":"37544956","publisher":"Signal Transduct Target Ther","source":"40.8 (Q1)","title":"Extracellular RNAs-TLR3 signaling contributes to cognitive impairment after chronic neuropathic pain in mice","title-short":"</w:instrText>
      </w:r>
      <w:r>
        <w:rPr>
          <w:rFonts w:ascii="Times New Roman" w:eastAsia="宋体" w:hAnsi="Times New Roman" w:cs="Times New Roman"/>
          <w:kern w:val="0"/>
          <w14:ligatures w14:val="none"/>
        </w:rPr>
        <w:instrText>细胞外</w:instrText>
      </w:r>
      <w:r>
        <w:rPr>
          <w:rFonts w:ascii="Times New Roman" w:eastAsia="宋体" w:hAnsi="Times New Roman" w:cs="Times New Roman"/>
          <w:kern w:val="0"/>
          <w14:ligatures w14:val="none"/>
        </w:rPr>
        <w:instrText xml:space="preserve"> RNA-TLR3</w:instrText>
      </w:r>
      <w:r>
        <w:rPr>
          <w:rFonts w:ascii="Times New Roman" w:eastAsia="宋体" w:hAnsi="Times New Roman" w:cs="Times New Roman"/>
          <w:kern w:val="0"/>
          <w14:ligatures w14:val="none"/>
        </w:rPr>
        <w:instrText>信号传导导致小鼠慢性神经性疼痛后的认知障碍</w:instrText>
      </w:r>
      <w:r>
        <w:rPr>
          <w:rFonts w:ascii="Times New Roman" w:eastAsia="宋体" w:hAnsi="Times New Roman" w:cs="Times New Roman"/>
          <w:kern w:val="0"/>
          <w14:ligatures w14:val="none"/>
        </w:rPr>
        <w:instrText xml:space="preserve">","URL":"https://www.nature.com/articles/s41392-023-01543-z","volume":"8","author":[{"family":"Zhang","given":"Xueying"},{"family":"Gao","given":"Rui"},{"family":"Zhang","given":"Changteng"},{"family":"Teng","given":"Yi"},{"family":"Chen","given":"Hai"},{"family":"Li","given":"Qi"},{"family":"Liu","given":"Changliang"},{"family":"Wu","given":"Jiahui"},{"family":"Wei","given":"Liuxing"},{"family":"Deng","given":"Liyun"},{"family":"Wu","given":"Lining"},{"family":"Ye-Lehmann","given":"Shixin"},{"family":"Mao","given":"Xiaobo"},{"family":"Liu","given":"Jin"},{"family":"Zhu","given":"Tao"},{"family":"Chen","given":"Chan"}],"accessed":{"date-parts":[["2024",10,11]]},"issued":{"date-parts":[["2023",7,8]]}}}],"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rPr>
        <w:t>[2]</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During the habituation phase, two identical objects were placed diagonally in a square arena (50</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50</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40 cm), with each object equidistant from the walls. Rats were allowed to freely explore the arena for 10 min, and the time spent exploring each object was recorded. After 24 h, one familiar object was replaced with a novel object differing in shape and color. Rats were reintroduced for 10 min, and exploration times for both objects were recorded. The discrimination index was calculated as follows: (time exploring novel object</w:t>
      </w:r>
      <w:r w:rsidR="00B40E7D">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B40E7D">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total exploration time) × 100%.</w:t>
      </w:r>
    </w:p>
    <w:p w14:paraId="06D2F674" w14:textId="77777777" w:rsidR="00210785" w:rsidRDefault="00000000">
      <w:pPr>
        <w:spacing w:after="0" w:line="480" w:lineRule="auto"/>
        <w:jc w:val="both"/>
        <w:rPr>
          <w:rFonts w:ascii="Times New Roman" w:eastAsia="Times New Roman" w:hAnsi="Times New Roman" w:cs="Times New Roman"/>
          <w:b/>
          <w:bCs/>
          <w:kern w:val="0"/>
          <w:lang w:eastAsia="zh-CN"/>
          <w14:ligatures w14:val="none"/>
        </w:rPr>
      </w:pPr>
      <w:r>
        <w:rPr>
          <w:rFonts w:ascii="Times New Roman" w:eastAsia="Times New Roman" w:hAnsi="Times New Roman" w:cs="Times New Roman"/>
          <w:b/>
          <w:bCs/>
          <w:kern w:val="0"/>
          <w:lang w:eastAsia="zh-CN"/>
          <w14:ligatures w14:val="none"/>
        </w:rPr>
        <w:t>4. Morris water maze test (MWMT)</w:t>
      </w:r>
    </w:p>
    <w:p w14:paraId="66457DF4" w14:textId="77777777" w:rsidR="00210785" w:rsidRDefault="00000000">
      <w:pPr>
        <w:spacing w:after="0" w:line="480" w:lineRule="auto"/>
        <w:jc w:val="both"/>
        <w:rPr>
          <w:rFonts w:ascii="Times New Roman" w:eastAsia="宋体" w:hAnsi="Times New Roman" w:cs="Times New Roman"/>
          <w:b/>
          <w:bCs/>
          <w:lang w:eastAsia="zh-CN"/>
        </w:rPr>
      </w:pPr>
      <w:r>
        <w:rPr>
          <w:rFonts w:ascii="Times New Roman" w:eastAsia="Times New Roman" w:hAnsi="Times New Roman" w:cs="Times New Roman"/>
          <w:kern w:val="0"/>
          <w:lang w:eastAsia="zh-CN"/>
          <w14:ligatures w14:val="none"/>
        </w:rPr>
        <w:t xml:space="preserve">The MWMT was conducted to assess spatial learning and memory, as described in a previous study </w:t>
      </w:r>
      <w:r>
        <w:rPr>
          <w:rFonts w:ascii="Times New Roman" w:eastAsia="Times New Roman" w:hAnsi="Times New Roman" w:cs="Times New Roman"/>
          <w:kern w:val="0"/>
          <w:lang w:eastAsia="zh-CN"/>
          <w14:ligatures w14:val="none"/>
        </w:rPr>
        <w:fldChar w:fldCharType="begin"/>
      </w:r>
      <w:r>
        <w:rPr>
          <w:rFonts w:ascii="Times New Roman" w:eastAsia="Times New Roman" w:hAnsi="Times New Roman" w:cs="Times New Roman"/>
          <w:kern w:val="0"/>
          <w14:ligatures w14:val="none"/>
        </w:rPr>
        <w:instrText xml:space="preserve"> ADDIN ZOTERO_ITEM CSL_CITATION {"citationID":"LIY9Gpc7","properties":{"formattedCitation":"[1]","plainCitation":"[1]","noteIndex":0},"citationItems":[{"id":14854,"uris":["http://zotero.org/users/9311172/items/67TJSSYD"],"itemData":{"id":14854,"type":"article-journal","abstract":"Trigeminal neuralgia (TN)-related cognitive impairment is a common cause of decreased quality of life in patients and is closely associated with neuroinflammation. Although minocycline has demonstrated antiinflammatory, analgesic, and neuroprotective functions, its role in treating TN-related cognitive impairment remains unreported. In this study, we used an in vivo TN model and an in vitro model of primary microglial neuroinflammation to investigate the potential effects of minocycline on cognitive function and microglial polarization in TN rats. Our results suggested that minocycline treatment attenuated cognitive deficits by alleviating hippocampal neuronal damage and enhancing synaptic plasticity in TN rats. Furthermore, both in vitro and in vivo assays demonstrated that minocycline polarized activated microglia to the M2 phenotype, leading to the reduction of pro-inflammatory factors, including tumor necrosis factor-α and interleukin-1, and an increase in the anti-inflammatory factors, such as interleukin-4 and interleukin-10, thereby attenuating neuroinflammation. Moreover, it was found that the TLR4/MyD88/NF-κB pathway was involved in the shift of microglia from a proinflammatory (M1) to an anti-inflammatory (M2). In summary, minocycline likely mediated the process of microglia polarization partly via the TLR4/MyD88/NF-κB pathway, promoting neuronal survival and restoring synaptic plasticity, thereby improving TN-related cognitive impairment.\n\n</w:instrText>
      </w:r>
      <w:r>
        <w:rPr>
          <w:rFonts w:ascii="Times New Roman" w:eastAsia="宋体" w:hAnsi="Times New Roman" w:cs="Times New Roman"/>
          <w:kern w:val="0"/>
          <w14:ligatures w14:val="none"/>
        </w:rPr>
        <w:instrText>【摘要翻译】与三叉神经痛相关的认知障碍是病人生活质量下降的一个常见原因，与神经炎症密切相关。尽管米诺环素具有抗炎、镇痛和神经保护作用，但其在治疗</w:instrText>
      </w:r>
      <w:r>
        <w:rPr>
          <w:rFonts w:ascii="Times New Roman" w:eastAsia="Times New Roman" w:hAnsi="Times New Roman" w:cs="Times New Roman"/>
          <w:kern w:val="0"/>
          <w14:ligatures w14:val="none"/>
        </w:rPr>
        <w:instrText xml:space="preserve"> TN </w:instrText>
      </w:r>
      <w:r>
        <w:rPr>
          <w:rFonts w:ascii="Times New Roman" w:eastAsia="宋体" w:hAnsi="Times New Roman" w:cs="Times New Roman"/>
          <w:kern w:val="0"/>
          <w14:ligatures w14:val="none"/>
        </w:rPr>
        <w:instrText>相关认知障碍方面的作用尚未见报道。在这项研究中，我们使用在体</w:instrText>
      </w:r>
      <w:r>
        <w:rPr>
          <w:rFonts w:ascii="Times New Roman" w:eastAsia="Times New Roman" w:hAnsi="Times New Roman" w:cs="Times New Roman"/>
          <w:kern w:val="0"/>
          <w14:ligatures w14:val="none"/>
        </w:rPr>
        <w:instrText xml:space="preserve"> TN </w:instrText>
      </w:r>
      <w:r>
        <w:rPr>
          <w:rFonts w:ascii="Times New Roman" w:eastAsia="宋体" w:hAnsi="Times New Roman" w:cs="Times New Roman"/>
          <w:kern w:val="0"/>
          <w14:ligatures w14:val="none"/>
        </w:rPr>
        <w:instrText>模型和原发性小胶质细胞神经炎症的体外模型来研究米诺环素对</w:instrText>
      </w:r>
      <w:r>
        <w:rPr>
          <w:rFonts w:ascii="Times New Roman" w:eastAsia="Times New Roman" w:hAnsi="Times New Roman" w:cs="Times New Roman"/>
          <w:kern w:val="0"/>
          <w14:ligatures w14:val="none"/>
        </w:rPr>
        <w:instrText xml:space="preserve"> TN </w:instrText>
      </w:r>
      <w:r>
        <w:rPr>
          <w:rFonts w:ascii="Times New Roman" w:eastAsia="宋体" w:hAnsi="Times New Roman" w:cs="Times New Roman"/>
          <w:kern w:val="0"/>
          <w14:ligatures w14:val="none"/>
        </w:rPr>
        <w:instrText>大鼠认知功能和小胶质细胞极化的潜在影响。我们的研究结果表明，米诺环素治疗通过减轻</w:instrText>
      </w:r>
      <w:r>
        <w:rPr>
          <w:rFonts w:ascii="Times New Roman" w:eastAsia="Times New Roman" w:hAnsi="Times New Roman" w:cs="Times New Roman"/>
          <w:kern w:val="0"/>
          <w14:ligatures w14:val="none"/>
        </w:rPr>
        <w:instrText xml:space="preserve"> TN </w:instrText>
      </w:r>
      <w:r>
        <w:rPr>
          <w:rFonts w:ascii="Times New Roman" w:eastAsia="宋体" w:hAnsi="Times New Roman" w:cs="Times New Roman"/>
          <w:kern w:val="0"/>
          <w14:ligatures w14:val="none"/>
        </w:rPr>
        <w:instrText>大鼠海马神经元损伤和增强突触可塑性来减轻认知缺陷。此外，体外和体内测定均显示米诺环素将活化的小胶质细胞极化至</w:instrText>
      </w:r>
      <w:r>
        <w:rPr>
          <w:rFonts w:ascii="Times New Roman" w:eastAsia="Times New Roman" w:hAnsi="Times New Roman" w:cs="Times New Roman"/>
          <w:kern w:val="0"/>
          <w14:ligatures w14:val="none"/>
        </w:rPr>
        <w:instrText xml:space="preserve"> M2</w:instrText>
      </w:r>
      <w:r>
        <w:rPr>
          <w:rFonts w:ascii="Times New Roman" w:eastAsia="宋体" w:hAnsi="Times New Roman" w:cs="Times New Roman"/>
          <w:kern w:val="0"/>
          <w14:ligatures w14:val="none"/>
        </w:rPr>
        <w:instrText>表型，导致促炎因子</w:instrText>
      </w:r>
      <w:r>
        <w:rPr>
          <w:rFonts w:ascii="Times New Roman" w:eastAsia="Times New Roman" w:hAnsi="Times New Roman" w:cs="Times New Roman"/>
          <w:kern w:val="0"/>
          <w14:ligatures w14:val="none"/>
        </w:rPr>
        <w:instrText>(</w:instrText>
      </w:r>
      <w:r>
        <w:rPr>
          <w:rFonts w:ascii="Times New Roman" w:eastAsia="宋体" w:hAnsi="Times New Roman" w:cs="Times New Roman"/>
          <w:kern w:val="0"/>
          <w14:ligatures w14:val="none"/>
        </w:rPr>
        <w:instrText>包括肿瘤坏死因子</w:instrText>
      </w:r>
      <w:r>
        <w:rPr>
          <w:rFonts w:ascii="Times New Roman" w:eastAsia="Times New Roman" w:hAnsi="Times New Roman" w:cs="Times New Roman"/>
          <w:kern w:val="0"/>
          <w14:ligatures w14:val="none"/>
        </w:rPr>
        <w:instrText xml:space="preserve"> -α </w:instrText>
      </w:r>
      <w:r>
        <w:rPr>
          <w:rFonts w:ascii="Times New Roman" w:eastAsia="宋体" w:hAnsi="Times New Roman" w:cs="Times New Roman"/>
          <w:kern w:val="0"/>
          <w14:ligatures w14:val="none"/>
        </w:rPr>
        <w:instrText>和白细胞介素</w:instrText>
      </w:r>
      <w:r>
        <w:rPr>
          <w:rFonts w:ascii="Times New Roman" w:eastAsia="Times New Roman" w:hAnsi="Times New Roman" w:cs="Times New Roman"/>
          <w:kern w:val="0"/>
          <w14:ligatures w14:val="none"/>
        </w:rPr>
        <w:instrText xml:space="preserve"> -1)</w:instrText>
      </w:r>
      <w:r>
        <w:rPr>
          <w:rFonts w:ascii="Times New Roman" w:eastAsia="宋体" w:hAnsi="Times New Roman" w:cs="Times New Roman"/>
          <w:kern w:val="0"/>
          <w14:ligatures w14:val="none"/>
        </w:rPr>
        <w:instrText>减少，以及抗炎因子</w:instrText>
      </w:r>
      <w:r>
        <w:rPr>
          <w:rFonts w:ascii="Times New Roman" w:eastAsia="Times New Roman" w:hAnsi="Times New Roman" w:cs="Times New Roman"/>
          <w:kern w:val="0"/>
          <w14:ligatures w14:val="none"/>
        </w:rPr>
        <w:instrText>(</w:instrText>
      </w:r>
      <w:r>
        <w:rPr>
          <w:rFonts w:ascii="Times New Roman" w:eastAsia="宋体" w:hAnsi="Times New Roman" w:cs="Times New Roman"/>
          <w:kern w:val="0"/>
          <w14:ligatures w14:val="none"/>
        </w:rPr>
        <w:instrText>如白细胞介素</w:instrText>
      </w:r>
      <w:r>
        <w:rPr>
          <w:rFonts w:ascii="Times New Roman" w:eastAsia="Times New Roman" w:hAnsi="Times New Roman" w:cs="Times New Roman"/>
          <w:kern w:val="0"/>
          <w14:ligatures w14:val="none"/>
        </w:rPr>
        <w:instrText xml:space="preserve"> -4</w:instrText>
      </w:r>
      <w:r>
        <w:rPr>
          <w:rFonts w:ascii="Times New Roman" w:eastAsia="宋体" w:hAnsi="Times New Roman" w:cs="Times New Roman"/>
          <w:kern w:val="0"/>
          <w14:ligatures w14:val="none"/>
        </w:rPr>
        <w:instrText>和白细胞介素</w:instrText>
      </w:r>
      <w:r>
        <w:rPr>
          <w:rFonts w:ascii="Times New Roman" w:eastAsia="Times New Roman" w:hAnsi="Times New Roman" w:cs="Times New Roman"/>
          <w:kern w:val="0"/>
          <w14:ligatures w14:val="none"/>
        </w:rPr>
        <w:instrText xml:space="preserve"> -10)</w:instrText>
      </w:r>
      <w:r>
        <w:rPr>
          <w:rFonts w:ascii="Times New Roman" w:eastAsia="宋体" w:hAnsi="Times New Roman" w:cs="Times New Roman"/>
          <w:kern w:val="0"/>
          <w14:ligatures w14:val="none"/>
        </w:rPr>
        <w:instrText>增加，从而减弱神经炎症。此外，发现</w:instrText>
      </w:r>
      <w:r>
        <w:rPr>
          <w:rFonts w:ascii="Times New Roman" w:eastAsia="Times New Roman" w:hAnsi="Times New Roman" w:cs="Times New Roman"/>
          <w:kern w:val="0"/>
          <w14:ligatures w14:val="none"/>
        </w:rPr>
        <w:instrText xml:space="preserve"> TLR4/MyD88/NF-κB </w:instrText>
      </w:r>
      <w:r>
        <w:rPr>
          <w:rFonts w:ascii="Times New Roman" w:eastAsia="宋体" w:hAnsi="Times New Roman" w:cs="Times New Roman"/>
          <w:kern w:val="0"/>
          <w14:ligatures w14:val="none"/>
        </w:rPr>
        <w:instrText>通路参与了小胶质细胞从促炎</w:instrText>
      </w:r>
      <w:r>
        <w:rPr>
          <w:rFonts w:ascii="Times New Roman" w:eastAsia="Times New Roman" w:hAnsi="Times New Roman" w:cs="Times New Roman"/>
          <w:kern w:val="0"/>
          <w14:ligatures w14:val="none"/>
        </w:rPr>
        <w:instrText>(M1)</w:instrText>
      </w:r>
      <w:r>
        <w:rPr>
          <w:rFonts w:ascii="Times New Roman" w:eastAsia="宋体" w:hAnsi="Times New Roman" w:cs="Times New Roman"/>
          <w:kern w:val="0"/>
          <w14:ligatures w14:val="none"/>
        </w:rPr>
        <w:instrText>向抗炎</w:instrText>
      </w:r>
      <w:r>
        <w:rPr>
          <w:rFonts w:ascii="Times New Roman" w:eastAsia="Times New Roman" w:hAnsi="Times New Roman" w:cs="Times New Roman"/>
          <w:kern w:val="0"/>
          <w14:ligatures w14:val="none"/>
        </w:rPr>
        <w:instrText>(M2)</w:instrText>
      </w:r>
      <w:r>
        <w:rPr>
          <w:rFonts w:ascii="Times New Roman" w:eastAsia="宋体" w:hAnsi="Times New Roman" w:cs="Times New Roman"/>
          <w:kern w:val="0"/>
          <w14:ligatures w14:val="none"/>
        </w:rPr>
        <w:instrText>的转变。总之，二甲胺四环素可能部分通过</w:instrText>
      </w:r>
      <w:r>
        <w:rPr>
          <w:rFonts w:ascii="Times New Roman" w:eastAsia="Times New Roman" w:hAnsi="Times New Roman" w:cs="Times New Roman"/>
          <w:kern w:val="0"/>
          <w14:ligatures w14:val="none"/>
        </w:rPr>
        <w:instrText xml:space="preserve"> TLR4/MyD88/NF-κB </w:instrText>
      </w:r>
      <w:r>
        <w:rPr>
          <w:rFonts w:ascii="Times New Roman" w:eastAsia="宋体" w:hAnsi="Times New Roman" w:cs="Times New Roman"/>
          <w:kern w:val="0"/>
          <w14:ligatures w14:val="none"/>
        </w:rPr>
        <w:instrText>途径介导小胶质细胞极化的过程，促进神经元存活和恢复突触可塑性，从而改善</w:instrText>
      </w:r>
      <w:r>
        <w:rPr>
          <w:rFonts w:ascii="Times New Roman" w:eastAsia="Times New Roman" w:hAnsi="Times New Roman" w:cs="Times New Roman"/>
          <w:kern w:val="0"/>
          <w14:ligatures w14:val="none"/>
        </w:rPr>
        <w:instrText xml:space="preserve"> TN </w:instrText>
      </w:r>
      <w:r>
        <w:rPr>
          <w:rFonts w:ascii="Times New Roman" w:eastAsia="宋体" w:hAnsi="Times New Roman" w:cs="Times New Roman"/>
          <w:kern w:val="0"/>
          <w14:ligatures w14:val="none"/>
        </w:rPr>
        <w:instrText>相关的认知障碍。</w:instrText>
      </w:r>
      <w:r>
        <w:rPr>
          <w:rFonts w:ascii="Times New Roman" w:eastAsia="Times New Roman" w:hAnsi="Times New Roman" w:cs="Times New Roman"/>
          <w:kern w:val="0"/>
          <w14:ligatures w14:val="none"/>
        </w:rPr>
        <w:instrText xml:space="preserve">","call-number":"2","container-title":"International Immunopharmacology","DOI":"10.1016/j.intimp.2024.113786","ISSN":"1567-5769","journalAbbreviation":"International Immunopharmacology","language":"en","note":"titleTranslation: </w:instrText>
      </w:r>
      <w:r>
        <w:rPr>
          <w:rFonts w:ascii="Times New Roman" w:eastAsia="宋体" w:hAnsi="Times New Roman" w:cs="Times New Roman"/>
          <w:kern w:val="0"/>
          <w14:ligatures w14:val="none"/>
        </w:rPr>
        <w:instrText>米诺环素通过调节小胶质细胞极化改善三叉神经痛大鼠的认知功能障碍</w:instrText>
      </w:r>
      <w:r>
        <w:rPr>
          <w:rFonts w:ascii="Times New Roman" w:eastAsia="Times New Roman" w:hAnsi="Times New Roman" w:cs="Times New Roman"/>
          <w:kern w:val="0"/>
          <w14:ligatures w14:val="none"/>
        </w:rPr>
        <w:instrText>\nTLDR: Results suggested that minocycline treatment attenuated cognitive deficits by alleviating hippocampal neuronal damage and enhancing synaptic plasticity in TN rats, and likely mediated the process of microglia polarization partly via the TLR4/MyD88/NF-κB pathway, promoting neuronal survival and restoring synaptic plasticity, thereby improving TN-related cognitive impairment.","page":"113786","source":"4.8 (Q1)","title":"Minocycline ameliorates cognitive impairment in rats with trigeminal neuralgia by regulating microglial polarization","title-short":"</w:instrText>
      </w:r>
      <w:r>
        <w:rPr>
          <w:rFonts w:ascii="Times New Roman" w:eastAsia="宋体" w:hAnsi="Times New Roman" w:cs="Times New Roman"/>
          <w:kern w:val="0"/>
          <w14:ligatures w14:val="none"/>
        </w:rPr>
        <w:instrText>米诺环素通过调节小胶质细胞极化改善三叉神经痛大鼠的认知功能障碍</w:instrText>
      </w:r>
      <w:r>
        <w:rPr>
          <w:rFonts w:ascii="Times New Roman" w:eastAsia="Times New Roman" w:hAnsi="Times New Roman" w:cs="Times New Roman"/>
          <w:kern w:val="0"/>
          <w14:ligatures w14:val="none"/>
        </w:rPr>
        <w:instrText xml:space="preserve">","volume":"145","author":[{"family":"Li","given":"Junjie"},{"family":"Mi","given":"Xiaojuan"},{"family":"Yang","given":"Zhilun"},{"family":"Feng","given":"Ziqi"},{"family":"Han","given":"Yong"},{"family":"Wang","given":"Ting"},{"family":"Lv","given":"Haowen"},{"family":"Liu","given":"Yanbo"},{"family":"Wu","given":"Kang"},{"family":"Liu","given":"Juan"}],"issued":{"date-parts":[["2025",1]]}}}],"schema":"https://github.com/citation-style-language/schema/raw/master/csl-citation.json"} </w:instrText>
      </w:r>
      <w:r>
        <w:rPr>
          <w:rFonts w:ascii="Times New Roman" w:eastAsia="Times New Roman" w:hAnsi="Times New Roman" w:cs="Times New Roman"/>
          <w:kern w:val="0"/>
          <w:lang w:eastAsia="zh-CN"/>
          <w14:ligatures w14:val="none"/>
        </w:rPr>
        <w:fldChar w:fldCharType="separate"/>
      </w:r>
      <w:r>
        <w:rPr>
          <w:rFonts w:ascii="Times New Roman" w:hAnsi="Times New Roman" w:cs="Times New Roman"/>
        </w:rPr>
        <w:t>[1]</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Briefly, a circular pool (diameter, 120 cm; height, 50 cm) was filled with water rendered opaque using non-toxic black ink. A hidden platform (diameter, 10 cm) was positioned 1 cm below the surface. The acquisition phase comprised 5 consecutive days of training trials. During each trial, rats were gently placed in the water and given 60 s to locate the hidden platform. Rats that successfully reached the platform were allowed to remain on it for 15 s, whereas those that failed were guided to the platform and allowed to remain for the same duration. Escape latency, defined as the time taken to reach the platform, was recorded. On the 6th day, a probe test was performed with the platform removed. The number of crossings over the previous platform location and the percentage of time spent in the target quadrant were measured during a 60-s session.</w:t>
      </w:r>
    </w:p>
    <w:p w14:paraId="12FDF43A" w14:textId="77777777" w:rsidR="00210785" w:rsidRDefault="00000000">
      <w:pPr>
        <w:spacing w:after="0" w:line="480" w:lineRule="auto"/>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kern w:val="0"/>
          <w:lang w:eastAsia="zh-CN"/>
          <w14:ligatures w14:val="none"/>
        </w:rPr>
        <w:t>References:</w:t>
      </w:r>
    </w:p>
    <w:p w14:paraId="338F0ED7" w14:textId="2C882911" w:rsidR="00210785" w:rsidRDefault="00000000">
      <w:pPr>
        <w:pStyle w:val="14"/>
        <w:spacing w:after="0" w:line="480" w:lineRule="auto"/>
        <w:jc w:val="both"/>
        <w:rPr>
          <w:rFonts w:ascii="Times New Roman" w:hAnsi="Times New Roman" w:cs="Times New Roman"/>
        </w:rPr>
      </w:pPr>
      <w:r>
        <w:rPr>
          <w:rFonts w:ascii="Times New Roman" w:eastAsia="宋体" w:hAnsi="Times New Roman" w:cs="Times New Roman"/>
          <w:b/>
          <w:bCs/>
        </w:rPr>
        <w:fldChar w:fldCharType="begin"/>
      </w:r>
      <w:r>
        <w:rPr>
          <w:rFonts w:ascii="Times New Roman" w:eastAsia="宋体" w:hAnsi="Times New Roman" w:cs="Times New Roman"/>
          <w:b/>
          <w:bCs/>
        </w:rPr>
        <w:instrText xml:space="preserve"> ADDIN ZOTERO_BIBL {"uncited":[],"omitted":[],"custom":[]} CSL_BIBLIOGRAPHY </w:instrText>
      </w:r>
      <w:r>
        <w:rPr>
          <w:rFonts w:ascii="Times New Roman" w:eastAsia="宋体" w:hAnsi="Times New Roman" w:cs="Times New Roman"/>
          <w:b/>
          <w:bCs/>
        </w:rPr>
        <w:fldChar w:fldCharType="separate"/>
      </w:r>
      <w:r>
        <w:rPr>
          <w:rFonts w:ascii="Times New Roman" w:hAnsi="Times New Roman" w:cs="Times New Roman"/>
        </w:rPr>
        <w:t>1.</w:t>
      </w:r>
      <w:r>
        <w:rPr>
          <w:rFonts w:ascii="Times New Roman" w:hAnsi="Times New Roman" w:cs="Times New Roman"/>
        </w:rPr>
        <w:tab/>
      </w:r>
      <w:r w:rsidR="00FF0EE3" w:rsidRPr="00FF0EE3">
        <w:rPr>
          <w:rFonts w:ascii="Times New Roman" w:hAnsi="Times New Roman" w:cs="Times New Roman"/>
        </w:rPr>
        <w:t>Li J, Mi X, Yang Z, Feng Z, Han Y, Wang T, Lv H, Liu Y, Wu K, Liu J (2025) Minocycline ameliorates cognitive impairment in rats with trigeminal neuralgia by regulating microglial polarization. Int Immunopharmacol 145:113786. doi.10.1016/j.intimp.2024.113786</w:t>
      </w:r>
    </w:p>
    <w:p w14:paraId="123929AC" w14:textId="0F1EB4E9" w:rsidR="00210785" w:rsidRDefault="00000000">
      <w:pPr>
        <w:pStyle w:val="14"/>
        <w:spacing w:after="0" w:line="480" w:lineRule="auto"/>
        <w:jc w:val="both"/>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ab/>
      </w:r>
      <w:r w:rsidR="00FF0EE3" w:rsidRPr="00FF0EE3">
        <w:rPr>
          <w:rFonts w:ascii="Times New Roman" w:hAnsi="Times New Roman" w:cs="Times New Roman"/>
        </w:rPr>
        <w:t>Zhang X, Gao R, Zhang C, Teng Y, Chen H, Li Q, Liu C, Wu J, Wei L, Deng L, Wu L, Ye-Lehmann S, Mao X, Liu J, Zhu T, Chen C (2023) Extracellular RNAs-TLR3 signaling contributes to cognitive impairment after chronic neuropathic pain in mice. Signal Transduct Target Ther 8:292. doi.10.1038/s41392-023-01543-z</w:t>
      </w:r>
    </w:p>
    <w:p w14:paraId="36005D9D" w14:textId="77777777" w:rsidR="00210785" w:rsidRDefault="00000000">
      <w:pPr>
        <w:spacing w:after="0" w:line="480" w:lineRule="auto"/>
        <w:rPr>
          <w:rFonts w:ascii="Times New Roman" w:eastAsia="Times New Roman" w:hAnsi="Times New Roman" w:cs="Times New Roman"/>
          <w:kern w:val="0"/>
          <w:szCs w:val="20"/>
          <w:lang w:eastAsia="zh-CN"/>
          <w14:ligatures w14:val="none"/>
        </w:rPr>
      </w:pPr>
      <w:r>
        <w:rPr>
          <w:rFonts w:ascii="Times New Roman" w:eastAsia="宋体" w:hAnsi="Times New Roman" w:cs="Times New Roman"/>
          <w:b/>
          <w:bCs/>
        </w:rPr>
        <w:fldChar w:fldCharType="end"/>
      </w:r>
      <w:r>
        <w:rPr>
          <w:rFonts w:ascii="Times New Roman" w:eastAsia="等线" w:hAnsi="Times New Roman" w:cs="Times New Roman"/>
          <w:b/>
          <w:bCs/>
          <w:iCs/>
          <w:kern w:val="0"/>
          <w:lang w:eastAsia="zh-CN"/>
          <w14:ligatures w14:val="none"/>
        </w:rPr>
        <w:br w:type="page"/>
      </w:r>
    </w:p>
    <w:p w14:paraId="4714175E" w14:textId="62756F31" w:rsidR="00210785" w:rsidRDefault="00000000">
      <w:pPr>
        <w:spacing w:after="0" w:line="480" w:lineRule="auto"/>
        <w:rPr>
          <w:rFonts w:ascii="Times New Roman" w:eastAsia="等线" w:hAnsi="Times New Roman" w:cs="Times New Roman"/>
          <w:iCs/>
          <w:kern w:val="0"/>
          <w:lang w:eastAsia="zh-CN"/>
          <w14:ligatures w14:val="none"/>
        </w:rPr>
      </w:pPr>
      <w:r>
        <w:rPr>
          <w:rFonts w:ascii="Times New Roman" w:eastAsia="等线" w:hAnsi="Times New Roman" w:cs="Times New Roman"/>
          <w:b/>
          <w:bCs/>
          <w:iCs/>
          <w:kern w:val="0"/>
          <w:lang w:eastAsia="zh-CN"/>
          <w14:ligatures w14:val="none"/>
        </w:rPr>
        <w:lastRenderedPageBreak/>
        <w:t>Supplementary Notes 1.</w:t>
      </w:r>
      <w:r>
        <w:rPr>
          <w:rFonts w:ascii="Times New Roman" w:eastAsia="等线" w:hAnsi="Times New Roman" w:cs="Times New Roman" w:hint="eastAsia"/>
          <w:b/>
          <w:bCs/>
          <w:iCs/>
          <w:kern w:val="0"/>
          <w:lang w:eastAsia="zh-CN"/>
          <w14:ligatures w14:val="none"/>
        </w:rPr>
        <w:t>3</w:t>
      </w:r>
      <w:r>
        <w:rPr>
          <w:rFonts w:ascii="Times New Roman" w:eastAsia="等线" w:hAnsi="Times New Roman" w:cs="Times New Roman"/>
          <w:b/>
          <w:bCs/>
          <w:iCs/>
          <w:kern w:val="0"/>
          <w:lang w:eastAsia="zh-CN"/>
          <w14:ligatures w14:val="none"/>
        </w:rPr>
        <w:t xml:space="preserve">: </w:t>
      </w:r>
      <w:r>
        <w:rPr>
          <w:rFonts w:ascii="Times New Roman" w:eastAsia="等线" w:hAnsi="Times New Roman" w:cs="Times New Roman"/>
          <w:iCs/>
          <w:kern w:val="0"/>
          <w:lang w:eastAsia="zh-CN"/>
          <w14:ligatures w14:val="none"/>
        </w:rPr>
        <w:t xml:space="preserve">Detailed information of primary antibodies used in </w:t>
      </w:r>
      <w:r w:rsidR="00FF0003">
        <w:rPr>
          <w:rFonts w:ascii="Times New Roman" w:eastAsia="等线" w:hAnsi="Times New Roman" w:cs="Times New Roman" w:hint="eastAsia"/>
          <w:iCs/>
          <w:kern w:val="0"/>
          <w:lang w:eastAsia="zh-CN"/>
          <w14:ligatures w14:val="none"/>
        </w:rPr>
        <w:t>w</w:t>
      </w:r>
      <w:r>
        <w:rPr>
          <w:rFonts w:ascii="Times New Roman" w:eastAsia="等线" w:hAnsi="Times New Roman" w:cs="Times New Roman"/>
          <w:iCs/>
          <w:kern w:val="0"/>
          <w:lang w:eastAsia="zh-CN"/>
          <w14:ligatures w14:val="none"/>
        </w:rPr>
        <w:t>estern blotting, including dilution ratios, catalog numbers, and suppliers</w:t>
      </w:r>
    </w:p>
    <w:p w14:paraId="50FB692F" w14:textId="77777777" w:rsidR="002B4EF6" w:rsidRDefault="002B4EF6" w:rsidP="002B4EF6">
      <w:pPr>
        <w:spacing w:after="0" w:line="240" w:lineRule="auto"/>
        <w:rPr>
          <w:rFonts w:ascii="Times New Roman" w:eastAsia="等线" w:hAnsi="Times New Roman" w:cs="Times New Roman"/>
          <w:iCs/>
          <w:kern w:val="0"/>
          <w:lang w:eastAsia="zh-CN"/>
          <w14:ligatures w14:val="none"/>
        </w:rPr>
      </w:pPr>
    </w:p>
    <w:tbl>
      <w:tblPr>
        <w:tblW w:w="5000" w:type="pct"/>
        <w:jc w:val="center"/>
        <w:tblBorders>
          <w:left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02"/>
        <w:gridCol w:w="1984"/>
        <w:gridCol w:w="1844"/>
        <w:gridCol w:w="3830"/>
      </w:tblGrid>
      <w:tr w:rsidR="00210785" w14:paraId="755CAB7C" w14:textId="77777777">
        <w:trPr>
          <w:tblHeader/>
          <w:jc w:val="center"/>
        </w:trPr>
        <w:tc>
          <w:tcPr>
            <w:tcW w:w="909" w:type="pct"/>
            <w:tcBorders>
              <w:top w:val="single" w:sz="12" w:space="0" w:color="000000" w:themeColor="dark1"/>
              <w:left w:val="nil"/>
              <w:bottom w:val="single" w:sz="6" w:space="0" w:color="000000" w:themeColor="dark1"/>
              <w:right w:val="nil"/>
            </w:tcBorders>
            <w:tcMar>
              <w:top w:w="60" w:type="dxa"/>
              <w:left w:w="130" w:type="dxa"/>
              <w:bottom w:w="60" w:type="dxa"/>
              <w:right w:w="130" w:type="dxa"/>
            </w:tcMar>
            <w:vAlign w:val="center"/>
          </w:tcPr>
          <w:p w14:paraId="68D147FD" w14:textId="77777777" w:rsidR="00210785" w:rsidRDefault="00000000">
            <w:pPr>
              <w:spacing w:after="48" w:line="240" w:lineRule="auto"/>
              <w:jc w:val="center"/>
              <w:rPr>
                <w:rFonts w:ascii="Times New Roman" w:eastAsia="黑体" w:hAnsi="Times New Roman" w:cs="Times New Roman"/>
                <w:b/>
                <w:bCs/>
                <w:color w:val="000000" w:themeColor="dark1"/>
                <w:spacing w:val="1"/>
                <w:sz w:val="22"/>
                <w:szCs w:val="22"/>
              </w:rPr>
            </w:pPr>
            <w:r>
              <w:rPr>
                <w:rFonts w:ascii="Times New Roman" w:eastAsia="黑体" w:hAnsi="Times New Roman" w:cs="Times New Roman" w:hint="eastAsia"/>
                <w:b/>
                <w:bCs/>
                <w:color w:val="000000" w:themeColor="dark1"/>
                <w:spacing w:val="1"/>
                <w:kern w:val="0"/>
                <w:sz w:val="22"/>
                <w:szCs w:val="22"/>
                <w:lang w:eastAsia="zh-CN" w:bidi="ar"/>
              </w:rPr>
              <w:t>P</w:t>
            </w:r>
            <w:r>
              <w:rPr>
                <w:rFonts w:ascii="Times New Roman" w:eastAsia="黑体" w:hAnsi="Times New Roman" w:cs="Times New Roman"/>
                <w:b/>
                <w:bCs/>
                <w:color w:val="000000" w:themeColor="dark1"/>
                <w:spacing w:val="1"/>
                <w:kern w:val="0"/>
                <w:sz w:val="22"/>
                <w:szCs w:val="22"/>
                <w:lang w:eastAsia="zh-CN" w:bidi="ar"/>
              </w:rPr>
              <w:t>rimary antibodies</w:t>
            </w:r>
          </w:p>
        </w:tc>
        <w:tc>
          <w:tcPr>
            <w:tcW w:w="1060" w:type="pct"/>
            <w:tcBorders>
              <w:top w:val="single" w:sz="12" w:space="0" w:color="000000" w:themeColor="dark1"/>
              <w:left w:val="nil"/>
              <w:bottom w:val="single" w:sz="6" w:space="0" w:color="000000" w:themeColor="dark1"/>
              <w:right w:val="nil"/>
            </w:tcBorders>
            <w:tcMar>
              <w:top w:w="60" w:type="dxa"/>
              <w:left w:w="130" w:type="dxa"/>
              <w:bottom w:w="60" w:type="dxa"/>
              <w:right w:w="130" w:type="dxa"/>
            </w:tcMar>
            <w:vAlign w:val="center"/>
          </w:tcPr>
          <w:p w14:paraId="3FC3A2C1" w14:textId="77777777" w:rsidR="00210785" w:rsidRDefault="00000000">
            <w:pPr>
              <w:spacing w:after="48" w:line="240" w:lineRule="auto"/>
              <w:jc w:val="center"/>
              <w:rPr>
                <w:rFonts w:ascii="Times New Roman" w:eastAsia="黑体" w:hAnsi="Times New Roman" w:cs="Times New Roman"/>
                <w:b/>
                <w:bCs/>
                <w:color w:val="000000" w:themeColor="dark1"/>
                <w:spacing w:val="1"/>
                <w:sz w:val="22"/>
                <w:szCs w:val="22"/>
              </w:rPr>
            </w:pPr>
            <w:r>
              <w:rPr>
                <w:rFonts w:ascii="Times New Roman" w:eastAsia="黑体" w:hAnsi="Times New Roman" w:cs="Times New Roman" w:hint="eastAsia"/>
                <w:b/>
                <w:bCs/>
                <w:color w:val="000000" w:themeColor="dark1"/>
                <w:spacing w:val="1"/>
                <w:kern w:val="0"/>
                <w:sz w:val="22"/>
                <w:szCs w:val="22"/>
                <w:lang w:eastAsia="zh-CN" w:bidi="ar"/>
              </w:rPr>
              <w:t>D</w:t>
            </w:r>
            <w:r>
              <w:rPr>
                <w:rFonts w:ascii="Times New Roman" w:eastAsia="黑体" w:hAnsi="Times New Roman" w:cs="Times New Roman"/>
                <w:b/>
                <w:bCs/>
                <w:color w:val="000000" w:themeColor="dark1"/>
                <w:spacing w:val="1"/>
                <w:kern w:val="0"/>
                <w:sz w:val="22"/>
                <w:szCs w:val="22"/>
                <w:lang w:eastAsia="zh-CN" w:bidi="ar"/>
              </w:rPr>
              <w:t>ilution ratios</w:t>
            </w:r>
          </w:p>
        </w:tc>
        <w:tc>
          <w:tcPr>
            <w:tcW w:w="985" w:type="pct"/>
            <w:tcBorders>
              <w:top w:val="single" w:sz="12" w:space="0" w:color="000000" w:themeColor="dark1"/>
              <w:left w:val="nil"/>
              <w:bottom w:val="single" w:sz="6" w:space="0" w:color="000000" w:themeColor="dark1"/>
              <w:right w:val="nil"/>
            </w:tcBorders>
            <w:tcMar>
              <w:top w:w="60" w:type="dxa"/>
              <w:left w:w="130" w:type="dxa"/>
              <w:bottom w:w="60" w:type="dxa"/>
              <w:right w:w="130" w:type="dxa"/>
            </w:tcMar>
            <w:vAlign w:val="center"/>
          </w:tcPr>
          <w:p w14:paraId="4F47AAE4" w14:textId="77777777" w:rsidR="00210785" w:rsidRDefault="00000000">
            <w:pPr>
              <w:spacing w:after="48" w:line="240" w:lineRule="auto"/>
              <w:jc w:val="center"/>
              <w:rPr>
                <w:rFonts w:ascii="Times New Roman" w:eastAsia="黑体" w:hAnsi="Times New Roman" w:cs="Times New Roman"/>
                <w:b/>
                <w:bCs/>
                <w:color w:val="000000" w:themeColor="dark1"/>
                <w:spacing w:val="1"/>
                <w:sz w:val="22"/>
                <w:szCs w:val="22"/>
              </w:rPr>
            </w:pPr>
            <w:r>
              <w:rPr>
                <w:rFonts w:ascii="Times New Roman" w:eastAsia="黑体" w:hAnsi="Times New Roman" w:cs="Times New Roman" w:hint="eastAsia"/>
                <w:b/>
                <w:bCs/>
                <w:color w:val="000000" w:themeColor="dark1"/>
                <w:spacing w:val="1"/>
                <w:kern w:val="0"/>
                <w:sz w:val="22"/>
                <w:szCs w:val="22"/>
                <w:lang w:eastAsia="zh-CN" w:bidi="ar"/>
              </w:rPr>
              <w:t>C</w:t>
            </w:r>
            <w:r>
              <w:rPr>
                <w:rFonts w:ascii="Times New Roman" w:eastAsia="黑体" w:hAnsi="Times New Roman" w:cs="Times New Roman"/>
                <w:b/>
                <w:bCs/>
                <w:color w:val="000000" w:themeColor="dark1"/>
                <w:spacing w:val="1"/>
                <w:kern w:val="0"/>
                <w:sz w:val="22"/>
                <w:szCs w:val="22"/>
                <w:lang w:eastAsia="zh-CN" w:bidi="ar"/>
              </w:rPr>
              <w:t>atalog numbers</w:t>
            </w:r>
          </w:p>
        </w:tc>
        <w:tc>
          <w:tcPr>
            <w:tcW w:w="2046" w:type="pct"/>
            <w:tcBorders>
              <w:top w:val="single" w:sz="12" w:space="0" w:color="000000" w:themeColor="dark1"/>
              <w:left w:val="nil"/>
              <w:bottom w:val="single" w:sz="6" w:space="0" w:color="000000" w:themeColor="dark1"/>
              <w:right w:val="nil"/>
            </w:tcBorders>
            <w:tcMar>
              <w:top w:w="60" w:type="dxa"/>
              <w:left w:w="130" w:type="dxa"/>
              <w:bottom w:w="60" w:type="dxa"/>
              <w:right w:w="130" w:type="dxa"/>
            </w:tcMar>
            <w:vAlign w:val="center"/>
          </w:tcPr>
          <w:p w14:paraId="0B73D26F" w14:textId="77777777" w:rsidR="00210785" w:rsidRDefault="00000000">
            <w:pPr>
              <w:spacing w:after="48" w:line="240" w:lineRule="auto"/>
              <w:jc w:val="center"/>
              <w:rPr>
                <w:rFonts w:ascii="Times New Roman" w:eastAsia="黑体" w:hAnsi="Times New Roman" w:cs="Times New Roman"/>
                <w:b/>
                <w:bCs/>
                <w:color w:val="000000" w:themeColor="dark1"/>
                <w:spacing w:val="1"/>
                <w:sz w:val="22"/>
                <w:szCs w:val="22"/>
              </w:rPr>
            </w:pPr>
            <w:r>
              <w:rPr>
                <w:rFonts w:ascii="Times New Roman" w:eastAsia="黑体" w:hAnsi="Times New Roman" w:cs="Times New Roman" w:hint="eastAsia"/>
                <w:b/>
                <w:bCs/>
                <w:color w:val="000000" w:themeColor="dark1"/>
                <w:spacing w:val="1"/>
                <w:kern w:val="0"/>
                <w:sz w:val="22"/>
                <w:szCs w:val="22"/>
                <w:lang w:eastAsia="zh-CN" w:bidi="ar"/>
              </w:rPr>
              <w:t>S</w:t>
            </w:r>
            <w:r>
              <w:rPr>
                <w:rFonts w:ascii="Times New Roman" w:eastAsia="黑体" w:hAnsi="Times New Roman" w:cs="Times New Roman"/>
                <w:b/>
                <w:bCs/>
                <w:color w:val="000000" w:themeColor="dark1"/>
                <w:spacing w:val="1"/>
                <w:kern w:val="0"/>
                <w:sz w:val="22"/>
                <w:szCs w:val="22"/>
                <w:lang w:eastAsia="zh-CN" w:bidi="ar"/>
              </w:rPr>
              <w:t>uppliers</w:t>
            </w:r>
          </w:p>
        </w:tc>
      </w:tr>
      <w:tr w:rsidR="00210785" w14:paraId="46FC417E" w14:textId="77777777">
        <w:tblPrEx>
          <w:tblBorders>
            <w:bottom w:val="single" w:sz="2" w:space="0" w:color="auto"/>
          </w:tblBorders>
        </w:tblPrEx>
        <w:trPr>
          <w:jc w:val="center"/>
        </w:trPr>
        <w:tc>
          <w:tcPr>
            <w:tcW w:w="909" w:type="pct"/>
            <w:tcBorders>
              <w:top w:val="single" w:sz="6" w:space="0" w:color="000000" w:themeColor="dark1"/>
              <w:left w:val="nil"/>
              <w:bottom w:val="nil"/>
              <w:right w:val="nil"/>
            </w:tcBorders>
            <w:tcMar>
              <w:top w:w="60" w:type="dxa"/>
              <w:left w:w="130" w:type="dxa"/>
              <w:bottom w:w="60" w:type="dxa"/>
              <w:right w:w="130" w:type="dxa"/>
            </w:tcMar>
            <w:vAlign w:val="center"/>
          </w:tcPr>
          <w:p w14:paraId="7F2BB8F7"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Iba1</w:t>
            </w:r>
          </w:p>
        </w:tc>
        <w:tc>
          <w:tcPr>
            <w:tcW w:w="1060" w:type="pct"/>
            <w:tcBorders>
              <w:top w:val="single" w:sz="6" w:space="0" w:color="000000" w:themeColor="dark1"/>
              <w:left w:val="nil"/>
              <w:bottom w:val="nil"/>
              <w:right w:val="nil"/>
            </w:tcBorders>
            <w:tcMar>
              <w:top w:w="60" w:type="dxa"/>
              <w:left w:w="130" w:type="dxa"/>
              <w:bottom w:w="60" w:type="dxa"/>
              <w:right w:w="130" w:type="dxa"/>
            </w:tcMar>
            <w:vAlign w:val="center"/>
          </w:tcPr>
          <w:p w14:paraId="4B63E4EC"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1:1000</w:t>
            </w:r>
          </w:p>
        </w:tc>
        <w:tc>
          <w:tcPr>
            <w:tcW w:w="985" w:type="pct"/>
            <w:tcBorders>
              <w:top w:val="single" w:sz="6" w:space="0" w:color="000000" w:themeColor="dark1"/>
              <w:left w:val="nil"/>
              <w:bottom w:val="nil"/>
              <w:right w:val="nil"/>
            </w:tcBorders>
            <w:tcMar>
              <w:top w:w="60" w:type="dxa"/>
              <w:left w:w="130" w:type="dxa"/>
              <w:bottom w:w="60" w:type="dxa"/>
              <w:right w:w="130" w:type="dxa"/>
            </w:tcMar>
            <w:vAlign w:val="center"/>
          </w:tcPr>
          <w:p w14:paraId="5252220D"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ab178846</w:t>
            </w:r>
          </w:p>
        </w:tc>
        <w:tc>
          <w:tcPr>
            <w:tcW w:w="2046" w:type="pct"/>
            <w:tcBorders>
              <w:top w:val="single" w:sz="6" w:space="0" w:color="000000" w:themeColor="dark1"/>
              <w:left w:val="nil"/>
              <w:bottom w:val="nil"/>
              <w:right w:val="nil"/>
            </w:tcBorders>
            <w:tcMar>
              <w:top w:w="60" w:type="dxa"/>
              <w:left w:w="130" w:type="dxa"/>
              <w:bottom w:w="60" w:type="dxa"/>
              <w:right w:w="130" w:type="dxa"/>
            </w:tcMar>
            <w:vAlign w:val="center"/>
          </w:tcPr>
          <w:p w14:paraId="33F13147"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Abcam, Cambridge, UK</w:t>
            </w:r>
          </w:p>
        </w:tc>
      </w:tr>
      <w:tr w:rsidR="00210785" w14:paraId="371C2265" w14:textId="77777777">
        <w:tblPrEx>
          <w:tblBorders>
            <w:bottom w:val="single" w:sz="2" w:space="0" w:color="auto"/>
          </w:tblBorders>
        </w:tblPrEx>
        <w:trPr>
          <w:jc w:val="center"/>
        </w:trPr>
        <w:tc>
          <w:tcPr>
            <w:tcW w:w="909" w:type="pct"/>
            <w:tcBorders>
              <w:top w:val="nil"/>
              <w:left w:val="nil"/>
              <w:bottom w:val="nil"/>
              <w:right w:val="nil"/>
            </w:tcBorders>
            <w:tcMar>
              <w:top w:w="60" w:type="dxa"/>
              <w:left w:w="130" w:type="dxa"/>
              <w:bottom w:w="60" w:type="dxa"/>
              <w:right w:w="130" w:type="dxa"/>
            </w:tcMar>
            <w:vAlign w:val="center"/>
          </w:tcPr>
          <w:p w14:paraId="56694A4D" w14:textId="77777777" w:rsidR="00210785" w:rsidRDefault="00000000">
            <w:pPr>
              <w:spacing w:after="48"/>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hint="eastAsia"/>
                <w:color w:val="08090C"/>
                <w:spacing w:val="1"/>
                <w:sz w:val="22"/>
                <w:szCs w:val="22"/>
                <w:lang w:eastAsia="zh-CN"/>
              </w:rPr>
              <w:t>GFAP</w:t>
            </w:r>
          </w:p>
        </w:tc>
        <w:tc>
          <w:tcPr>
            <w:tcW w:w="1060" w:type="pct"/>
            <w:tcBorders>
              <w:top w:val="nil"/>
              <w:left w:val="nil"/>
              <w:bottom w:val="nil"/>
              <w:right w:val="nil"/>
            </w:tcBorders>
            <w:tcMar>
              <w:top w:w="60" w:type="dxa"/>
              <w:left w:w="130" w:type="dxa"/>
              <w:bottom w:w="60" w:type="dxa"/>
              <w:right w:w="130" w:type="dxa"/>
            </w:tcMar>
            <w:vAlign w:val="center"/>
          </w:tcPr>
          <w:p w14:paraId="20544969"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5C910806"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ab7260</w:t>
            </w:r>
          </w:p>
        </w:tc>
        <w:tc>
          <w:tcPr>
            <w:tcW w:w="2046" w:type="pct"/>
            <w:tcBorders>
              <w:top w:val="nil"/>
              <w:left w:val="nil"/>
              <w:bottom w:val="nil"/>
              <w:right w:val="nil"/>
            </w:tcBorders>
            <w:tcMar>
              <w:top w:w="60" w:type="dxa"/>
              <w:left w:w="130" w:type="dxa"/>
              <w:bottom w:w="60" w:type="dxa"/>
              <w:right w:w="130" w:type="dxa"/>
            </w:tcMar>
            <w:vAlign w:val="center"/>
          </w:tcPr>
          <w:p w14:paraId="42EDC7F0"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Abcam</w:t>
            </w:r>
          </w:p>
        </w:tc>
      </w:tr>
      <w:tr w:rsidR="00210785" w14:paraId="64AD4288" w14:textId="77777777">
        <w:tblPrEx>
          <w:tblBorders>
            <w:bottom w:val="single" w:sz="2" w:space="0" w:color="auto"/>
          </w:tblBorders>
        </w:tblPrEx>
        <w:trPr>
          <w:jc w:val="center"/>
        </w:trPr>
        <w:tc>
          <w:tcPr>
            <w:tcW w:w="909" w:type="pct"/>
            <w:tcBorders>
              <w:top w:val="nil"/>
              <w:left w:val="nil"/>
              <w:bottom w:val="nil"/>
              <w:right w:val="nil"/>
            </w:tcBorders>
            <w:tcMar>
              <w:top w:w="60" w:type="dxa"/>
              <w:left w:w="130" w:type="dxa"/>
              <w:bottom w:w="60" w:type="dxa"/>
              <w:right w:w="130" w:type="dxa"/>
            </w:tcMar>
            <w:vAlign w:val="center"/>
          </w:tcPr>
          <w:p w14:paraId="4D605F39" w14:textId="77777777" w:rsidR="00210785" w:rsidRDefault="00000000">
            <w:pPr>
              <w:spacing w:after="48"/>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hint="eastAsia"/>
                <w:color w:val="08090C"/>
                <w:spacing w:val="1"/>
                <w:sz w:val="22"/>
                <w:szCs w:val="22"/>
                <w:lang w:eastAsia="zh-CN"/>
              </w:rPr>
              <w:t>HMGB1</w:t>
            </w:r>
          </w:p>
        </w:tc>
        <w:tc>
          <w:tcPr>
            <w:tcW w:w="1060" w:type="pct"/>
            <w:tcBorders>
              <w:top w:val="nil"/>
              <w:left w:val="nil"/>
              <w:bottom w:val="nil"/>
              <w:right w:val="nil"/>
            </w:tcBorders>
            <w:tcMar>
              <w:top w:w="60" w:type="dxa"/>
              <w:left w:w="130" w:type="dxa"/>
              <w:bottom w:w="60" w:type="dxa"/>
              <w:right w:w="130" w:type="dxa"/>
            </w:tcMar>
            <w:vAlign w:val="center"/>
          </w:tcPr>
          <w:p w14:paraId="0531E215"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65BAE0F8"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ab18256</w:t>
            </w:r>
          </w:p>
        </w:tc>
        <w:tc>
          <w:tcPr>
            <w:tcW w:w="2046" w:type="pct"/>
            <w:tcBorders>
              <w:top w:val="nil"/>
              <w:left w:val="nil"/>
              <w:bottom w:val="nil"/>
              <w:right w:val="nil"/>
            </w:tcBorders>
            <w:tcMar>
              <w:top w:w="60" w:type="dxa"/>
              <w:left w:w="130" w:type="dxa"/>
              <w:bottom w:w="60" w:type="dxa"/>
              <w:right w:w="130" w:type="dxa"/>
            </w:tcMar>
            <w:vAlign w:val="center"/>
          </w:tcPr>
          <w:p w14:paraId="4D5583C7"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Abcam</w:t>
            </w:r>
          </w:p>
        </w:tc>
      </w:tr>
      <w:tr w:rsidR="00210785" w14:paraId="4EF9FC4E" w14:textId="77777777">
        <w:tblPrEx>
          <w:tblBorders>
            <w:bottom w:val="single" w:sz="2" w:space="0" w:color="auto"/>
          </w:tblBorders>
        </w:tblPrEx>
        <w:trPr>
          <w:jc w:val="center"/>
        </w:trPr>
        <w:tc>
          <w:tcPr>
            <w:tcW w:w="909" w:type="pct"/>
            <w:tcBorders>
              <w:top w:val="nil"/>
              <w:left w:val="nil"/>
              <w:bottom w:val="nil"/>
              <w:right w:val="nil"/>
            </w:tcBorders>
            <w:tcMar>
              <w:top w:w="60" w:type="dxa"/>
              <w:left w:w="130" w:type="dxa"/>
              <w:bottom w:w="60" w:type="dxa"/>
              <w:right w:w="130" w:type="dxa"/>
            </w:tcMar>
            <w:vAlign w:val="center"/>
          </w:tcPr>
          <w:p w14:paraId="65DE420E" w14:textId="77777777" w:rsidR="00210785" w:rsidRDefault="00000000">
            <w:pPr>
              <w:spacing w:after="48"/>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IL-1β</w:t>
            </w:r>
          </w:p>
        </w:tc>
        <w:tc>
          <w:tcPr>
            <w:tcW w:w="1060" w:type="pct"/>
            <w:tcBorders>
              <w:top w:val="nil"/>
              <w:left w:val="nil"/>
              <w:bottom w:val="nil"/>
              <w:right w:val="nil"/>
            </w:tcBorders>
            <w:tcMar>
              <w:top w:w="60" w:type="dxa"/>
              <w:left w:w="130" w:type="dxa"/>
              <w:bottom w:w="60" w:type="dxa"/>
              <w:right w:w="130" w:type="dxa"/>
            </w:tcMar>
            <w:vAlign w:val="center"/>
          </w:tcPr>
          <w:p w14:paraId="1A990D72"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7CA599A4"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AF5103</w:t>
            </w:r>
          </w:p>
        </w:tc>
        <w:tc>
          <w:tcPr>
            <w:tcW w:w="2046" w:type="pct"/>
            <w:tcBorders>
              <w:top w:val="nil"/>
              <w:left w:val="nil"/>
              <w:bottom w:val="nil"/>
              <w:right w:val="nil"/>
            </w:tcBorders>
            <w:tcMar>
              <w:top w:w="60" w:type="dxa"/>
              <w:left w:w="130" w:type="dxa"/>
              <w:bottom w:w="60" w:type="dxa"/>
              <w:right w:w="130" w:type="dxa"/>
            </w:tcMar>
            <w:vAlign w:val="center"/>
          </w:tcPr>
          <w:p w14:paraId="78041080"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Affinity, Cincinnati, OH, USA</w:t>
            </w:r>
          </w:p>
        </w:tc>
      </w:tr>
      <w:tr w:rsidR="00210785" w14:paraId="5E096C02" w14:textId="77777777">
        <w:tblPrEx>
          <w:tblBorders>
            <w:bottom w:val="single" w:sz="2" w:space="0" w:color="auto"/>
          </w:tblBorders>
        </w:tblPrEx>
        <w:trPr>
          <w:jc w:val="center"/>
        </w:trPr>
        <w:tc>
          <w:tcPr>
            <w:tcW w:w="909" w:type="pct"/>
            <w:tcBorders>
              <w:top w:val="nil"/>
              <w:left w:val="nil"/>
              <w:bottom w:val="nil"/>
              <w:right w:val="nil"/>
            </w:tcBorders>
            <w:tcMar>
              <w:top w:w="60" w:type="dxa"/>
              <w:left w:w="130" w:type="dxa"/>
              <w:bottom w:w="60" w:type="dxa"/>
              <w:right w:w="130" w:type="dxa"/>
            </w:tcMar>
            <w:vAlign w:val="center"/>
          </w:tcPr>
          <w:p w14:paraId="67511546"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TNF-α</w:t>
            </w:r>
          </w:p>
        </w:tc>
        <w:tc>
          <w:tcPr>
            <w:tcW w:w="1060" w:type="pct"/>
            <w:tcBorders>
              <w:top w:val="nil"/>
              <w:left w:val="nil"/>
              <w:bottom w:val="nil"/>
              <w:right w:val="nil"/>
            </w:tcBorders>
            <w:tcMar>
              <w:top w:w="60" w:type="dxa"/>
              <w:left w:w="130" w:type="dxa"/>
              <w:bottom w:w="60" w:type="dxa"/>
              <w:right w:w="130" w:type="dxa"/>
            </w:tcMar>
            <w:vAlign w:val="center"/>
          </w:tcPr>
          <w:p w14:paraId="2CAA0F93"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1:700</w:t>
            </w:r>
          </w:p>
        </w:tc>
        <w:tc>
          <w:tcPr>
            <w:tcW w:w="985" w:type="pct"/>
            <w:tcBorders>
              <w:top w:val="nil"/>
              <w:left w:val="nil"/>
              <w:bottom w:val="nil"/>
              <w:right w:val="nil"/>
            </w:tcBorders>
            <w:tcMar>
              <w:top w:w="60" w:type="dxa"/>
              <w:left w:w="130" w:type="dxa"/>
              <w:bottom w:w="60" w:type="dxa"/>
              <w:right w:w="130" w:type="dxa"/>
            </w:tcMar>
            <w:vAlign w:val="center"/>
          </w:tcPr>
          <w:p w14:paraId="13243885"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AF7014</w:t>
            </w:r>
          </w:p>
        </w:tc>
        <w:tc>
          <w:tcPr>
            <w:tcW w:w="2046" w:type="pct"/>
            <w:tcBorders>
              <w:top w:val="nil"/>
              <w:left w:val="nil"/>
              <w:bottom w:val="nil"/>
              <w:right w:val="nil"/>
            </w:tcBorders>
            <w:tcMar>
              <w:top w:w="60" w:type="dxa"/>
              <w:left w:w="130" w:type="dxa"/>
              <w:bottom w:w="60" w:type="dxa"/>
              <w:right w:w="130" w:type="dxa"/>
            </w:tcMar>
            <w:vAlign w:val="center"/>
          </w:tcPr>
          <w:p w14:paraId="6F99100B"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Affinity</w:t>
            </w:r>
          </w:p>
        </w:tc>
      </w:tr>
      <w:tr w:rsidR="00210785" w14:paraId="38E32250" w14:textId="77777777">
        <w:tblPrEx>
          <w:tblBorders>
            <w:bottom w:val="single" w:sz="2" w:space="0" w:color="auto"/>
          </w:tblBorders>
        </w:tblPrEx>
        <w:trPr>
          <w:jc w:val="center"/>
        </w:trPr>
        <w:tc>
          <w:tcPr>
            <w:tcW w:w="909" w:type="pct"/>
            <w:tcBorders>
              <w:top w:val="nil"/>
              <w:left w:val="nil"/>
              <w:bottom w:val="nil"/>
              <w:right w:val="nil"/>
            </w:tcBorders>
            <w:tcMar>
              <w:top w:w="60" w:type="dxa"/>
              <w:left w:w="130" w:type="dxa"/>
              <w:bottom w:w="60" w:type="dxa"/>
              <w:right w:w="130" w:type="dxa"/>
            </w:tcMar>
            <w:vAlign w:val="center"/>
          </w:tcPr>
          <w:p w14:paraId="2A8165DD" w14:textId="77777777" w:rsidR="00210785" w:rsidRDefault="00000000">
            <w:pPr>
              <w:spacing w:after="48"/>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IL-6</w:t>
            </w:r>
          </w:p>
        </w:tc>
        <w:tc>
          <w:tcPr>
            <w:tcW w:w="1060" w:type="pct"/>
            <w:tcBorders>
              <w:top w:val="nil"/>
              <w:left w:val="nil"/>
              <w:bottom w:val="nil"/>
              <w:right w:val="nil"/>
            </w:tcBorders>
            <w:tcMar>
              <w:top w:w="60" w:type="dxa"/>
              <w:left w:w="130" w:type="dxa"/>
              <w:bottom w:w="60" w:type="dxa"/>
              <w:right w:w="130" w:type="dxa"/>
            </w:tcMar>
            <w:vAlign w:val="center"/>
          </w:tcPr>
          <w:p w14:paraId="412DA0A8"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1:700</w:t>
            </w:r>
          </w:p>
        </w:tc>
        <w:tc>
          <w:tcPr>
            <w:tcW w:w="985" w:type="pct"/>
            <w:tcBorders>
              <w:top w:val="nil"/>
              <w:left w:val="nil"/>
              <w:bottom w:val="nil"/>
              <w:right w:val="nil"/>
            </w:tcBorders>
            <w:tcMar>
              <w:top w:w="60" w:type="dxa"/>
              <w:left w:w="130" w:type="dxa"/>
              <w:bottom w:w="60" w:type="dxa"/>
              <w:right w:w="130" w:type="dxa"/>
            </w:tcMar>
            <w:vAlign w:val="center"/>
          </w:tcPr>
          <w:p w14:paraId="0E7930EA"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DF6087</w:t>
            </w:r>
          </w:p>
        </w:tc>
        <w:tc>
          <w:tcPr>
            <w:tcW w:w="2046" w:type="pct"/>
            <w:tcBorders>
              <w:top w:val="nil"/>
              <w:left w:val="nil"/>
              <w:bottom w:val="nil"/>
              <w:right w:val="nil"/>
            </w:tcBorders>
            <w:tcMar>
              <w:top w:w="60" w:type="dxa"/>
              <w:left w:w="130" w:type="dxa"/>
              <w:bottom w:w="60" w:type="dxa"/>
              <w:right w:w="130" w:type="dxa"/>
            </w:tcMar>
            <w:vAlign w:val="center"/>
          </w:tcPr>
          <w:p w14:paraId="5A56395A"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Affinity</w:t>
            </w:r>
          </w:p>
        </w:tc>
      </w:tr>
      <w:tr w:rsidR="00210785" w14:paraId="4BDA1C49"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7CA8311F"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lang w:eastAsia="zh-CN"/>
              </w:rPr>
              <w:t>IL-4</w:t>
            </w:r>
          </w:p>
        </w:tc>
        <w:tc>
          <w:tcPr>
            <w:tcW w:w="1060" w:type="pct"/>
            <w:tcBorders>
              <w:top w:val="nil"/>
              <w:left w:val="nil"/>
              <w:bottom w:val="nil"/>
              <w:right w:val="nil"/>
            </w:tcBorders>
            <w:tcMar>
              <w:top w:w="60" w:type="dxa"/>
              <w:left w:w="130" w:type="dxa"/>
              <w:bottom w:w="60" w:type="dxa"/>
              <w:right w:w="130" w:type="dxa"/>
            </w:tcMar>
            <w:vAlign w:val="center"/>
          </w:tcPr>
          <w:p w14:paraId="5B717F33"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kern w:val="0"/>
                <w:sz w:val="22"/>
                <w:szCs w:val="22"/>
                <w:lang w:eastAsia="zh-CN" w:bidi="ar"/>
              </w:rPr>
              <w:t>1:700</w:t>
            </w:r>
          </w:p>
        </w:tc>
        <w:tc>
          <w:tcPr>
            <w:tcW w:w="985" w:type="pct"/>
            <w:tcBorders>
              <w:top w:val="nil"/>
              <w:left w:val="nil"/>
              <w:bottom w:val="nil"/>
              <w:right w:val="nil"/>
            </w:tcBorders>
            <w:tcMar>
              <w:top w:w="60" w:type="dxa"/>
              <w:left w:w="130" w:type="dxa"/>
              <w:bottom w:w="60" w:type="dxa"/>
              <w:right w:w="130" w:type="dxa"/>
            </w:tcMar>
            <w:vAlign w:val="center"/>
          </w:tcPr>
          <w:p w14:paraId="2C29BAFE"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lang w:eastAsia="zh-CN"/>
              </w:rPr>
              <w:t>sc-53084</w:t>
            </w:r>
          </w:p>
        </w:tc>
        <w:tc>
          <w:tcPr>
            <w:tcW w:w="2046" w:type="pct"/>
            <w:tcBorders>
              <w:top w:val="nil"/>
              <w:left w:val="nil"/>
              <w:bottom w:val="nil"/>
              <w:right w:val="nil"/>
            </w:tcBorders>
            <w:tcMar>
              <w:top w:w="60" w:type="dxa"/>
              <w:left w:w="130" w:type="dxa"/>
              <w:bottom w:w="60" w:type="dxa"/>
              <w:right w:w="130" w:type="dxa"/>
            </w:tcMar>
            <w:vAlign w:val="center"/>
          </w:tcPr>
          <w:p w14:paraId="57F77897"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Santa Cruz, CA, USA</w:t>
            </w:r>
          </w:p>
        </w:tc>
      </w:tr>
      <w:tr w:rsidR="00210785" w14:paraId="56176FD1"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097BF7C9"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IL-10</w:t>
            </w:r>
          </w:p>
        </w:tc>
        <w:tc>
          <w:tcPr>
            <w:tcW w:w="1060" w:type="pct"/>
            <w:tcBorders>
              <w:top w:val="nil"/>
              <w:left w:val="nil"/>
              <w:bottom w:val="nil"/>
              <w:right w:val="nil"/>
            </w:tcBorders>
            <w:tcMar>
              <w:top w:w="60" w:type="dxa"/>
              <w:left w:w="130" w:type="dxa"/>
              <w:bottom w:w="60" w:type="dxa"/>
              <w:right w:w="130" w:type="dxa"/>
            </w:tcMar>
            <w:vAlign w:val="center"/>
          </w:tcPr>
          <w:p w14:paraId="73DD96A2"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16E8C309"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DF6894</w:t>
            </w:r>
          </w:p>
        </w:tc>
        <w:tc>
          <w:tcPr>
            <w:tcW w:w="2046" w:type="pct"/>
            <w:tcBorders>
              <w:top w:val="nil"/>
              <w:left w:val="nil"/>
              <w:bottom w:val="nil"/>
              <w:right w:val="nil"/>
            </w:tcBorders>
            <w:tcMar>
              <w:top w:w="60" w:type="dxa"/>
              <w:left w:w="130" w:type="dxa"/>
              <w:bottom w:w="60" w:type="dxa"/>
              <w:right w:w="130" w:type="dxa"/>
            </w:tcMar>
            <w:vAlign w:val="center"/>
          </w:tcPr>
          <w:p w14:paraId="7A8EDF3F"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Affinity</w:t>
            </w:r>
          </w:p>
        </w:tc>
      </w:tr>
      <w:tr w:rsidR="00210785" w14:paraId="77721B5E"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5C298F8C"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LC3-Ⅱ</w:t>
            </w:r>
          </w:p>
        </w:tc>
        <w:tc>
          <w:tcPr>
            <w:tcW w:w="1060" w:type="pct"/>
            <w:tcBorders>
              <w:top w:val="nil"/>
              <w:left w:val="nil"/>
              <w:bottom w:val="nil"/>
              <w:right w:val="nil"/>
            </w:tcBorders>
            <w:tcMar>
              <w:top w:w="60" w:type="dxa"/>
              <w:left w:w="130" w:type="dxa"/>
              <w:bottom w:w="60" w:type="dxa"/>
              <w:right w:w="130" w:type="dxa"/>
            </w:tcMar>
            <w:vAlign w:val="center"/>
          </w:tcPr>
          <w:p w14:paraId="4174D9E8"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3AD87046"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ET1701-65</w:t>
            </w:r>
          </w:p>
        </w:tc>
        <w:tc>
          <w:tcPr>
            <w:tcW w:w="2046" w:type="pct"/>
            <w:tcBorders>
              <w:top w:val="nil"/>
              <w:left w:val="nil"/>
              <w:bottom w:val="nil"/>
              <w:right w:val="nil"/>
            </w:tcBorders>
            <w:tcMar>
              <w:top w:w="60" w:type="dxa"/>
              <w:left w:w="130" w:type="dxa"/>
              <w:bottom w:w="60" w:type="dxa"/>
              <w:right w:w="130" w:type="dxa"/>
            </w:tcMar>
            <w:vAlign w:val="center"/>
          </w:tcPr>
          <w:p w14:paraId="1C5802DA"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HuaBio, Hangzhou, China</w:t>
            </w:r>
          </w:p>
        </w:tc>
      </w:tr>
      <w:tr w:rsidR="00210785" w14:paraId="50438F2B"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6F90CB7F"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p62</w:t>
            </w:r>
          </w:p>
        </w:tc>
        <w:tc>
          <w:tcPr>
            <w:tcW w:w="1060" w:type="pct"/>
            <w:tcBorders>
              <w:top w:val="nil"/>
              <w:left w:val="nil"/>
              <w:bottom w:val="nil"/>
              <w:right w:val="nil"/>
            </w:tcBorders>
            <w:tcMar>
              <w:top w:w="60" w:type="dxa"/>
              <w:left w:w="130" w:type="dxa"/>
              <w:bottom w:w="60" w:type="dxa"/>
              <w:right w:w="130" w:type="dxa"/>
            </w:tcMar>
            <w:vAlign w:val="center"/>
          </w:tcPr>
          <w:p w14:paraId="20DBCC23"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2B331E14"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HA721171</w:t>
            </w:r>
          </w:p>
        </w:tc>
        <w:tc>
          <w:tcPr>
            <w:tcW w:w="2046" w:type="pct"/>
            <w:tcBorders>
              <w:top w:val="nil"/>
              <w:left w:val="nil"/>
              <w:bottom w:val="nil"/>
              <w:right w:val="nil"/>
            </w:tcBorders>
            <w:tcMar>
              <w:top w:w="60" w:type="dxa"/>
              <w:left w:w="130" w:type="dxa"/>
              <w:bottom w:w="60" w:type="dxa"/>
              <w:right w:w="130" w:type="dxa"/>
            </w:tcMar>
            <w:vAlign w:val="center"/>
          </w:tcPr>
          <w:p w14:paraId="6315A40E"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HuaBio</w:t>
            </w:r>
          </w:p>
        </w:tc>
      </w:tr>
      <w:tr w:rsidR="00210785" w14:paraId="40FCAA20"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4AD8358B"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SYN</w:t>
            </w:r>
          </w:p>
        </w:tc>
        <w:tc>
          <w:tcPr>
            <w:tcW w:w="1060" w:type="pct"/>
            <w:tcBorders>
              <w:top w:val="nil"/>
              <w:left w:val="nil"/>
              <w:bottom w:val="nil"/>
              <w:right w:val="nil"/>
            </w:tcBorders>
            <w:tcMar>
              <w:top w:w="60" w:type="dxa"/>
              <w:left w:w="130" w:type="dxa"/>
              <w:bottom w:w="60" w:type="dxa"/>
              <w:right w:w="130" w:type="dxa"/>
            </w:tcMar>
            <w:vAlign w:val="center"/>
          </w:tcPr>
          <w:p w14:paraId="638AF5ED"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65097C88"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36406</w:t>
            </w:r>
          </w:p>
        </w:tc>
        <w:tc>
          <w:tcPr>
            <w:tcW w:w="2046" w:type="pct"/>
            <w:tcBorders>
              <w:top w:val="nil"/>
              <w:left w:val="nil"/>
              <w:bottom w:val="nil"/>
              <w:right w:val="nil"/>
            </w:tcBorders>
            <w:tcMar>
              <w:top w:w="60" w:type="dxa"/>
              <w:left w:w="130" w:type="dxa"/>
              <w:bottom w:w="60" w:type="dxa"/>
              <w:right w:w="130" w:type="dxa"/>
            </w:tcMar>
            <w:vAlign w:val="center"/>
          </w:tcPr>
          <w:p w14:paraId="37FB5BC7"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 Danvers, MA, USA</w:t>
            </w:r>
          </w:p>
        </w:tc>
      </w:tr>
      <w:tr w:rsidR="00210785" w14:paraId="4133B7AA"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38175662"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PSD95</w:t>
            </w:r>
          </w:p>
        </w:tc>
        <w:tc>
          <w:tcPr>
            <w:tcW w:w="1060" w:type="pct"/>
            <w:tcBorders>
              <w:top w:val="nil"/>
              <w:left w:val="nil"/>
              <w:bottom w:val="nil"/>
              <w:right w:val="nil"/>
            </w:tcBorders>
            <w:tcMar>
              <w:top w:w="60" w:type="dxa"/>
              <w:left w:w="130" w:type="dxa"/>
              <w:bottom w:w="60" w:type="dxa"/>
              <w:right w:w="130" w:type="dxa"/>
            </w:tcMar>
            <w:vAlign w:val="center"/>
          </w:tcPr>
          <w:p w14:paraId="7259AF63"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75AA553C"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3409</w:t>
            </w:r>
          </w:p>
        </w:tc>
        <w:tc>
          <w:tcPr>
            <w:tcW w:w="2046" w:type="pct"/>
            <w:tcBorders>
              <w:top w:val="nil"/>
              <w:left w:val="nil"/>
              <w:bottom w:val="nil"/>
              <w:right w:val="nil"/>
            </w:tcBorders>
            <w:tcMar>
              <w:top w:w="60" w:type="dxa"/>
              <w:left w:w="130" w:type="dxa"/>
              <w:bottom w:w="60" w:type="dxa"/>
              <w:right w:w="130" w:type="dxa"/>
            </w:tcMar>
            <w:vAlign w:val="center"/>
          </w:tcPr>
          <w:p w14:paraId="2294CAC5"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4356D257"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7819D543"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Nr4a1</w:t>
            </w:r>
          </w:p>
        </w:tc>
        <w:tc>
          <w:tcPr>
            <w:tcW w:w="1060" w:type="pct"/>
            <w:tcBorders>
              <w:top w:val="nil"/>
              <w:left w:val="nil"/>
              <w:bottom w:val="nil"/>
              <w:right w:val="nil"/>
            </w:tcBorders>
            <w:tcMar>
              <w:top w:w="60" w:type="dxa"/>
              <w:left w:w="130" w:type="dxa"/>
              <w:bottom w:w="60" w:type="dxa"/>
              <w:right w:w="130" w:type="dxa"/>
            </w:tcMar>
            <w:vAlign w:val="center"/>
          </w:tcPr>
          <w:p w14:paraId="121769BF"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1:500</w:t>
            </w:r>
          </w:p>
        </w:tc>
        <w:tc>
          <w:tcPr>
            <w:tcW w:w="985" w:type="pct"/>
            <w:tcBorders>
              <w:top w:val="nil"/>
              <w:left w:val="nil"/>
              <w:bottom w:val="nil"/>
              <w:right w:val="nil"/>
            </w:tcBorders>
            <w:tcMar>
              <w:top w:w="60" w:type="dxa"/>
              <w:left w:w="130" w:type="dxa"/>
              <w:bottom w:w="60" w:type="dxa"/>
              <w:right w:w="130" w:type="dxa"/>
            </w:tcMar>
            <w:vAlign w:val="center"/>
          </w:tcPr>
          <w:p w14:paraId="27408859"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sc-365113</w:t>
            </w:r>
          </w:p>
        </w:tc>
        <w:tc>
          <w:tcPr>
            <w:tcW w:w="2046" w:type="pct"/>
            <w:tcBorders>
              <w:top w:val="nil"/>
              <w:left w:val="nil"/>
              <w:bottom w:val="nil"/>
              <w:right w:val="nil"/>
            </w:tcBorders>
            <w:tcMar>
              <w:top w:w="60" w:type="dxa"/>
              <w:left w:w="130" w:type="dxa"/>
              <w:bottom w:w="60" w:type="dxa"/>
              <w:right w:w="130" w:type="dxa"/>
            </w:tcMar>
            <w:vAlign w:val="center"/>
          </w:tcPr>
          <w:p w14:paraId="71BB8E81"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Santa Cruz</w:t>
            </w:r>
          </w:p>
        </w:tc>
      </w:tr>
      <w:tr w:rsidR="00210785" w14:paraId="52D387DB"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74D02799"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BDNF</w:t>
            </w:r>
          </w:p>
        </w:tc>
        <w:tc>
          <w:tcPr>
            <w:tcW w:w="1060" w:type="pct"/>
            <w:tcBorders>
              <w:top w:val="nil"/>
              <w:left w:val="nil"/>
              <w:bottom w:val="nil"/>
              <w:right w:val="nil"/>
            </w:tcBorders>
            <w:tcMar>
              <w:top w:w="60" w:type="dxa"/>
              <w:left w:w="130" w:type="dxa"/>
              <w:bottom w:w="60" w:type="dxa"/>
              <w:right w:w="130" w:type="dxa"/>
            </w:tcMar>
            <w:vAlign w:val="center"/>
          </w:tcPr>
          <w:p w14:paraId="708C0A2C"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476F21E9"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ab108319</w:t>
            </w:r>
          </w:p>
        </w:tc>
        <w:tc>
          <w:tcPr>
            <w:tcW w:w="2046" w:type="pct"/>
            <w:tcBorders>
              <w:top w:val="nil"/>
              <w:left w:val="nil"/>
              <w:bottom w:val="nil"/>
              <w:right w:val="nil"/>
            </w:tcBorders>
            <w:tcMar>
              <w:top w:w="60" w:type="dxa"/>
              <w:left w:w="130" w:type="dxa"/>
              <w:bottom w:w="60" w:type="dxa"/>
              <w:right w:w="130" w:type="dxa"/>
            </w:tcMar>
            <w:vAlign w:val="center"/>
          </w:tcPr>
          <w:p w14:paraId="0D74BF17"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Abcam</w:t>
            </w:r>
          </w:p>
        </w:tc>
      </w:tr>
      <w:tr w:rsidR="00210785" w14:paraId="4C42A869"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180FC6BC"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TrkB</w:t>
            </w:r>
          </w:p>
        </w:tc>
        <w:tc>
          <w:tcPr>
            <w:tcW w:w="1060" w:type="pct"/>
            <w:tcBorders>
              <w:top w:val="nil"/>
              <w:left w:val="nil"/>
              <w:bottom w:val="nil"/>
              <w:right w:val="nil"/>
            </w:tcBorders>
            <w:tcMar>
              <w:top w:w="60" w:type="dxa"/>
              <w:left w:w="130" w:type="dxa"/>
              <w:bottom w:w="60" w:type="dxa"/>
              <w:right w:w="130" w:type="dxa"/>
            </w:tcMar>
            <w:vAlign w:val="center"/>
          </w:tcPr>
          <w:p w14:paraId="3047DC89"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4FE43D20"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4603</w:t>
            </w:r>
          </w:p>
        </w:tc>
        <w:tc>
          <w:tcPr>
            <w:tcW w:w="2046" w:type="pct"/>
            <w:tcBorders>
              <w:top w:val="nil"/>
              <w:left w:val="nil"/>
              <w:bottom w:val="nil"/>
              <w:right w:val="nil"/>
            </w:tcBorders>
            <w:tcMar>
              <w:top w:w="60" w:type="dxa"/>
              <w:left w:w="130" w:type="dxa"/>
              <w:bottom w:w="60" w:type="dxa"/>
              <w:right w:w="130" w:type="dxa"/>
            </w:tcMar>
            <w:vAlign w:val="center"/>
          </w:tcPr>
          <w:p w14:paraId="0209C7CD"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18A9425F"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3443B30B"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p-PI3K</w:t>
            </w:r>
          </w:p>
        </w:tc>
        <w:tc>
          <w:tcPr>
            <w:tcW w:w="1060" w:type="pct"/>
            <w:tcBorders>
              <w:top w:val="nil"/>
              <w:left w:val="nil"/>
              <w:bottom w:val="nil"/>
              <w:right w:val="nil"/>
            </w:tcBorders>
            <w:tcMar>
              <w:top w:w="60" w:type="dxa"/>
              <w:left w:w="130" w:type="dxa"/>
              <w:bottom w:w="60" w:type="dxa"/>
              <w:right w:w="130" w:type="dxa"/>
            </w:tcMar>
            <w:vAlign w:val="center"/>
          </w:tcPr>
          <w:p w14:paraId="243870E2"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244F574F"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4228</w:t>
            </w:r>
          </w:p>
        </w:tc>
        <w:tc>
          <w:tcPr>
            <w:tcW w:w="2046" w:type="pct"/>
            <w:tcBorders>
              <w:top w:val="nil"/>
              <w:left w:val="nil"/>
              <w:bottom w:val="nil"/>
              <w:right w:val="nil"/>
            </w:tcBorders>
            <w:tcMar>
              <w:top w:w="60" w:type="dxa"/>
              <w:left w:w="130" w:type="dxa"/>
              <w:bottom w:w="60" w:type="dxa"/>
              <w:right w:w="130" w:type="dxa"/>
            </w:tcMar>
            <w:vAlign w:val="center"/>
          </w:tcPr>
          <w:p w14:paraId="12D536F0"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4F6F1E3F"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3063FE4B"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PI3K</w:t>
            </w:r>
          </w:p>
        </w:tc>
        <w:tc>
          <w:tcPr>
            <w:tcW w:w="1060" w:type="pct"/>
            <w:tcBorders>
              <w:top w:val="nil"/>
              <w:left w:val="nil"/>
              <w:bottom w:val="nil"/>
              <w:right w:val="nil"/>
            </w:tcBorders>
            <w:tcMar>
              <w:top w:w="60" w:type="dxa"/>
              <w:left w:w="130" w:type="dxa"/>
              <w:bottom w:w="60" w:type="dxa"/>
              <w:right w:w="130" w:type="dxa"/>
            </w:tcMar>
            <w:vAlign w:val="center"/>
          </w:tcPr>
          <w:p w14:paraId="071F5D8A"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595425E3"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4249</w:t>
            </w:r>
          </w:p>
        </w:tc>
        <w:tc>
          <w:tcPr>
            <w:tcW w:w="2046" w:type="pct"/>
            <w:tcBorders>
              <w:top w:val="nil"/>
              <w:left w:val="nil"/>
              <w:bottom w:val="nil"/>
              <w:right w:val="nil"/>
            </w:tcBorders>
            <w:tcMar>
              <w:top w:w="60" w:type="dxa"/>
              <w:left w:w="130" w:type="dxa"/>
              <w:bottom w:w="60" w:type="dxa"/>
              <w:right w:w="130" w:type="dxa"/>
            </w:tcMar>
            <w:vAlign w:val="center"/>
          </w:tcPr>
          <w:p w14:paraId="0C3E5C7F"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7822420B"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74E833DF"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p-Akt</w:t>
            </w:r>
          </w:p>
        </w:tc>
        <w:tc>
          <w:tcPr>
            <w:tcW w:w="1060" w:type="pct"/>
            <w:tcBorders>
              <w:top w:val="nil"/>
              <w:left w:val="nil"/>
              <w:bottom w:val="nil"/>
              <w:right w:val="nil"/>
            </w:tcBorders>
            <w:tcMar>
              <w:top w:w="60" w:type="dxa"/>
              <w:left w:w="130" w:type="dxa"/>
              <w:bottom w:w="60" w:type="dxa"/>
              <w:right w:w="130" w:type="dxa"/>
            </w:tcMar>
            <w:vAlign w:val="center"/>
          </w:tcPr>
          <w:p w14:paraId="0B1ADBD0"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206F8053"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4060</w:t>
            </w:r>
          </w:p>
        </w:tc>
        <w:tc>
          <w:tcPr>
            <w:tcW w:w="2046" w:type="pct"/>
            <w:tcBorders>
              <w:top w:val="nil"/>
              <w:left w:val="nil"/>
              <w:bottom w:val="nil"/>
              <w:right w:val="nil"/>
            </w:tcBorders>
            <w:tcMar>
              <w:top w:w="60" w:type="dxa"/>
              <w:left w:w="130" w:type="dxa"/>
              <w:bottom w:w="60" w:type="dxa"/>
              <w:right w:w="130" w:type="dxa"/>
            </w:tcMar>
            <w:vAlign w:val="center"/>
          </w:tcPr>
          <w:p w14:paraId="709AA7BF"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19E7431D"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554CA358"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Akt</w:t>
            </w:r>
          </w:p>
        </w:tc>
        <w:tc>
          <w:tcPr>
            <w:tcW w:w="1060" w:type="pct"/>
            <w:tcBorders>
              <w:top w:val="nil"/>
              <w:left w:val="nil"/>
              <w:bottom w:val="nil"/>
              <w:right w:val="nil"/>
            </w:tcBorders>
            <w:tcMar>
              <w:top w:w="60" w:type="dxa"/>
              <w:left w:w="130" w:type="dxa"/>
              <w:bottom w:w="60" w:type="dxa"/>
              <w:right w:w="130" w:type="dxa"/>
            </w:tcMar>
            <w:vAlign w:val="center"/>
          </w:tcPr>
          <w:p w14:paraId="782350D7"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7DE13B31"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4685</w:t>
            </w:r>
          </w:p>
        </w:tc>
        <w:tc>
          <w:tcPr>
            <w:tcW w:w="2046" w:type="pct"/>
            <w:tcBorders>
              <w:top w:val="nil"/>
              <w:left w:val="nil"/>
              <w:bottom w:val="nil"/>
              <w:right w:val="nil"/>
            </w:tcBorders>
            <w:tcMar>
              <w:top w:w="60" w:type="dxa"/>
              <w:left w:w="130" w:type="dxa"/>
              <w:bottom w:w="60" w:type="dxa"/>
              <w:right w:w="130" w:type="dxa"/>
            </w:tcMar>
            <w:vAlign w:val="center"/>
          </w:tcPr>
          <w:p w14:paraId="44A8C701"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79EA8A3F"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58066987"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p-mTOR</w:t>
            </w:r>
          </w:p>
        </w:tc>
        <w:tc>
          <w:tcPr>
            <w:tcW w:w="1060" w:type="pct"/>
            <w:tcBorders>
              <w:top w:val="nil"/>
              <w:left w:val="nil"/>
              <w:bottom w:val="nil"/>
              <w:right w:val="nil"/>
            </w:tcBorders>
            <w:tcMar>
              <w:top w:w="60" w:type="dxa"/>
              <w:left w:w="130" w:type="dxa"/>
              <w:bottom w:w="60" w:type="dxa"/>
              <w:right w:w="130" w:type="dxa"/>
            </w:tcMar>
            <w:vAlign w:val="center"/>
          </w:tcPr>
          <w:p w14:paraId="090B5084"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121C7DB8"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5536</w:t>
            </w:r>
          </w:p>
        </w:tc>
        <w:tc>
          <w:tcPr>
            <w:tcW w:w="2046" w:type="pct"/>
            <w:tcBorders>
              <w:top w:val="nil"/>
              <w:left w:val="nil"/>
              <w:bottom w:val="nil"/>
              <w:right w:val="nil"/>
            </w:tcBorders>
            <w:tcMar>
              <w:top w:w="60" w:type="dxa"/>
              <w:left w:w="130" w:type="dxa"/>
              <w:bottom w:w="60" w:type="dxa"/>
              <w:right w:w="130" w:type="dxa"/>
            </w:tcMar>
            <w:vAlign w:val="center"/>
          </w:tcPr>
          <w:p w14:paraId="6A0FC44C"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556642B4"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35C68FA5"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mTOR</w:t>
            </w:r>
          </w:p>
        </w:tc>
        <w:tc>
          <w:tcPr>
            <w:tcW w:w="1060" w:type="pct"/>
            <w:tcBorders>
              <w:top w:val="nil"/>
              <w:left w:val="nil"/>
              <w:bottom w:val="nil"/>
              <w:right w:val="nil"/>
            </w:tcBorders>
            <w:tcMar>
              <w:top w:w="60" w:type="dxa"/>
              <w:left w:w="130" w:type="dxa"/>
              <w:bottom w:w="60" w:type="dxa"/>
              <w:right w:w="130" w:type="dxa"/>
            </w:tcMar>
            <w:vAlign w:val="center"/>
          </w:tcPr>
          <w:p w14:paraId="1D81710E"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09DADDD6"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2983</w:t>
            </w:r>
          </w:p>
        </w:tc>
        <w:tc>
          <w:tcPr>
            <w:tcW w:w="2046" w:type="pct"/>
            <w:tcBorders>
              <w:top w:val="nil"/>
              <w:left w:val="nil"/>
              <w:bottom w:val="nil"/>
              <w:right w:val="nil"/>
            </w:tcBorders>
            <w:tcMar>
              <w:top w:w="60" w:type="dxa"/>
              <w:left w:w="130" w:type="dxa"/>
              <w:bottom w:w="60" w:type="dxa"/>
              <w:right w:w="130" w:type="dxa"/>
            </w:tcMar>
            <w:vAlign w:val="center"/>
          </w:tcPr>
          <w:p w14:paraId="2C7D139D"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4084F6D6"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4F19D6F8"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p-Akt2</w:t>
            </w:r>
          </w:p>
        </w:tc>
        <w:tc>
          <w:tcPr>
            <w:tcW w:w="1060" w:type="pct"/>
            <w:tcBorders>
              <w:top w:val="nil"/>
              <w:left w:val="nil"/>
              <w:bottom w:val="nil"/>
              <w:right w:val="nil"/>
            </w:tcBorders>
            <w:tcMar>
              <w:top w:w="60" w:type="dxa"/>
              <w:left w:w="130" w:type="dxa"/>
              <w:bottom w:w="60" w:type="dxa"/>
              <w:right w:w="130" w:type="dxa"/>
            </w:tcMar>
            <w:vAlign w:val="center"/>
          </w:tcPr>
          <w:p w14:paraId="2D58D14B"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436204FC"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8599</w:t>
            </w:r>
          </w:p>
        </w:tc>
        <w:tc>
          <w:tcPr>
            <w:tcW w:w="2046" w:type="pct"/>
            <w:tcBorders>
              <w:top w:val="nil"/>
              <w:left w:val="nil"/>
              <w:bottom w:val="nil"/>
              <w:right w:val="nil"/>
            </w:tcBorders>
            <w:tcMar>
              <w:top w:w="60" w:type="dxa"/>
              <w:left w:w="130" w:type="dxa"/>
              <w:bottom w:w="60" w:type="dxa"/>
              <w:right w:w="130" w:type="dxa"/>
            </w:tcMar>
            <w:vAlign w:val="center"/>
          </w:tcPr>
          <w:p w14:paraId="2266101D"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35F976C0" w14:textId="77777777">
        <w:trPr>
          <w:jc w:val="center"/>
        </w:trPr>
        <w:tc>
          <w:tcPr>
            <w:tcW w:w="909" w:type="pct"/>
            <w:tcBorders>
              <w:top w:val="nil"/>
              <w:left w:val="nil"/>
              <w:bottom w:val="nil"/>
              <w:right w:val="nil"/>
            </w:tcBorders>
            <w:tcMar>
              <w:top w:w="60" w:type="dxa"/>
              <w:left w:w="130" w:type="dxa"/>
              <w:bottom w:w="60" w:type="dxa"/>
              <w:right w:w="130" w:type="dxa"/>
            </w:tcMar>
            <w:vAlign w:val="center"/>
          </w:tcPr>
          <w:p w14:paraId="47FE4276"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Akt2</w:t>
            </w:r>
          </w:p>
        </w:tc>
        <w:tc>
          <w:tcPr>
            <w:tcW w:w="1060" w:type="pct"/>
            <w:tcBorders>
              <w:top w:val="nil"/>
              <w:left w:val="nil"/>
              <w:bottom w:val="nil"/>
              <w:right w:val="nil"/>
            </w:tcBorders>
            <w:tcMar>
              <w:top w:w="60" w:type="dxa"/>
              <w:left w:w="130" w:type="dxa"/>
              <w:bottom w:w="60" w:type="dxa"/>
              <w:right w:w="130" w:type="dxa"/>
            </w:tcMar>
            <w:vAlign w:val="center"/>
          </w:tcPr>
          <w:p w14:paraId="00489717"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1:1000</w:t>
            </w:r>
          </w:p>
        </w:tc>
        <w:tc>
          <w:tcPr>
            <w:tcW w:w="985" w:type="pct"/>
            <w:tcBorders>
              <w:top w:val="nil"/>
              <w:left w:val="nil"/>
              <w:bottom w:val="nil"/>
              <w:right w:val="nil"/>
            </w:tcBorders>
            <w:tcMar>
              <w:top w:w="60" w:type="dxa"/>
              <w:left w:w="130" w:type="dxa"/>
              <w:bottom w:w="60" w:type="dxa"/>
              <w:right w:w="130" w:type="dxa"/>
            </w:tcMar>
            <w:vAlign w:val="center"/>
          </w:tcPr>
          <w:p w14:paraId="7BD9083F"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3063</w:t>
            </w:r>
          </w:p>
        </w:tc>
        <w:tc>
          <w:tcPr>
            <w:tcW w:w="2046" w:type="pct"/>
            <w:tcBorders>
              <w:top w:val="nil"/>
              <w:left w:val="nil"/>
              <w:bottom w:val="nil"/>
              <w:right w:val="nil"/>
            </w:tcBorders>
            <w:tcMar>
              <w:top w:w="60" w:type="dxa"/>
              <w:left w:w="130" w:type="dxa"/>
              <w:bottom w:w="60" w:type="dxa"/>
              <w:right w:w="130" w:type="dxa"/>
            </w:tcMar>
            <w:vAlign w:val="center"/>
          </w:tcPr>
          <w:p w14:paraId="501E5040"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Cell Signaling Technology</w:t>
            </w:r>
          </w:p>
        </w:tc>
      </w:tr>
      <w:tr w:rsidR="00210785" w14:paraId="1DA74A36" w14:textId="77777777">
        <w:trPr>
          <w:jc w:val="center"/>
        </w:trPr>
        <w:tc>
          <w:tcPr>
            <w:tcW w:w="909" w:type="pct"/>
            <w:tcBorders>
              <w:top w:val="nil"/>
              <w:left w:val="nil"/>
              <w:bottom w:val="single" w:sz="12" w:space="0" w:color="000000" w:themeColor="dark1"/>
              <w:right w:val="nil"/>
            </w:tcBorders>
            <w:tcMar>
              <w:top w:w="60" w:type="dxa"/>
              <w:left w:w="130" w:type="dxa"/>
              <w:bottom w:w="60" w:type="dxa"/>
              <w:right w:w="130" w:type="dxa"/>
            </w:tcMar>
            <w:vAlign w:val="center"/>
          </w:tcPr>
          <w:p w14:paraId="3E4D72E0"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β-actin</w:t>
            </w:r>
          </w:p>
        </w:tc>
        <w:tc>
          <w:tcPr>
            <w:tcW w:w="1060" w:type="pct"/>
            <w:tcBorders>
              <w:top w:val="nil"/>
              <w:left w:val="nil"/>
              <w:bottom w:val="single" w:sz="12" w:space="0" w:color="000000" w:themeColor="dark1"/>
              <w:right w:val="nil"/>
            </w:tcBorders>
            <w:tcMar>
              <w:top w:w="60" w:type="dxa"/>
              <w:left w:w="130" w:type="dxa"/>
              <w:bottom w:w="60" w:type="dxa"/>
              <w:right w:w="130" w:type="dxa"/>
            </w:tcMar>
            <w:vAlign w:val="center"/>
          </w:tcPr>
          <w:p w14:paraId="3C3CCE05" w14:textId="77777777" w:rsidR="00210785" w:rsidRDefault="00000000">
            <w:pPr>
              <w:spacing w:after="48" w:line="240" w:lineRule="auto"/>
              <w:jc w:val="center"/>
              <w:rPr>
                <w:rFonts w:ascii="Times New Roman" w:eastAsia="黑体" w:hAnsi="Times New Roman" w:cs="Times New Roman"/>
                <w:color w:val="08090C"/>
                <w:spacing w:val="1"/>
                <w:kern w:val="0"/>
                <w:sz w:val="22"/>
                <w:szCs w:val="22"/>
                <w:lang w:eastAsia="zh-CN" w:bidi="ar"/>
              </w:rPr>
            </w:pPr>
            <w:r>
              <w:rPr>
                <w:rFonts w:ascii="Times New Roman" w:eastAsia="黑体" w:hAnsi="Times New Roman" w:cs="Times New Roman"/>
                <w:color w:val="08090C"/>
                <w:spacing w:val="1"/>
                <w:kern w:val="0"/>
                <w:sz w:val="22"/>
                <w:szCs w:val="22"/>
                <w:lang w:eastAsia="zh-CN" w:bidi="ar"/>
              </w:rPr>
              <w:t>1:5000</w:t>
            </w:r>
          </w:p>
        </w:tc>
        <w:tc>
          <w:tcPr>
            <w:tcW w:w="985" w:type="pct"/>
            <w:tcBorders>
              <w:top w:val="nil"/>
              <w:left w:val="nil"/>
              <w:bottom w:val="single" w:sz="12" w:space="0" w:color="000000" w:themeColor="dark1"/>
              <w:right w:val="nil"/>
            </w:tcBorders>
            <w:tcMar>
              <w:top w:w="60" w:type="dxa"/>
              <w:left w:w="130" w:type="dxa"/>
              <w:bottom w:w="60" w:type="dxa"/>
              <w:right w:w="130" w:type="dxa"/>
            </w:tcMar>
            <w:vAlign w:val="center"/>
          </w:tcPr>
          <w:p w14:paraId="03B87D12" w14:textId="77777777" w:rsidR="00210785" w:rsidRDefault="00000000">
            <w:pPr>
              <w:spacing w:after="48" w:line="240" w:lineRule="auto"/>
              <w:jc w:val="center"/>
              <w:rPr>
                <w:rFonts w:ascii="Times New Roman" w:eastAsia="黑体" w:hAnsi="Times New Roman" w:cs="Times New Roman"/>
                <w:color w:val="08090C"/>
                <w:spacing w:val="1"/>
                <w:sz w:val="22"/>
                <w:szCs w:val="22"/>
                <w:lang w:eastAsia="zh-CN"/>
              </w:rPr>
            </w:pPr>
            <w:r>
              <w:rPr>
                <w:rFonts w:ascii="Times New Roman" w:eastAsia="黑体" w:hAnsi="Times New Roman" w:cs="Times New Roman"/>
                <w:color w:val="08090C"/>
                <w:spacing w:val="1"/>
                <w:sz w:val="22"/>
                <w:szCs w:val="22"/>
                <w:lang w:eastAsia="zh-CN"/>
              </w:rPr>
              <w:t>AF7018</w:t>
            </w:r>
          </w:p>
        </w:tc>
        <w:tc>
          <w:tcPr>
            <w:tcW w:w="2046" w:type="pct"/>
            <w:tcBorders>
              <w:top w:val="nil"/>
              <w:left w:val="nil"/>
              <w:bottom w:val="single" w:sz="12" w:space="0" w:color="000000" w:themeColor="dark1"/>
              <w:right w:val="nil"/>
            </w:tcBorders>
            <w:tcMar>
              <w:top w:w="60" w:type="dxa"/>
              <w:left w:w="130" w:type="dxa"/>
              <w:bottom w:w="60" w:type="dxa"/>
              <w:right w:w="130" w:type="dxa"/>
            </w:tcMar>
            <w:vAlign w:val="center"/>
          </w:tcPr>
          <w:p w14:paraId="57A2DA8D" w14:textId="77777777" w:rsidR="00210785" w:rsidRDefault="00000000">
            <w:pPr>
              <w:spacing w:after="48" w:line="240" w:lineRule="auto"/>
              <w:jc w:val="center"/>
              <w:rPr>
                <w:rFonts w:ascii="Times New Roman" w:eastAsia="黑体" w:hAnsi="Times New Roman" w:cs="Times New Roman"/>
                <w:color w:val="08090C"/>
                <w:spacing w:val="1"/>
                <w:sz w:val="22"/>
                <w:szCs w:val="22"/>
              </w:rPr>
            </w:pPr>
            <w:r>
              <w:rPr>
                <w:rFonts w:ascii="Times New Roman" w:eastAsia="黑体" w:hAnsi="Times New Roman" w:cs="Times New Roman"/>
                <w:color w:val="08090C"/>
                <w:spacing w:val="1"/>
                <w:sz w:val="22"/>
                <w:szCs w:val="22"/>
              </w:rPr>
              <w:t>Affinity</w:t>
            </w:r>
          </w:p>
        </w:tc>
      </w:tr>
    </w:tbl>
    <w:p w14:paraId="35D6BE2D" w14:textId="77777777" w:rsidR="00210785" w:rsidRDefault="00000000">
      <w:pPr>
        <w:spacing w:after="0" w:line="240" w:lineRule="auto"/>
        <w:rPr>
          <w:rFonts w:ascii="Times New Roman" w:eastAsia="等线" w:hAnsi="Times New Roman" w:cs="Times New Roman"/>
          <w:b/>
          <w:bCs/>
          <w:iCs/>
          <w:kern w:val="0"/>
          <w:lang w:eastAsia="zh-CN"/>
          <w14:ligatures w14:val="none"/>
        </w:rPr>
      </w:pPr>
      <w:r>
        <w:rPr>
          <w:rFonts w:eastAsia="等线"/>
          <w:b/>
          <w:bCs/>
          <w:i/>
          <w:iCs/>
          <w:lang w:eastAsia="zh-CN"/>
        </w:rPr>
        <w:br w:type="page"/>
      </w:r>
    </w:p>
    <w:p w14:paraId="0A4AA5E8" w14:textId="77777777" w:rsidR="00210785" w:rsidRDefault="00000000">
      <w:pPr>
        <w:pStyle w:val="AuthorsFull"/>
        <w:spacing w:line="360" w:lineRule="auto"/>
        <w:jc w:val="both"/>
        <w:rPr>
          <w:rFonts w:eastAsia="等线"/>
          <w:b/>
          <w:bCs/>
          <w:i w:val="0"/>
          <w:iCs/>
          <w:lang w:eastAsia="zh-CN"/>
        </w:rPr>
      </w:pPr>
      <w:r>
        <w:rPr>
          <w:rFonts w:eastAsia="等线"/>
          <w:b/>
          <w:bCs/>
          <w:i w:val="0"/>
          <w:iCs/>
          <w:lang w:eastAsia="zh-CN"/>
        </w:rPr>
        <w:lastRenderedPageBreak/>
        <w:t xml:space="preserve">Supplementary Notes 1.4: </w:t>
      </w:r>
      <w:r>
        <w:rPr>
          <w:rFonts w:eastAsia="等线"/>
          <w:i w:val="0"/>
          <w:iCs/>
          <w:lang w:eastAsia="zh-CN"/>
        </w:rPr>
        <w:t>Cell grouping and drug intervention</w:t>
      </w:r>
    </w:p>
    <w:p w14:paraId="6CCB7BC9" w14:textId="77777777" w:rsidR="00210785" w:rsidRDefault="00210785" w:rsidP="006864FD">
      <w:pPr>
        <w:spacing w:after="0" w:line="240" w:lineRule="auto"/>
        <w:jc w:val="both"/>
        <w:rPr>
          <w:rFonts w:ascii="Times New Roman" w:eastAsia="等线" w:hAnsi="Times New Roman" w:cs="Times New Roman"/>
          <w:kern w:val="0"/>
          <w:szCs w:val="20"/>
          <w:lang w:eastAsia="zh-CN"/>
          <w14:ligatures w14:val="none"/>
        </w:rPr>
      </w:pPr>
    </w:p>
    <w:p w14:paraId="5558CB4C" w14:textId="11AE22B9" w:rsidR="00210785" w:rsidRDefault="00000000">
      <w:pPr>
        <w:spacing w:after="0" w:line="480" w:lineRule="auto"/>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kern w:val="0"/>
          <w:lang w:eastAsia="zh-CN"/>
          <w14:ligatures w14:val="none"/>
        </w:rPr>
        <w:t xml:space="preserve">Figure S2 shows a flowchart of cell experiments. To investigate the role of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 xml:space="preserve"> in microglia-mediated neuroinflammation, BV2 cells were assigned to four groups, namely, Control, LPS,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Vec, and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Nr4a1</w:t>
      </w:r>
      <w:r>
        <w:rPr>
          <w:rFonts w:ascii="Times New Roman" w:eastAsia="Times New Roman" w:hAnsi="Times New Roman" w:cs="Times New Roman"/>
          <w:kern w:val="0"/>
          <w:vertAlign w:val="superscript"/>
          <w:lang w:eastAsia="zh-CN"/>
          <w14:ligatures w14:val="none"/>
        </w:rPr>
        <w:t>OE</w:t>
      </w:r>
      <w:r>
        <w:rPr>
          <w:rFonts w:ascii="Times New Roman" w:eastAsia="Times New Roman" w:hAnsi="Times New Roman" w:cs="Times New Roman"/>
          <w:kern w:val="0"/>
          <w:lang w:eastAsia="zh-CN"/>
          <w14:ligatures w14:val="none"/>
        </w:rPr>
        <w:t xml:space="preserve">. Based on previous studies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{"citationID":"ZqFMP93m","properties":{"formattedCitation":"[1]","plainCitation":"[1]","noteIndex":0},"citationItems":[{"id":11352,"uris":["http://zotero.org/users/9311172/items/A6Q8JEQJ"],"itemData":{"id":11352,"type":"article-journal","abstract":"BACKGROUND: Baicalin, which is isolated from Radix Scutellariae, possesses strong biological activities including an anti-inflammation property. Recent studies have shown that the anti-inflammatory effect of baicalin is linked to toll-like receptor 4 (TLR4), which participates in pathological changes of central nervous system diseases such as depression. In this study, we explored whether baicalin could produce antidepressant effects via regulation of TLR4 signaling in mice and attempted to elucidate the underlying mechanisms.\nMETHODS: A chronic unpredictable mild stress (CUMS) mice model was performed to explore whether baicalin could produce antidepressant effects via the inhibition of neuroinflammation. To clarify the role of TLR4 in the anti-neuroinflammatory efficacy of baicalin, a lipopolysaccharide (LPS) was employed in mice to specially activate TLR4 and the behavioral changes were determined. Furthermore, we used LY294002 to examine the molecular mechanisms of baicalin in regulating the expression of TLR4 in vivo and in vitro using western blot, ELISA kits, and immunostaining. In the in vitro tests, the BV2 microglia cell lines and primary microglia cultures were pretreated with baicalin and LY292002 for 1 h and then stimulated 24 h with LPS. The primary microglial cells were transfected with the forkhead transcription factor forkhead box protein O 1 (FoxO1)-specific siRNA for 5 h and then co-stimulated with baicalin and LPS to investigate whether FoxO1 participated in the effect of baicalin on TLR4 expression.\nRESULTS: The administration of baicalin (especially 60 mg/kg) dramatically ameliorated CUMS-induced depressive-like symptoms; substantially decreased the levels of interleukin-1 beta (IL-1β), interleukin-6 (IL-6), and tumor necrosis factor alpha (TNF-α) in the hippocampus; and significantly decreased the expression of TLR4. The activation of TLR4 by the LPS triggered neuroinflammation and evoked depressive-like behaviors in mice, which were also alleviated by the treatment with baicalin (60 mg/kg). Furthermore, the application of baicalin significantly increased the phosphorylation of phosphatidylinositol 3-kinase (PI3K), protein kinase B (AKT), and FoxO1. The application of baicalin also promoted FoxO1 nuclear exclusion and contributed to the inhibition of the FoxO1 transactivation potential, which led to the downregulation of the expression of TLR4 in CUMS mice or LPS-treated BV2 cells and primary microglia cells. However, prophylactic treatment of LY294002 abolished the above effects of baicalin. In addition, we found that FoxO1 played a vital role in baicalin by regulating the TLR4 and TLR4-mediating neuroinflammation triggered by the LPS via knocking down the expression of FoxO1 in the primary microglia.\nCONCLUSION: Collectively, these results demonstrate that baicalin ameliorated neuroinflammation-induced depressive-like behaviors through the inhibition of TLR4 expression via the PI3K/AKT/FoxO1 pathway.\n\n</w:instrText>
      </w:r>
      <w:r>
        <w:rPr>
          <w:rFonts w:ascii="Times New Roman" w:eastAsia="宋体" w:hAnsi="Times New Roman" w:cs="Times New Roman"/>
          <w:kern w:val="0"/>
          <w14:ligatures w14:val="none"/>
        </w:rPr>
        <w:instrText>【摘要翻译】背景</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从黄芩中分离得到的黄芩苷具有较强的抗炎活性。最近的研究表明，黄芩苷的抗炎作用与</w:instrText>
      </w:r>
      <w:r>
        <w:rPr>
          <w:rFonts w:ascii="Times New Roman" w:eastAsia="宋体" w:hAnsi="Times New Roman" w:cs="Times New Roman"/>
          <w:kern w:val="0"/>
          <w14:ligatures w14:val="none"/>
        </w:rPr>
        <w:instrText xml:space="preserve"> 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4(tLR4)</w:instrText>
      </w:r>
      <w:r>
        <w:rPr>
          <w:rFonts w:ascii="Times New Roman" w:eastAsia="宋体" w:hAnsi="Times New Roman" w:cs="Times New Roman"/>
          <w:kern w:val="0"/>
          <w14:ligatures w14:val="none"/>
        </w:rPr>
        <w:instrText>有关，它参与了中枢神经系统疾病的病理变化，如抑郁症。在这项研究中，我们探讨了黄芩苷是否可以通过调节小鼠</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信号传导产生抗抑郁作用，并试图阐明其潜在的机制。方法</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采用慢性不可预测轻度应激</w:instrText>
      </w:r>
      <w:r>
        <w:rPr>
          <w:rFonts w:ascii="Times New Roman" w:eastAsia="宋体" w:hAnsi="Times New Roman" w:cs="Times New Roman"/>
          <w:kern w:val="0"/>
          <w14:ligatures w14:val="none"/>
        </w:rPr>
        <w:instrText>(CUMS)</w:instrText>
      </w:r>
      <w:r>
        <w:rPr>
          <w:rFonts w:ascii="Times New Roman" w:eastAsia="宋体" w:hAnsi="Times New Roman" w:cs="Times New Roman"/>
          <w:kern w:val="0"/>
          <w14:ligatures w14:val="none"/>
        </w:rPr>
        <w:instrText>小鼠模型，研究黄芩苷是否通过抑制神经炎症产生抗抑郁作用。为了阐明</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在黄芩苷抗神经炎症功效中的作用，我们在小鼠身上使用了一种脂多糖</w:instrText>
      </w:r>
      <w:r>
        <w:rPr>
          <w:rFonts w:ascii="Times New Roman" w:eastAsia="宋体" w:hAnsi="Times New Roman" w:cs="Times New Roman"/>
          <w:kern w:val="0"/>
          <w14:ligatures w14:val="none"/>
        </w:rPr>
        <w:instrText>(LPS)</w:instrText>
      </w:r>
      <w:r>
        <w:rPr>
          <w:rFonts w:ascii="Times New Roman" w:eastAsia="宋体" w:hAnsi="Times New Roman" w:cs="Times New Roman"/>
          <w:kern w:val="0"/>
          <w14:ligatures w14:val="none"/>
        </w:rPr>
        <w:instrText>来特别激活</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，并测定其行为变化。此外，我们使用</w:instrText>
      </w:r>
      <w:r>
        <w:rPr>
          <w:rFonts w:ascii="Times New Roman" w:eastAsia="宋体" w:hAnsi="Times New Roman" w:cs="Times New Roman"/>
          <w:kern w:val="0"/>
          <w14:ligatures w14:val="none"/>
        </w:rPr>
        <w:instrText xml:space="preserve"> LY294002</w:instrText>
      </w:r>
      <w:r>
        <w:rPr>
          <w:rFonts w:ascii="Times New Roman" w:eastAsia="宋体" w:hAnsi="Times New Roman" w:cs="Times New Roman"/>
          <w:kern w:val="0"/>
          <w14:ligatures w14:val="none"/>
        </w:rPr>
        <w:instrText>检测黄芩苷在体内和体外调节</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表达的分子机制，使用免疫印迹、</w:instrText>
      </w:r>
      <w:r>
        <w:rPr>
          <w:rFonts w:ascii="Times New Roman" w:eastAsia="宋体" w:hAnsi="Times New Roman" w:cs="Times New Roman"/>
          <w:kern w:val="0"/>
          <w14:ligatures w14:val="none"/>
        </w:rPr>
        <w:instrText xml:space="preserve"> ELISA </w:instrText>
      </w:r>
      <w:r>
        <w:rPr>
          <w:rFonts w:ascii="Times New Roman" w:eastAsia="宋体" w:hAnsi="Times New Roman" w:cs="Times New Roman"/>
          <w:kern w:val="0"/>
          <w14:ligatures w14:val="none"/>
        </w:rPr>
        <w:instrText>试剂盒和免疫染色。在体外实验中，用黄芩苷和</w:instrText>
      </w:r>
      <w:r>
        <w:rPr>
          <w:rFonts w:ascii="Times New Roman" w:eastAsia="宋体" w:hAnsi="Times New Roman" w:cs="Times New Roman"/>
          <w:kern w:val="0"/>
          <w14:ligatures w14:val="none"/>
        </w:rPr>
        <w:instrText xml:space="preserve"> LY292002</w:instrText>
      </w:r>
      <w:r>
        <w:rPr>
          <w:rFonts w:ascii="Times New Roman" w:eastAsia="宋体" w:hAnsi="Times New Roman" w:cs="Times New Roman"/>
          <w:kern w:val="0"/>
          <w14:ligatures w14:val="none"/>
        </w:rPr>
        <w:instrText>预处理</w:instrText>
      </w:r>
      <w:r>
        <w:rPr>
          <w:rFonts w:ascii="Times New Roman" w:eastAsia="宋体" w:hAnsi="Times New Roman" w:cs="Times New Roman"/>
          <w:kern w:val="0"/>
          <w14:ligatures w14:val="none"/>
        </w:rPr>
        <w:instrText xml:space="preserve"> BV2</w:instrText>
      </w:r>
      <w:r>
        <w:rPr>
          <w:rFonts w:ascii="Times New Roman" w:eastAsia="宋体" w:hAnsi="Times New Roman" w:cs="Times New Roman"/>
          <w:kern w:val="0"/>
          <w14:ligatures w14:val="none"/>
        </w:rPr>
        <w:instrText>小胶质细胞系和原代小胶质细胞培养物</w:instrText>
      </w:r>
      <w:r>
        <w:rPr>
          <w:rFonts w:ascii="Times New Roman" w:eastAsia="宋体" w:hAnsi="Times New Roman" w:cs="Times New Roman"/>
          <w:kern w:val="0"/>
          <w14:ligatures w14:val="none"/>
        </w:rPr>
        <w:instrText>1h</w:instrText>
      </w:r>
      <w:r>
        <w:rPr>
          <w:rFonts w:ascii="Times New Roman" w:eastAsia="宋体" w:hAnsi="Times New Roman" w:cs="Times New Roman"/>
          <w:kern w:val="0"/>
          <w14:ligatures w14:val="none"/>
        </w:rPr>
        <w:instrText>，然后用</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刺激</w:instrText>
      </w:r>
      <w:r>
        <w:rPr>
          <w:rFonts w:ascii="Times New Roman" w:eastAsia="宋体" w:hAnsi="Times New Roman" w:cs="Times New Roman"/>
          <w:kern w:val="0"/>
          <w14:ligatures w14:val="none"/>
        </w:rPr>
        <w:instrText>24h</w:instrText>
      </w:r>
      <w:r>
        <w:rPr>
          <w:rFonts w:ascii="Times New Roman" w:eastAsia="宋体" w:hAnsi="Times New Roman" w:cs="Times New Roman"/>
          <w:kern w:val="0"/>
          <w14:ligatures w14:val="none"/>
        </w:rPr>
        <w:instrText>。将原代小胶质细胞用叉头转录因子叉头盒蛋白</w:instrText>
      </w:r>
      <w:r>
        <w:rPr>
          <w:rFonts w:ascii="Times New Roman" w:eastAsia="宋体" w:hAnsi="Times New Roman" w:cs="Times New Roman"/>
          <w:kern w:val="0"/>
          <w14:ligatures w14:val="none"/>
        </w:rPr>
        <w:instrText xml:space="preserve"> O1(FoxO1)</w:instrText>
      </w:r>
      <w:r>
        <w:rPr>
          <w:rFonts w:ascii="Times New Roman" w:eastAsia="宋体" w:hAnsi="Times New Roman" w:cs="Times New Roman"/>
          <w:kern w:val="0"/>
          <w14:ligatures w14:val="none"/>
        </w:rPr>
        <w:instrText>特异性</w:instrText>
      </w:r>
      <w:r>
        <w:rPr>
          <w:rFonts w:ascii="Times New Roman" w:eastAsia="宋体" w:hAnsi="Times New Roman" w:cs="Times New Roman"/>
          <w:kern w:val="0"/>
          <w14:ligatures w14:val="none"/>
        </w:rPr>
        <w:instrText xml:space="preserve"> siRNA </w:instrText>
      </w:r>
      <w:r>
        <w:rPr>
          <w:rFonts w:ascii="Times New Roman" w:eastAsia="宋体" w:hAnsi="Times New Roman" w:cs="Times New Roman"/>
          <w:kern w:val="0"/>
          <w14:ligatures w14:val="none"/>
        </w:rPr>
        <w:instrText>转染</w:instrText>
      </w:r>
      <w:r>
        <w:rPr>
          <w:rFonts w:ascii="Times New Roman" w:eastAsia="宋体" w:hAnsi="Times New Roman" w:cs="Times New Roman"/>
          <w:kern w:val="0"/>
          <w14:ligatures w14:val="none"/>
        </w:rPr>
        <w:instrText>5</w:instrText>
      </w:r>
      <w:r>
        <w:rPr>
          <w:rFonts w:ascii="Times New Roman" w:eastAsia="宋体" w:hAnsi="Times New Roman" w:cs="Times New Roman"/>
          <w:kern w:val="0"/>
          <w14:ligatures w14:val="none"/>
        </w:rPr>
        <w:instrText>小时，然后与黄芩苷和</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共刺激，以研究</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是否参与了黄芩苷对</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表达的影响。结果</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黄芩苷</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特别是</w:instrText>
      </w:r>
      <w:r>
        <w:rPr>
          <w:rFonts w:ascii="Times New Roman" w:eastAsia="宋体" w:hAnsi="Times New Roman" w:cs="Times New Roman"/>
          <w:kern w:val="0"/>
          <w14:ligatures w14:val="none"/>
        </w:rPr>
        <w:instrText>60mg/kg)</w:instrText>
      </w:r>
      <w:r>
        <w:rPr>
          <w:rFonts w:ascii="Times New Roman" w:eastAsia="宋体" w:hAnsi="Times New Roman" w:cs="Times New Roman"/>
          <w:kern w:val="0"/>
          <w14:ligatures w14:val="none"/>
        </w:rPr>
        <w:instrText>能显著改善</w:instrText>
      </w:r>
      <w:r>
        <w:rPr>
          <w:rFonts w:ascii="Times New Roman" w:eastAsia="宋体" w:hAnsi="Times New Roman" w:cs="Times New Roman"/>
          <w:kern w:val="0"/>
          <w14:ligatures w14:val="none"/>
        </w:rPr>
        <w:instrText xml:space="preserve"> CUMS </w:instrText>
      </w:r>
      <w:r>
        <w:rPr>
          <w:rFonts w:ascii="Times New Roman" w:eastAsia="宋体" w:hAnsi="Times New Roman" w:cs="Times New Roman"/>
          <w:kern w:val="0"/>
          <w14:ligatures w14:val="none"/>
        </w:rPr>
        <w:instrText>诱导的抑郁样症状，显著降低海马白细胞介素</w:instrText>
      </w:r>
      <w:r>
        <w:rPr>
          <w:rFonts w:ascii="Times New Roman" w:eastAsia="宋体" w:hAnsi="Times New Roman" w:cs="Times New Roman"/>
          <w:kern w:val="0"/>
          <w14:ligatures w14:val="none"/>
        </w:rPr>
        <w:instrText xml:space="preserve"> -1β (IL-1β)</w:instrText>
      </w:r>
      <w:r>
        <w:rPr>
          <w:rFonts w:ascii="Times New Roman" w:eastAsia="宋体" w:hAnsi="Times New Roman" w:cs="Times New Roman"/>
          <w:kern w:val="0"/>
          <w14:ligatures w14:val="none"/>
        </w:rPr>
        <w:instrText>、白细胞介素</w:instrText>
      </w:r>
      <w:r>
        <w:rPr>
          <w:rFonts w:ascii="Times New Roman" w:eastAsia="宋体" w:hAnsi="Times New Roman" w:cs="Times New Roman"/>
          <w:kern w:val="0"/>
          <w14:ligatures w14:val="none"/>
        </w:rPr>
        <w:instrText xml:space="preserve"> -6(IL-6)</w:instrText>
      </w:r>
      <w:r>
        <w:rPr>
          <w:rFonts w:ascii="Times New Roman" w:eastAsia="宋体" w:hAnsi="Times New Roman" w:cs="Times New Roman"/>
          <w:kern w:val="0"/>
          <w14:ligatures w14:val="none"/>
        </w:rPr>
        <w:instrText>和肿瘤坏死因子</w:instrText>
      </w:r>
      <w:r>
        <w:rPr>
          <w:rFonts w:ascii="Times New Roman" w:eastAsia="宋体" w:hAnsi="Times New Roman" w:cs="Times New Roman"/>
          <w:kern w:val="0"/>
          <w14:ligatures w14:val="none"/>
        </w:rPr>
        <w:instrText>-α α (TNF-α)</w:instrText>
      </w:r>
      <w:r>
        <w:rPr>
          <w:rFonts w:ascii="Times New Roman" w:eastAsia="宋体" w:hAnsi="Times New Roman" w:cs="Times New Roman"/>
          <w:kern w:val="0"/>
          <w14:ligatures w14:val="none"/>
        </w:rPr>
        <w:instrText>的水平，并显著降低</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的表达。内毒素激活的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在小鼠中引发神经炎症和诱发抑郁样行为，黄芩苷</w:instrText>
      </w:r>
      <w:r>
        <w:rPr>
          <w:rFonts w:ascii="Times New Roman" w:eastAsia="宋体" w:hAnsi="Times New Roman" w:cs="Times New Roman"/>
          <w:kern w:val="0"/>
          <w14:ligatures w14:val="none"/>
        </w:rPr>
        <w:instrText>(60mg/kg)</w:instrText>
      </w:r>
      <w:r>
        <w:rPr>
          <w:rFonts w:ascii="Times New Roman" w:eastAsia="宋体" w:hAnsi="Times New Roman" w:cs="Times New Roman"/>
          <w:kern w:val="0"/>
          <w14:ligatures w14:val="none"/>
        </w:rPr>
        <w:instrText>的治疗也减轻了这种行为。此外，黄芩苷的应用显着增加了磷脂酰肌醇</w:instrText>
      </w:r>
      <w:r>
        <w:rPr>
          <w:rFonts w:ascii="Times New Roman" w:eastAsia="宋体" w:hAnsi="Times New Roman" w:cs="Times New Roman"/>
          <w:kern w:val="0"/>
          <w14:ligatures w14:val="none"/>
        </w:rPr>
        <w:instrText>3-</w:instrText>
      </w:r>
      <w:r>
        <w:rPr>
          <w:rFonts w:ascii="Times New Roman" w:eastAsia="宋体" w:hAnsi="Times New Roman" w:cs="Times New Roman"/>
          <w:kern w:val="0"/>
          <w14:ligatures w14:val="none"/>
        </w:rPr>
        <w:instrText>激酶</w:instrText>
      </w:r>
      <w:r>
        <w:rPr>
          <w:rFonts w:ascii="Times New Roman" w:eastAsia="宋体" w:hAnsi="Times New Roman" w:cs="Times New Roman"/>
          <w:kern w:val="0"/>
          <w14:ligatures w14:val="none"/>
        </w:rPr>
        <w:instrText xml:space="preserve">(PI3K) </w:instrText>
      </w:r>
      <w:r>
        <w:rPr>
          <w:rFonts w:ascii="Times New Roman" w:eastAsia="宋体" w:hAnsi="Times New Roman" w:cs="Times New Roman"/>
          <w:kern w:val="0"/>
          <w14:ligatures w14:val="none"/>
        </w:rPr>
        <w:instrText>，蛋白激酶</w:instrText>
      </w:r>
      <w:r>
        <w:rPr>
          <w:rFonts w:ascii="Times New Roman" w:eastAsia="宋体" w:hAnsi="Times New Roman" w:cs="Times New Roman"/>
          <w:kern w:val="0"/>
          <w14:ligatures w14:val="none"/>
        </w:rPr>
        <w:instrText xml:space="preserve"> B (AKT)</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的磷酸化。黄芩苷的应用也促进了</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核排斥，并有助于抑制</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反式激活潜能，这导致</w:instrText>
      </w:r>
      <w:r>
        <w:rPr>
          <w:rFonts w:ascii="Times New Roman" w:eastAsia="宋体" w:hAnsi="Times New Roman" w:cs="Times New Roman"/>
          <w:kern w:val="0"/>
          <w14:ligatures w14:val="none"/>
        </w:rPr>
        <w:instrText xml:space="preserve"> CUMS </w:instrText>
      </w:r>
      <w:r>
        <w:rPr>
          <w:rFonts w:ascii="Times New Roman" w:eastAsia="宋体" w:hAnsi="Times New Roman" w:cs="Times New Roman"/>
          <w:kern w:val="0"/>
          <w14:ligatures w14:val="none"/>
        </w:rPr>
        <w:instrText>小鼠或</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处理的</w:instrText>
      </w:r>
      <w:r>
        <w:rPr>
          <w:rFonts w:ascii="Times New Roman" w:eastAsia="宋体" w:hAnsi="Times New Roman" w:cs="Times New Roman"/>
          <w:kern w:val="0"/>
          <w14:ligatures w14:val="none"/>
        </w:rPr>
        <w:instrText xml:space="preserve"> BV2</w:instrText>
      </w:r>
      <w:r>
        <w:rPr>
          <w:rFonts w:ascii="Times New Roman" w:eastAsia="宋体" w:hAnsi="Times New Roman" w:cs="Times New Roman"/>
          <w:kern w:val="0"/>
          <w14:ligatures w14:val="none"/>
        </w:rPr>
        <w:instrText>细胞和原代小胶质细胞中</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的表达下调。然而，</w:instrText>
      </w:r>
      <w:r>
        <w:rPr>
          <w:rFonts w:ascii="Times New Roman" w:eastAsia="宋体" w:hAnsi="Times New Roman" w:cs="Times New Roman"/>
          <w:kern w:val="0"/>
          <w14:ligatures w14:val="none"/>
        </w:rPr>
        <w:instrText>LY294002</w:instrText>
      </w:r>
      <w:r>
        <w:rPr>
          <w:rFonts w:ascii="Times New Roman" w:eastAsia="宋体" w:hAnsi="Times New Roman" w:cs="Times New Roman"/>
          <w:kern w:val="0"/>
          <w14:ligatures w14:val="none"/>
        </w:rPr>
        <w:instrText>的预防性治疗消除了黄芩苷的上述作用。此外，我们发现</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通过调节由内毒素触发的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介导的神经炎症，通过敲低原代小胶质细胞中</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的表达，在黄芩苷中发挥重要作用。结论</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总的来说，这些结果表明黄芩苷通过抑制</w:instrText>
      </w:r>
      <w:r>
        <w:rPr>
          <w:rFonts w:ascii="Times New Roman" w:eastAsia="宋体" w:hAnsi="Times New Roman" w:cs="Times New Roman"/>
          <w:kern w:val="0"/>
          <w14:ligatures w14:val="none"/>
        </w:rPr>
        <w:instrText xml:space="preserve"> PI3K/AKT/FoxO1</w:instrText>
      </w:r>
      <w:r>
        <w:rPr>
          <w:rFonts w:ascii="Times New Roman" w:eastAsia="宋体" w:hAnsi="Times New Roman" w:cs="Times New Roman"/>
          <w:kern w:val="0"/>
          <w14:ligatures w14:val="none"/>
        </w:rPr>
        <w:instrText>途径的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表达来改善神经炎症诱导的抑郁样行为。</w:instrText>
      </w:r>
      <w:r>
        <w:rPr>
          <w:rFonts w:ascii="Times New Roman" w:eastAsia="宋体" w:hAnsi="Times New Roman" w:cs="Times New Roman"/>
          <w:kern w:val="0"/>
          <w14:ligatures w14:val="none"/>
        </w:rPr>
        <w:instrText>","archive_location":"235 citation(s)","call-number":"1","container-title":"Journal of Neuroinflammation","DOI":"10.1186/s12974-019-1474-8","ISSN":"1742-2094","issue":"1","journalAbbreviation":"J Neuroinflammation","language":"en","license":"LY</w:instrText>
      </w:r>
      <w:r>
        <w:rPr>
          <w:rFonts w:ascii="Times New Roman" w:eastAsia="宋体" w:hAnsi="Times New Roman" w:cs="Times New Roman"/>
          <w:kern w:val="0"/>
          <w14:ligatures w14:val="none"/>
        </w:rPr>
        <w:instrText>细胞干预（</w:instrText>
      </w:r>
      <w:r>
        <w:rPr>
          <w:rFonts w:ascii="Times New Roman" w:eastAsia="宋体" w:hAnsi="Times New Roman" w:cs="Times New Roman"/>
          <w:kern w:val="0"/>
          <w14:ligatures w14:val="none"/>
        </w:rPr>
        <w:instrText>10 μ M</w:instrText>
      </w:r>
      <w:r>
        <w:rPr>
          <w:rFonts w:ascii="Times New Roman" w:eastAsia="宋体" w:hAnsi="Times New Roman" w:cs="Times New Roman"/>
          <w:kern w:val="0"/>
          <w14:ligatures w14:val="none"/>
        </w:rPr>
        <w:instrText>）</w:instrText>
      </w:r>
      <w:r>
        <w:rPr>
          <w:rFonts w:ascii="Segoe UI Emoji" w:eastAsia="宋体" w:hAnsi="Segoe UI Emoji" w:cs="Segoe UI Emoji"/>
          <w:kern w:val="0"/>
          <w14:ligatures w14:val="none"/>
        </w:rPr>
        <w:instrText>⭐⭐⭐</w:instrText>
      </w:r>
      <w:r>
        <w:rPr>
          <w:rFonts w:ascii="Times New Roman" w:eastAsia="宋体" w:hAnsi="Times New Roman" w:cs="Times New Roman"/>
          <w:kern w:val="0"/>
          <w14:ligatures w14:val="none"/>
        </w:rPr>
        <w:instrText xml:space="preserve">","note":"titleTranslation: </w:instrText>
      </w:r>
      <w:r>
        <w:rPr>
          <w:rFonts w:ascii="Times New Roman" w:eastAsia="宋体" w:hAnsi="Times New Roman" w:cs="Times New Roman"/>
          <w:kern w:val="0"/>
          <w14:ligatures w14:val="none"/>
        </w:rPr>
        <w:instrText>黄芩苷通过</w:instrText>
      </w:r>
      <w:r>
        <w:rPr>
          <w:rFonts w:ascii="Times New Roman" w:eastAsia="宋体" w:hAnsi="Times New Roman" w:cs="Times New Roman"/>
          <w:kern w:val="0"/>
          <w14:ligatures w14:val="none"/>
        </w:rPr>
        <w:instrText>PI3K/AKT/FoxO1</w:instrText>
      </w:r>
      <w:r>
        <w:rPr>
          <w:rFonts w:ascii="Times New Roman" w:eastAsia="宋体" w:hAnsi="Times New Roman" w:cs="Times New Roman"/>
          <w:kern w:val="0"/>
          <w14:ligatures w14:val="none"/>
        </w:rPr>
        <w:instrText>途径抑制</w:instrText>
      </w:r>
      <w:r>
        <w:rPr>
          <w:rFonts w:ascii="Times New Roman" w:eastAsia="宋体" w:hAnsi="Times New Roman" w:cs="Times New Roman"/>
          <w:kern w:val="0"/>
          <w14:ligatures w14:val="none"/>
        </w:rPr>
        <w:instrText>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w:instrText>
      </w:r>
      <w:r>
        <w:rPr>
          <w:rFonts w:ascii="Times New Roman" w:eastAsia="宋体" w:hAnsi="Times New Roman" w:cs="Times New Roman"/>
          <w:kern w:val="0"/>
          <w14:ligatures w14:val="none"/>
        </w:rPr>
        <w:instrText>表达改善神经炎症诱导的抑郁样行为</w:instrText>
      </w:r>
      <w:r>
        <w:rPr>
          <w:rFonts w:ascii="Times New Roman" w:eastAsia="宋体" w:hAnsi="Times New Roman" w:cs="Times New Roman"/>
          <w:kern w:val="0"/>
          <w14:ligatures w14:val="none"/>
        </w:rPr>
        <w:instrText>\nTLDR: It is demonstrated that baicalin ameliorated neuroinflammation-induced depressive-like behaviors through the inhibition of TLR4 expression via the PI3K/AKT/FoxO1 pathway.","page":"95","PMID":"31068207","PMCID":"PMC6507025","source":"9.3 (Q1)","title":"Baicalin ameliorates neuroinflammation-induced depressive-like behavior through inhibition of toll-like receptor 4 expression via the PI3K/AKT/FoxO1 pathway","title-short":"</w:instrText>
      </w:r>
      <w:r>
        <w:rPr>
          <w:rFonts w:ascii="Times New Roman" w:eastAsia="宋体" w:hAnsi="Times New Roman" w:cs="Times New Roman"/>
          <w:kern w:val="0"/>
          <w14:ligatures w14:val="none"/>
        </w:rPr>
        <w:instrText>黄芩苷通过抑制</w:instrText>
      </w:r>
      <w:r>
        <w:rPr>
          <w:rFonts w:ascii="Times New Roman" w:eastAsia="宋体" w:hAnsi="Times New Roman" w:cs="Times New Roman"/>
          <w:kern w:val="0"/>
          <w14:ligatures w14:val="none"/>
        </w:rPr>
        <w:instrText xml:space="preserve"> PI3K/AKT/FoxO1</w:instrText>
      </w:r>
      <w:r>
        <w:rPr>
          <w:rFonts w:ascii="Times New Roman" w:eastAsia="宋体" w:hAnsi="Times New Roman" w:cs="Times New Roman"/>
          <w:kern w:val="0"/>
          <w14:ligatures w14:val="none"/>
        </w:rPr>
        <w:instrText>途径的</w:instrText>
      </w:r>
      <w:r>
        <w:rPr>
          <w:rFonts w:ascii="Times New Roman" w:eastAsia="宋体" w:hAnsi="Times New Roman" w:cs="Times New Roman"/>
          <w:kern w:val="0"/>
          <w14:ligatures w14:val="none"/>
        </w:rPr>
        <w:instrText xml:space="preserve"> 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w:instrText>
      </w:r>
      <w:r>
        <w:rPr>
          <w:rFonts w:ascii="Times New Roman" w:eastAsia="宋体" w:hAnsi="Times New Roman" w:cs="Times New Roman"/>
          <w:kern w:val="0"/>
          <w14:ligatures w14:val="none"/>
        </w:rPr>
        <w:instrText>表达来改善神经炎症诱导的抑郁样行为</w:instrText>
      </w:r>
      <w:r>
        <w:rPr>
          <w:rFonts w:ascii="Times New Roman" w:eastAsia="宋体" w:hAnsi="Times New Roman" w:cs="Times New Roman"/>
          <w:kern w:val="0"/>
          <w14:ligatures w14:val="none"/>
        </w:rPr>
        <w:instrText xml:space="preserve">","volume":"16","author":[{"family":"Guo","given":"Li-Ting"},{"family":"Wang","given":"Si-Qi"},{"family":"Su","given":"Jing"},{"family":"Xu","given":"Li-Xing"},{"family":"Ji","given":"Zhou-Ye"},{"family":"Zhang","given":"Ru-Yi"},{"family":"Zhao","given":"Qin-Wen"},{"family":"Ma","given":"Zhan-Qiang"},{"family":"Deng","given":"Xue-Yang"},{"family":"Ma","given":"Shi-Ping"}],"issued":{"date-parts":[["2019",12]]}}}],"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rPr>
        <w:t>[1]</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xml:space="preserve"> and our experimental results, 1 μg/mL LPS (055:B5; Sigma-Aldrich) was used to effectively simulate microglial inflammatory responses </w:t>
      </w:r>
      <w:r w:rsidRPr="00A135DE">
        <w:rPr>
          <w:rFonts w:ascii="Times New Roman" w:eastAsia="Times New Roman" w:hAnsi="Times New Roman" w:cs="Times New Roman"/>
          <w:iCs/>
          <w:kern w:val="0"/>
          <w:lang w:eastAsia="zh-CN"/>
          <w14:ligatures w14:val="none"/>
        </w:rPr>
        <w:t>in vitro</w:t>
      </w:r>
      <w:r>
        <w:rPr>
          <w:rFonts w:ascii="Times New Roman" w:eastAsia="Times New Roman" w:hAnsi="Times New Roman" w:cs="Times New Roman"/>
          <w:kern w:val="0"/>
          <w:lang w:eastAsia="zh-CN"/>
          <w14:ligatures w14:val="none"/>
        </w:rPr>
        <w:t>. Accordingly, this concentration was selected for subsequent experiments. The LPS group received 1 μg/mL LPS for 24 h; the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Vec group comprised BV2 cells transfected with the empty lentiviral vector, followed by 1 μg/mL LPS treatment for 24 h; the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Nr4a1</w:t>
      </w:r>
      <w:r>
        <w:rPr>
          <w:rFonts w:ascii="Times New Roman" w:eastAsia="Times New Roman" w:hAnsi="Times New Roman" w:cs="Times New Roman"/>
          <w:kern w:val="0"/>
          <w:vertAlign w:val="superscript"/>
          <w:lang w:eastAsia="zh-CN"/>
          <w14:ligatures w14:val="none"/>
        </w:rPr>
        <w:t>OE</w:t>
      </w:r>
      <w:r w:rsidRPr="00A135DE">
        <w:rPr>
          <w:rFonts w:ascii="Times New Roman" w:eastAsia="Times New Roman" w:hAnsi="Times New Roman" w:cs="Times New Roman"/>
          <w:kern w:val="0"/>
          <w:lang w:eastAsia="zh-CN"/>
          <w14:ligatures w14:val="none"/>
        </w:rPr>
        <w:t xml:space="preserve"> </w:t>
      </w:r>
      <w:r>
        <w:rPr>
          <w:rFonts w:ascii="Times New Roman" w:eastAsia="Times New Roman" w:hAnsi="Times New Roman" w:cs="Times New Roman"/>
          <w:kern w:val="0"/>
          <w:lang w:eastAsia="zh-CN"/>
          <w14:ligatures w14:val="none"/>
        </w:rPr>
        <w:t xml:space="preserve">group included stable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-overexpressing BV2 cells treated with 1 μg/mL LPS for 24 h. Subsequently, immunofluorescence staining and western blotting were performed.</w:t>
      </w:r>
    </w:p>
    <w:p w14:paraId="4A7C176C" w14:textId="1FB6F8AE" w:rsidR="00210785" w:rsidRDefault="00000000">
      <w:pPr>
        <w:spacing w:after="0" w:line="480" w:lineRule="auto"/>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kern w:val="0"/>
          <w:lang w:eastAsia="zh-CN"/>
          <w14:ligatures w14:val="none"/>
        </w:rPr>
        <w:t xml:space="preserve">To examine whether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 xml:space="preserve"> regulates neuroinflammation induced by microglial overactivation via the PI3K/Akt2 pathway, BV2 cells were divided into five groups, namely, Control, LPS,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Nr4a1</w:t>
      </w:r>
      <w:r>
        <w:rPr>
          <w:rFonts w:ascii="Times New Roman" w:eastAsia="Times New Roman" w:hAnsi="Times New Roman" w:cs="Times New Roman"/>
          <w:kern w:val="0"/>
          <w:vertAlign w:val="superscript"/>
          <w:lang w:eastAsia="zh-CN"/>
          <w14:ligatures w14:val="none"/>
        </w:rPr>
        <w:t>OE</w:t>
      </w:r>
      <w:r>
        <w:rPr>
          <w:rFonts w:ascii="Times New Roman" w:eastAsia="Times New Roman" w:hAnsi="Times New Roman" w:cs="Times New Roman"/>
          <w:kern w:val="0"/>
          <w:lang w:eastAsia="zh-CN"/>
          <w14:ligatures w14:val="none"/>
        </w:rPr>
        <w:t>,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Nr4a1</w:t>
      </w:r>
      <w:r>
        <w:rPr>
          <w:rFonts w:ascii="Times New Roman" w:eastAsia="Times New Roman" w:hAnsi="Times New Roman" w:cs="Times New Roman"/>
          <w:kern w:val="0"/>
          <w:vertAlign w:val="superscript"/>
          <w:lang w:eastAsia="zh-CN"/>
          <w14:ligatures w14:val="none"/>
        </w:rPr>
        <w:t>OE</w:t>
      </w:r>
      <w:r w:rsidR="00A135DE" w:rsidRP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LY294002, and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Nr4a1</w:t>
      </w:r>
      <w:r>
        <w:rPr>
          <w:rFonts w:ascii="Times New Roman" w:eastAsia="Times New Roman" w:hAnsi="Times New Roman" w:cs="Times New Roman"/>
          <w:kern w:val="0"/>
          <w:vertAlign w:val="superscript"/>
          <w:lang w:eastAsia="zh-CN"/>
          <w14:ligatures w14:val="none"/>
        </w:rPr>
        <w:t>OE</w:t>
      </w:r>
      <w:r w:rsidR="00A135DE" w:rsidRP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 xml:space="preserve">MK-2206. The PI3K inhibitor LY294002 (10 μM, M1925; AbMole; Shanghai, China) and Akt2 inhibitor MK-2206 (0.5 μM, M1837; AbMole) were applied based on previous studies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{"citationID":"QyBBmf2K","properties":{"formattedCitation":"[1, 2]","plainCitation":"[1, 2]","noteIndex":0},"citationItems":[{"id":15462,"uris":["http://zotero.org/users/9311172/items/J4VWP3SN"],"itemData":{"id":15462,"type":"article-journal","abstract":"OBJECTIVE: Cognitive dysfunction is one of the major symptoms of chronic sleep deprivation (CSD). Abnormal autophagy and apoptosis are thought to be important mechanisms. S100 Calcium Binding Protein A8 (S100A8) plays a key role in autophagy and apoptosis of microglia. This study investigated whether S100A8 knockdown can effectively inhibit aberrant autophagy in microglia and improve cognitive function by activating the phosphatidylinositol 3-kinase (PI3K)/protein kinase B (AKT) signaling pathway under CSD conditions.\nMETHODS: CSD mouse models and BV2 cell autophagy models were established in vivo and in vitro. Transcriptome sequencing was used to determine the key regulator related to autophagy. The Morris water maze test was used to evaluate the cognitive behavior of the mice. RT-qPCR and western blot were conducted to examine S100A8 expression and autophagy signalling. HE, TUNEL, transmission electron microscopy, immunofluorescence, and histochemistry were performed to detect pathological changes, neuronal autophagy, apoptosis, or positive cells in hippocampal tissues, respectively.\nRESULTS: Transcriptome sequencing showed that S100A8 was significantly elevated in CSD mice, and fluorescence colocalization results further suggested that S100A8 mainly colocalizes with microglia. In vivo studies revealed that knockdown of S100A8 alleviated CSD-induced cognitive impairment in mice. Through further mechanistic investigations employing both in vivo and in vitro models, we demonstrated that silencing S100A8 can activate the PI3K/AKT pathway, thereby reducing CSD-induced abnormal autophagy and apoptosis in microglia. Aberrant autophagy and apoptosis in microglia were reversed with the PI3K/AKT pathway inhibitor LY294002.\nCONCLUSION: The S100A8/PI3K/AKT axis plays a crucial role in chronic sleep deprivation-mediated autophagy and apoptosis in microglia.\n\n</w:instrText>
      </w:r>
      <w:r>
        <w:rPr>
          <w:rFonts w:ascii="Times New Roman" w:eastAsia="宋体" w:hAnsi="Times New Roman" w:cs="Times New Roman"/>
          <w:kern w:val="0"/>
          <w14:ligatures w14:val="none"/>
        </w:rPr>
        <w:instrText>【摘要翻译】目的：认知功能障碍是慢性睡眠剥夺</w:instrText>
      </w:r>
      <w:r>
        <w:rPr>
          <w:rFonts w:ascii="Times New Roman" w:eastAsia="宋体" w:hAnsi="Times New Roman" w:cs="Times New Roman"/>
          <w:kern w:val="0"/>
          <w14:ligatures w14:val="none"/>
        </w:rPr>
        <w:instrText xml:space="preserve"> (CSD) </w:instrText>
      </w:r>
      <w:r>
        <w:rPr>
          <w:rFonts w:ascii="Times New Roman" w:eastAsia="宋体" w:hAnsi="Times New Roman" w:cs="Times New Roman"/>
          <w:kern w:val="0"/>
          <w14:ligatures w14:val="none"/>
        </w:rPr>
        <w:instrText>的主要症状之一。异常的自噬和凋亡被认为是重要的机制。</w:instrText>
      </w:r>
      <w:r>
        <w:rPr>
          <w:rFonts w:ascii="Times New Roman" w:eastAsia="宋体" w:hAnsi="Times New Roman" w:cs="Times New Roman"/>
          <w:kern w:val="0"/>
          <w14:ligatures w14:val="none"/>
        </w:rPr>
        <w:instrText xml:space="preserve">S100 </w:instrText>
      </w:r>
      <w:r>
        <w:rPr>
          <w:rFonts w:ascii="Times New Roman" w:eastAsia="宋体" w:hAnsi="Times New Roman" w:cs="Times New Roman"/>
          <w:kern w:val="0"/>
          <w14:ligatures w14:val="none"/>
        </w:rPr>
        <w:instrText>钙结合蛋白</w:instrText>
      </w:r>
      <w:r>
        <w:rPr>
          <w:rFonts w:ascii="Times New Roman" w:eastAsia="宋体" w:hAnsi="Times New Roman" w:cs="Times New Roman"/>
          <w:kern w:val="0"/>
          <w14:ligatures w14:val="none"/>
        </w:rPr>
        <w:instrText xml:space="preserve"> A8 (S100A8) </w:instrText>
      </w:r>
      <w:r>
        <w:rPr>
          <w:rFonts w:ascii="Times New Roman" w:eastAsia="宋体" w:hAnsi="Times New Roman" w:cs="Times New Roman"/>
          <w:kern w:val="0"/>
          <w14:ligatures w14:val="none"/>
        </w:rPr>
        <w:instrText>在小胶质细胞的自噬和凋亡中起关键作用。本研究探讨了</w:instrText>
      </w:r>
      <w:r>
        <w:rPr>
          <w:rFonts w:ascii="Times New Roman" w:eastAsia="宋体" w:hAnsi="Times New Roman" w:cs="Times New Roman"/>
          <w:kern w:val="0"/>
          <w14:ligatures w14:val="none"/>
        </w:rPr>
        <w:instrText xml:space="preserve"> S100A8 </w:instrText>
      </w:r>
      <w:r>
        <w:rPr>
          <w:rFonts w:ascii="Times New Roman" w:eastAsia="宋体" w:hAnsi="Times New Roman" w:cs="Times New Roman"/>
          <w:kern w:val="0"/>
          <w14:ligatures w14:val="none"/>
        </w:rPr>
        <w:instrText>敲低是否可以通过在</w:instrText>
      </w:r>
      <w:r>
        <w:rPr>
          <w:rFonts w:ascii="Times New Roman" w:eastAsia="宋体" w:hAnsi="Times New Roman" w:cs="Times New Roman"/>
          <w:kern w:val="0"/>
          <w14:ligatures w14:val="none"/>
        </w:rPr>
        <w:instrText xml:space="preserve"> CSD </w:instrText>
      </w:r>
      <w:r>
        <w:rPr>
          <w:rFonts w:ascii="Times New Roman" w:eastAsia="宋体" w:hAnsi="Times New Roman" w:cs="Times New Roman"/>
          <w:kern w:val="0"/>
          <w14:ligatures w14:val="none"/>
        </w:rPr>
        <w:instrText>条件下激活磷脂酰肌醇</w:instrText>
      </w:r>
      <w:r>
        <w:rPr>
          <w:rFonts w:ascii="Times New Roman" w:eastAsia="宋体" w:hAnsi="Times New Roman" w:cs="Times New Roman"/>
          <w:kern w:val="0"/>
          <w14:ligatures w14:val="none"/>
        </w:rPr>
        <w:instrText xml:space="preserve"> 3 - </w:instrText>
      </w:r>
      <w:r>
        <w:rPr>
          <w:rFonts w:ascii="Times New Roman" w:eastAsia="宋体" w:hAnsi="Times New Roman" w:cs="Times New Roman"/>
          <w:kern w:val="0"/>
          <w14:ligatures w14:val="none"/>
        </w:rPr>
        <w:instrText>激酶</w:instrText>
      </w:r>
      <w:r>
        <w:rPr>
          <w:rFonts w:ascii="Times New Roman" w:eastAsia="宋体" w:hAnsi="Times New Roman" w:cs="Times New Roman"/>
          <w:kern w:val="0"/>
          <w14:ligatures w14:val="none"/>
        </w:rPr>
        <w:instrText xml:space="preserve"> (PI3K)/ </w:instrText>
      </w:r>
      <w:r>
        <w:rPr>
          <w:rFonts w:ascii="Times New Roman" w:eastAsia="宋体" w:hAnsi="Times New Roman" w:cs="Times New Roman"/>
          <w:kern w:val="0"/>
          <w14:ligatures w14:val="none"/>
        </w:rPr>
        <w:instrText>蛋白激酶</w:instrText>
      </w:r>
      <w:r>
        <w:rPr>
          <w:rFonts w:ascii="Times New Roman" w:eastAsia="宋体" w:hAnsi="Times New Roman" w:cs="Times New Roman"/>
          <w:kern w:val="0"/>
          <w14:ligatures w14:val="none"/>
        </w:rPr>
        <w:instrText xml:space="preserve"> B (AKT) </w:instrText>
      </w:r>
      <w:r>
        <w:rPr>
          <w:rFonts w:ascii="Times New Roman" w:eastAsia="宋体" w:hAnsi="Times New Roman" w:cs="Times New Roman"/>
          <w:kern w:val="0"/>
          <w14:ligatures w14:val="none"/>
        </w:rPr>
        <w:instrText>信号传导途径来有效抑制小胶质细胞的异常自噬并改善认知功能。方法：建立</w:instrText>
      </w:r>
      <w:r>
        <w:rPr>
          <w:rFonts w:ascii="Times New Roman" w:eastAsia="宋体" w:hAnsi="Times New Roman" w:cs="Times New Roman"/>
          <w:kern w:val="0"/>
          <w14:ligatures w14:val="none"/>
        </w:rPr>
        <w:instrText xml:space="preserve"> CSD </w:instrText>
      </w:r>
      <w:r>
        <w:rPr>
          <w:rFonts w:ascii="Times New Roman" w:eastAsia="宋体" w:hAnsi="Times New Roman" w:cs="Times New Roman"/>
          <w:kern w:val="0"/>
          <w14:ligatures w14:val="none"/>
        </w:rPr>
        <w:instrText>小鼠模型和</w:instrText>
      </w:r>
      <w:r>
        <w:rPr>
          <w:rFonts w:ascii="Times New Roman" w:eastAsia="宋体" w:hAnsi="Times New Roman" w:cs="Times New Roman"/>
          <w:kern w:val="0"/>
          <w14:ligatures w14:val="none"/>
        </w:rPr>
        <w:instrText xml:space="preserve"> BV2 </w:instrText>
      </w:r>
      <w:r>
        <w:rPr>
          <w:rFonts w:ascii="Times New Roman" w:eastAsia="宋体" w:hAnsi="Times New Roman" w:cs="Times New Roman"/>
          <w:kern w:val="0"/>
          <w14:ligatures w14:val="none"/>
        </w:rPr>
        <w:instrText>细胞自噬模型在体内和体外。使用转录组测序来确定与自噬相关的关键调节因子。使用</w:instrText>
      </w:r>
      <w:r>
        <w:rPr>
          <w:rFonts w:ascii="Times New Roman" w:eastAsia="宋体" w:hAnsi="Times New Roman" w:cs="Times New Roman"/>
          <w:kern w:val="0"/>
          <w14:ligatures w14:val="none"/>
        </w:rPr>
        <w:instrText xml:space="preserve"> Morris </w:instrText>
      </w:r>
      <w:r>
        <w:rPr>
          <w:rFonts w:ascii="Times New Roman" w:eastAsia="宋体" w:hAnsi="Times New Roman" w:cs="Times New Roman"/>
          <w:kern w:val="0"/>
          <w14:ligatures w14:val="none"/>
        </w:rPr>
        <w:instrText>水迷宫测试来评估小鼠的认知行为。进行</w:instrText>
      </w:r>
      <w:r>
        <w:rPr>
          <w:rFonts w:ascii="Times New Roman" w:eastAsia="宋体" w:hAnsi="Times New Roman" w:cs="Times New Roman"/>
          <w:kern w:val="0"/>
          <w14:ligatures w14:val="none"/>
        </w:rPr>
        <w:instrText xml:space="preserve"> RT-qPCR </w:instrText>
      </w:r>
      <w:r>
        <w:rPr>
          <w:rFonts w:ascii="Times New Roman" w:eastAsia="宋体" w:hAnsi="Times New Roman" w:cs="Times New Roman"/>
          <w:kern w:val="0"/>
          <w14:ligatures w14:val="none"/>
        </w:rPr>
        <w:instrText>和蛋白质印迹以检测</w:instrText>
      </w:r>
      <w:r>
        <w:rPr>
          <w:rFonts w:ascii="Times New Roman" w:eastAsia="宋体" w:hAnsi="Times New Roman" w:cs="Times New Roman"/>
          <w:kern w:val="0"/>
          <w14:ligatures w14:val="none"/>
        </w:rPr>
        <w:instrText xml:space="preserve"> S100A8 </w:instrText>
      </w:r>
      <w:r>
        <w:rPr>
          <w:rFonts w:ascii="Times New Roman" w:eastAsia="宋体" w:hAnsi="Times New Roman" w:cs="Times New Roman"/>
          <w:kern w:val="0"/>
          <w14:ligatures w14:val="none"/>
        </w:rPr>
        <w:instrText>的表达和自噬信号传导。</w:instrText>
      </w:r>
      <w:r>
        <w:rPr>
          <w:rFonts w:ascii="Times New Roman" w:eastAsia="宋体" w:hAnsi="Times New Roman" w:cs="Times New Roman"/>
          <w:kern w:val="0"/>
          <w14:ligatures w14:val="none"/>
        </w:rPr>
        <w:instrText>HE</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TUNEL</w:instrText>
      </w:r>
      <w:r>
        <w:rPr>
          <w:rFonts w:ascii="Times New Roman" w:eastAsia="宋体" w:hAnsi="Times New Roman" w:cs="Times New Roman"/>
          <w:kern w:val="0"/>
          <w14:ligatures w14:val="none"/>
        </w:rPr>
        <w:instrText>、透射电子显微镜、免疫荧光和组织化学分别用于检测海马组织中的病理变化、神经元自噬、凋亡或阳性细胞。结果：转录组测序显示</w:instrText>
      </w:r>
      <w:r>
        <w:rPr>
          <w:rFonts w:ascii="Times New Roman" w:eastAsia="宋体" w:hAnsi="Times New Roman" w:cs="Times New Roman"/>
          <w:kern w:val="0"/>
          <w14:ligatures w14:val="none"/>
        </w:rPr>
        <w:instrText xml:space="preserve"> S100A8 </w:instrText>
      </w:r>
      <w:r>
        <w:rPr>
          <w:rFonts w:ascii="Times New Roman" w:eastAsia="宋体" w:hAnsi="Times New Roman" w:cs="Times New Roman"/>
          <w:kern w:val="0"/>
          <w14:ligatures w14:val="none"/>
        </w:rPr>
        <w:instrText>在</w:instrText>
      </w:r>
      <w:r>
        <w:rPr>
          <w:rFonts w:ascii="Times New Roman" w:eastAsia="宋体" w:hAnsi="Times New Roman" w:cs="Times New Roman"/>
          <w:kern w:val="0"/>
          <w14:ligatures w14:val="none"/>
        </w:rPr>
        <w:instrText xml:space="preserve"> CSD </w:instrText>
      </w:r>
      <w:r>
        <w:rPr>
          <w:rFonts w:ascii="Times New Roman" w:eastAsia="宋体" w:hAnsi="Times New Roman" w:cs="Times New Roman"/>
          <w:kern w:val="0"/>
          <w14:ligatures w14:val="none"/>
        </w:rPr>
        <w:instrText>小鼠中显著升高，免疫荧光共定位结果进一步表明</w:instrText>
      </w:r>
      <w:r>
        <w:rPr>
          <w:rFonts w:ascii="Times New Roman" w:eastAsia="宋体" w:hAnsi="Times New Roman" w:cs="Times New Roman"/>
          <w:kern w:val="0"/>
          <w14:ligatures w14:val="none"/>
        </w:rPr>
        <w:instrText xml:space="preserve"> S100A8 </w:instrText>
      </w:r>
      <w:r>
        <w:rPr>
          <w:rFonts w:ascii="Times New Roman" w:eastAsia="宋体" w:hAnsi="Times New Roman" w:cs="Times New Roman"/>
          <w:kern w:val="0"/>
          <w14:ligatures w14:val="none"/>
        </w:rPr>
        <w:instrText>主要与小胶质细胞共定位。体内研究表明，敲低</w:instrText>
      </w:r>
      <w:r>
        <w:rPr>
          <w:rFonts w:ascii="Times New Roman" w:eastAsia="宋体" w:hAnsi="Times New Roman" w:cs="Times New Roman"/>
          <w:kern w:val="0"/>
          <w14:ligatures w14:val="none"/>
        </w:rPr>
        <w:instrText xml:space="preserve"> S100A8 </w:instrText>
      </w:r>
      <w:r>
        <w:rPr>
          <w:rFonts w:ascii="Times New Roman" w:eastAsia="宋体" w:hAnsi="Times New Roman" w:cs="Times New Roman"/>
          <w:kern w:val="0"/>
          <w14:ligatures w14:val="none"/>
        </w:rPr>
        <w:instrText>可缓解小鼠</w:instrText>
      </w:r>
      <w:r>
        <w:rPr>
          <w:rFonts w:ascii="Times New Roman" w:eastAsia="宋体" w:hAnsi="Times New Roman" w:cs="Times New Roman"/>
          <w:kern w:val="0"/>
          <w14:ligatures w14:val="none"/>
        </w:rPr>
        <w:instrText xml:space="preserve"> CSD </w:instrText>
      </w:r>
      <w:r>
        <w:rPr>
          <w:rFonts w:ascii="Times New Roman" w:eastAsia="宋体" w:hAnsi="Times New Roman" w:cs="Times New Roman"/>
          <w:kern w:val="0"/>
          <w14:ligatures w14:val="none"/>
        </w:rPr>
        <w:instrText>诱导的认知障碍。通过进一步的机制研究，使用体内和体外模型，我们证明沉默</w:instrText>
      </w:r>
      <w:r>
        <w:rPr>
          <w:rFonts w:ascii="Times New Roman" w:eastAsia="宋体" w:hAnsi="Times New Roman" w:cs="Times New Roman"/>
          <w:kern w:val="0"/>
          <w14:ligatures w14:val="none"/>
        </w:rPr>
        <w:instrText xml:space="preserve"> S100A8 </w:instrText>
      </w:r>
      <w:r>
        <w:rPr>
          <w:rFonts w:ascii="Times New Roman" w:eastAsia="宋体" w:hAnsi="Times New Roman" w:cs="Times New Roman"/>
          <w:kern w:val="0"/>
          <w14:ligatures w14:val="none"/>
        </w:rPr>
        <w:instrText>可以激活</w:instrText>
      </w:r>
      <w:r>
        <w:rPr>
          <w:rFonts w:ascii="Times New Roman" w:eastAsia="宋体" w:hAnsi="Times New Roman" w:cs="Times New Roman"/>
          <w:kern w:val="0"/>
          <w14:ligatures w14:val="none"/>
        </w:rPr>
        <w:instrText xml:space="preserve"> PI3K/AKT </w:instrText>
      </w:r>
      <w:r>
        <w:rPr>
          <w:rFonts w:ascii="Times New Roman" w:eastAsia="宋体" w:hAnsi="Times New Roman" w:cs="Times New Roman"/>
          <w:kern w:val="0"/>
          <w14:ligatures w14:val="none"/>
        </w:rPr>
        <w:instrText>途径，从而减少</w:instrText>
      </w:r>
      <w:r>
        <w:rPr>
          <w:rFonts w:ascii="Times New Roman" w:eastAsia="宋体" w:hAnsi="Times New Roman" w:cs="Times New Roman"/>
          <w:kern w:val="0"/>
          <w14:ligatures w14:val="none"/>
        </w:rPr>
        <w:instrText xml:space="preserve"> CSD </w:instrText>
      </w:r>
      <w:r>
        <w:rPr>
          <w:rFonts w:ascii="Times New Roman" w:eastAsia="宋体" w:hAnsi="Times New Roman" w:cs="Times New Roman"/>
          <w:kern w:val="0"/>
          <w14:ligatures w14:val="none"/>
        </w:rPr>
        <w:instrText>诱导的小胶质细胞异常自噬和凋亡。</w:instrText>
      </w:r>
      <w:r>
        <w:rPr>
          <w:rFonts w:ascii="Times New Roman" w:eastAsia="宋体" w:hAnsi="Times New Roman" w:cs="Times New Roman"/>
          <w:kern w:val="0"/>
          <w14:ligatures w14:val="none"/>
        </w:rPr>
        <w:instrText xml:space="preserve">PI3K/AKT </w:instrText>
      </w:r>
      <w:r>
        <w:rPr>
          <w:rFonts w:ascii="Times New Roman" w:eastAsia="宋体" w:hAnsi="Times New Roman" w:cs="Times New Roman"/>
          <w:kern w:val="0"/>
          <w14:ligatures w14:val="none"/>
        </w:rPr>
        <w:instrText>途径抑制剂</w:instrText>
      </w:r>
      <w:r>
        <w:rPr>
          <w:rFonts w:ascii="Times New Roman" w:eastAsia="宋体" w:hAnsi="Times New Roman" w:cs="Times New Roman"/>
          <w:kern w:val="0"/>
          <w14:ligatures w14:val="none"/>
        </w:rPr>
        <w:instrText xml:space="preserve"> LY294002 </w:instrText>
      </w:r>
      <w:r>
        <w:rPr>
          <w:rFonts w:ascii="Times New Roman" w:eastAsia="宋体" w:hAnsi="Times New Roman" w:cs="Times New Roman"/>
          <w:kern w:val="0"/>
          <w14:ligatures w14:val="none"/>
        </w:rPr>
        <w:instrText>可逆转小胶质细胞的异常自噬和凋亡。结论：</w:instrText>
      </w:r>
      <w:r>
        <w:rPr>
          <w:rFonts w:ascii="Times New Roman" w:eastAsia="宋体" w:hAnsi="Times New Roman" w:cs="Times New Roman"/>
          <w:kern w:val="0"/>
          <w14:ligatures w14:val="none"/>
        </w:rPr>
        <w:instrText xml:space="preserve">S100A8/PI3K/AKT </w:instrText>
      </w:r>
      <w:r>
        <w:rPr>
          <w:rFonts w:ascii="Times New Roman" w:eastAsia="宋体" w:hAnsi="Times New Roman" w:cs="Times New Roman"/>
          <w:kern w:val="0"/>
          <w14:ligatures w14:val="none"/>
        </w:rPr>
        <w:instrText>轴在慢性睡眠剥夺介导的小胶质细胞自噬和凋亡中起关键作用。</w:instrText>
      </w:r>
      <w:r>
        <w:rPr>
          <w:rFonts w:ascii="Times New Roman" w:eastAsia="宋体" w:hAnsi="Times New Roman" w:cs="Times New Roman"/>
          <w:kern w:val="0"/>
          <w14:ligatures w14:val="none"/>
        </w:rPr>
        <w:instrText>","archive_location":"2 citation(s)","call-number":"2","container-title":"International Immunopharmacology","DOI":"10.1016/j.intimp.2024.113375","ISSN":"1567-5769","issue":"Pt 2","journalAbbreviation":"International Immunopharmacology","language":"en","license":"LY</w:instrText>
      </w:r>
      <w:r>
        <w:rPr>
          <w:rFonts w:ascii="Times New Roman" w:eastAsia="宋体" w:hAnsi="Times New Roman" w:cs="Times New Roman"/>
          <w:kern w:val="0"/>
          <w14:ligatures w14:val="none"/>
        </w:rPr>
        <w:instrText>细胞干预（</w:instrText>
      </w:r>
      <w:r>
        <w:rPr>
          <w:rFonts w:ascii="Times New Roman" w:eastAsia="宋体" w:hAnsi="Times New Roman" w:cs="Times New Roman"/>
          <w:kern w:val="0"/>
          <w14:ligatures w14:val="none"/>
        </w:rPr>
        <w:instrText>10 μ M</w:instrText>
      </w:r>
      <w:r>
        <w:rPr>
          <w:rFonts w:ascii="Times New Roman" w:eastAsia="宋体" w:hAnsi="Times New Roman" w:cs="Times New Roman"/>
          <w:kern w:val="0"/>
          <w14:ligatures w14:val="none"/>
        </w:rPr>
        <w:instrText>）</w:instrText>
      </w:r>
      <w:r>
        <w:rPr>
          <w:rFonts w:ascii="Segoe UI Emoji" w:eastAsia="宋体" w:hAnsi="Segoe UI Emoji" w:cs="Segoe UI Emoji"/>
          <w:kern w:val="0"/>
          <w14:ligatures w14:val="none"/>
        </w:rPr>
        <w:instrText>⭐⭐⭐⭐</w:instrText>
      </w:r>
      <w:r>
        <w:rPr>
          <w:rFonts w:ascii="Times New Roman" w:eastAsia="宋体" w:hAnsi="Times New Roman" w:cs="Times New Roman"/>
          <w:kern w:val="0"/>
          <w14:ligatures w14:val="none"/>
        </w:rPr>
        <w:instrText xml:space="preserve">","note":"TLDR: The mechanistic investigations employing both in vivo and in vitro models demonstrated that silencing S100A8 can activate the PI3K/AKT pathway, thereby reducing CSD-induced abnormal autophagy and apoptosis in microglia.","page":"113375","PMID":"39418730","source":"4.8 (Q1)","title":"S100A8 knockdown activates the PI3K/AKT signaling pathway to inhibit microglial autophagy and improve cognitive impairment mediated by chronic sleep deprivation","title-short":"S100A8 </w:instrText>
      </w:r>
      <w:r>
        <w:rPr>
          <w:rFonts w:ascii="Times New Roman" w:eastAsia="宋体" w:hAnsi="Times New Roman" w:cs="Times New Roman"/>
          <w:kern w:val="0"/>
          <w14:ligatures w14:val="none"/>
        </w:rPr>
        <w:instrText>敲低激活</w:instrText>
      </w:r>
      <w:r>
        <w:rPr>
          <w:rFonts w:ascii="Times New Roman" w:eastAsia="宋体" w:hAnsi="Times New Roman" w:cs="Times New Roman"/>
          <w:kern w:val="0"/>
          <w14:ligatures w14:val="none"/>
        </w:rPr>
        <w:instrText xml:space="preserve"> PI3K/AKT </w:instrText>
      </w:r>
      <w:r>
        <w:rPr>
          <w:rFonts w:ascii="Times New Roman" w:eastAsia="宋体" w:hAnsi="Times New Roman" w:cs="Times New Roman"/>
          <w:kern w:val="0"/>
          <w14:ligatures w14:val="none"/>
        </w:rPr>
        <w:instrText>信号通路以抑制小胶质细胞自噬并改善由慢性睡眠剥夺介导的认知障碍。</w:instrText>
      </w:r>
      <w:r>
        <w:rPr>
          <w:rFonts w:ascii="Times New Roman" w:eastAsia="宋体" w:hAnsi="Times New Roman" w:cs="Times New Roman"/>
          <w:kern w:val="0"/>
          <w14:ligatures w14:val="none"/>
        </w:rPr>
        <w:instrText>","volume":"143","author":[{"family":"Xiong","given":"Yanhong"},{"family":"Liang","given":"Weidong"},{"family":"Wang","given":"Xifeng"},{"family":"Zhu","given":"Hong"},{"family":"Yi","given":"Pengcheng"},{"family":"Wei","given":"Gen"},{"family":"Liu","given":"Hailin"},{"family":"Lin","given":"Yue"},{"family":"Zhang","given":"Lieliang"},{"family":"Ying","given":"Jun"},{"family":"Hua","given":"Fuzhou"}],"issued":{"date-parts":[["2024",12]]}}},{"id":11352,"uris":["http://zotero.org/users/9311172/items/A6Q8JEQJ"],"itemData":{"id":11352,"type":"article-journal","abstract":"BACKGROUND: Baicalin, which is isolated from Radix Scutellariae, possesses strong biological activities including an anti-inflammation property. Recent studies have shown that the anti-inflammatory effect of baicalin is linked to toll-like receptor 4 (TLR4), which participates in pathological changes of central nervous system diseases such as depression. In this study, we explored whether baicalin could produce antidepressant effects via regulation of TLR4 signaling in mice and attempted to elucidate the underlying mechanisms.\nMETHODS: A chronic unpredictable mild stress (CUMS) mice model was performed to explore whether baicalin could produce antidepressant effects via the inhibition of neuroinflammation. To clarify the role of TLR4 in the anti-neuroinflammatory efficacy of baicalin, a lipopolysaccharide (LPS) was employed in mice to specially activate TLR4 and the behavioral changes were determined. Furthermore, we used LY294002 to examine the molecular mechanisms of baicalin in regulating the expression of TLR4 in vivo and in vitro using western blot, ELISA kits, and immunostaining. In the in vitro tests, the BV2 microglia cell lines and primary microglia cultures were pretreated with baicalin and LY292002 for 1 h and then stimulated 24 h with LPS. The primary microglial cells were transfected with the forkhead transcription factor forkhead box protein O 1 (FoxO1)-specific siRNA for 5 h and then co-stimulated with baicalin and LPS to investigate whether FoxO1 participated in the effect of baicalin on TLR4 expression.\nRESULTS: The administration of baicalin (especially 60 mg/kg) dramatically ameliorated CUMS-induced depressive-like symptoms; substantially decreased the levels of interleukin-1 beta (IL-1β), interleukin-6 (IL-6), and tumor necrosis factor alpha (TNF-α) in the hippocampus; and significantly decreased the expression of TLR4. The activation of TLR4 by the LPS triggered neuroinflammation and evoked depressive-like behaviors in mice, which were also alleviated by the treatment with baicalin (60 mg/kg). Furthermore, the application of baicalin significantly increased the phosphorylation of phosphatidylinositol 3-kinase (PI3K), protein kinase B (AKT), and FoxO1. The application of baicalin also promoted FoxO1 nuclear exclusion and contributed to the inhibition of the FoxO1 transactivation potential, which led to the downregulation of the expression of TLR4 in CUMS mice or LPS-treated BV2 cells and primary microglia cells. However, prophylactic treatment of LY294002 abolished the above effects of baicalin. In addition, we found that FoxO1 played a vital role in baicalin by regulating the TLR4 and TLR4-mediating neuroinflammation triggered by the LPS via knocking down the expression of FoxO1 in the primary microglia.\nCONCLUSION: Collectively, these results demonstrate that baicalin ameliorated neuroinflammation-induced depressive-like behaviors through the inhibition of TLR4 expression via the PI3K/AKT/FoxO1 pathway.\n\n</w:instrText>
      </w:r>
      <w:r>
        <w:rPr>
          <w:rFonts w:ascii="Times New Roman" w:eastAsia="宋体" w:hAnsi="Times New Roman" w:cs="Times New Roman"/>
          <w:kern w:val="0"/>
          <w14:ligatures w14:val="none"/>
        </w:rPr>
        <w:instrText>【摘要翻译】背景</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从黄芩中分离得到的黄芩苷具有较强的抗炎活性。最近的研究表明，黄芩苷的抗炎作用与</w:instrText>
      </w:r>
      <w:r>
        <w:rPr>
          <w:rFonts w:ascii="Times New Roman" w:eastAsia="宋体" w:hAnsi="Times New Roman" w:cs="Times New Roman"/>
          <w:kern w:val="0"/>
          <w14:ligatures w14:val="none"/>
        </w:rPr>
        <w:instrText xml:space="preserve"> 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4(tLR4)</w:instrText>
      </w:r>
      <w:r>
        <w:rPr>
          <w:rFonts w:ascii="Times New Roman" w:eastAsia="宋体" w:hAnsi="Times New Roman" w:cs="Times New Roman"/>
          <w:kern w:val="0"/>
          <w14:ligatures w14:val="none"/>
        </w:rPr>
        <w:instrText>有关，它参与了中枢神经系统疾病的病理变化，如抑郁症。在这项研究中，我们探讨了黄芩苷是否可以通过调节小鼠</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信号传导产生抗抑郁作用，并试图阐明其潜在的机制。方法</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采用慢性不可预测轻度应激</w:instrText>
      </w:r>
      <w:r>
        <w:rPr>
          <w:rFonts w:ascii="Times New Roman" w:eastAsia="宋体" w:hAnsi="Times New Roman" w:cs="Times New Roman"/>
          <w:kern w:val="0"/>
          <w14:ligatures w14:val="none"/>
        </w:rPr>
        <w:instrText>(CUMS)</w:instrText>
      </w:r>
      <w:r>
        <w:rPr>
          <w:rFonts w:ascii="Times New Roman" w:eastAsia="宋体" w:hAnsi="Times New Roman" w:cs="Times New Roman"/>
          <w:kern w:val="0"/>
          <w14:ligatures w14:val="none"/>
        </w:rPr>
        <w:instrText>小鼠模型，研究黄芩苷是否通过抑制神经炎症产生抗抑郁作用。为了阐明</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在黄芩苷抗神经炎症功效中的作用，我们在小鼠身上使用了一种脂多糖</w:instrText>
      </w:r>
      <w:r>
        <w:rPr>
          <w:rFonts w:ascii="Times New Roman" w:eastAsia="宋体" w:hAnsi="Times New Roman" w:cs="Times New Roman"/>
          <w:kern w:val="0"/>
          <w14:ligatures w14:val="none"/>
        </w:rPr>
        <w:instrText>(LPS)</w:instrText>
      </w:r>
      <w:r>
        <w:rPr>
          <w:rFonts w:ascii="Times New Roman" w:eastAsia="宋体" w:hAnsi="Times New Roman" w:cs="Times New Roman"/>
          <w:kern w:val="0"/>
          <w14:ligatures w14:val="none"/>
        </w:rPr>
        <w:instrText>来特别激活</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，并测定其行为变化。此外，我们使用</w:instrText>
      </w:r>
      <w:r>
        <w:rPr>
          <w:rFonts w:ascii="Times New Roman" w:eastAsia="宋体" w:hAnsi="Times New Roman" w:cs="Times New Roman"/>
          <w:kern w:val="0"/>
          <w14:ligatures w14:val="none"/>
        </w:rPr>
        <w:instrText xml:space="preserve"> LY294002</w:instrText>
      </w:r>
      <w:r>
        <w:rPr>
          <w:rFonts w:ascii="Times New Roman" w:eastAsia="宋体" w:hAnsi="Times New Roman" w:cs="Times New Roman"/>
          <w:kern w:val="0"/>
          <w14:ligatures w14:val="none"/>
        </w:rPr>
        <w:instrText>检测黄芩苷在体内和体外调节</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表达的分子机制，使用免疫印迹、</w:instrText>
      </w:r>
      <w:r>
        <w:rPr>
          <w:rFonts w:ascii="Times New Roman" w:eastAsia="宋体" w:hAnsi="Times New Roman" w:cs="Times New Roman"/>
          <w:kern w:val="0"/>
          <w14:ligatures w14:val="none"/>
        </w:rPr>
        <w:instrText xml:space="preserve"> ELISA </w:instrText>
      </w:r>
      <w:r>
        <w:rPr>
          <w:rFonts w:ascii="Times New Roman" w:eastAsia="宋体" w:hAnsi="Times New Roman" w:cs="Times New Roman"/>
          <w:kern w:val="0"/>
          <w14:ligatures w14:val="none"/>
        </w:rPr>
        <w:instrText>试剂盒和免疫染色。在体外实验中，用黄芩苷和</w:instrText>
      </w:r>
      <w:r>
        <w:rPr>
          <w:rFonts w:ascii="Times New Roman" w:eastAsia="宋体" w:hAnsi="Times New Roman" w:cs="Times New Roman"/>
          <w:kern w:val="0"/>
          <w14:ligatures w14:val="none"/>
        </w:rPr>
        <w:instrText xml:space="preserve"> LY292002</w:instrText>
      </w:r>
      <w:r>
        <w:rPr>
          <w:rFonts w:ascii="Times New Roman" w:eastAsia="宋体" w:hAnsi="Times New Roman" w:cs="Times New Roman"/>
          <w:kern w:val="0"/>
          <w14:ligatures w14:val="none"/>
        </w:rPr>
        <w:instrText>预处理</w:instrText>
      </w:r>
      <w:r>
        <w:rPr>
          <w:rFonts w:ascii="Times New Roman" w:eastAsia="宋体" w:hAnsi="Times New Roman" w:cs="Times New Roman"/>
          <w:kern w:val="0"/>
          <w14:ligatures w14:val="none"/>
        </w:rPr>
        <w:instrText xml:space="preserve"> BV2</w:instrText>
      </w:r>
      <w:r>
        <w:rPr>
          <w:rFonts w:ascii="Times New Roman" w:eastAsia="宋体" w:hAnsi="Times New Roman" w:cs="Times New Roman"/>
          <w:kern w:val="0"/>
          <w14:ligatures w14:val="none"/>
        </w:rPr>
        <w:instrText>小胶质细胞系和原代小胶质细胞培养物</w:instrText>
      </w:r>
      <w:r>
        <w:rPr>
          <w:rFonts w:ascii="Times New Roman" w:eastAsia="宋体" w:hAnsi="Times New Roman" w:cs="Times New Roman"/>
          <w:kern w:val="0"/>
          <w14:ligatures w14:val="none"/>
        </w:rPr>
        <w:instrText>1h</w:instrText>
      </w:r>
      <w:r>
        <w:rPr>
          <w:rFonts w:ascii="Times New Roman" w:eastAsia="宋体" w:hAnsi="Times New Roman" w:cs="Times New Roman"/>
          <w:kern w:val="0"/>
          <w14:ligatures w14:val="none"/>
        </w:rPr>
        <w:instrText>，然后用</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刺激</w:instrText>
      </w:r>
      <w:r>
        <w:rPr>
          <w:rFonts w:ascii="Times New Roman" w:eastAsia="宋体" w:hAnsi="Times New Roman" w:cs="Times New Roman"/>
          <w:kern w:val="0"/>
          <w14:ligatures w14:val="none"/>
        </w:rPr>
        <w:instrText>24h</w:instrText>
      </w:r>
      <w:r>
        <w:rPr>
          <w:rFonts w:ascii="Times New Roman" w:eastAsia="宋体" w:hAnsi="Times New Roman" w:cs="Times New Roman"/>
          <w:kern w:val="0"/>
          <w14:ligatures w14:val="none"/>
        </w:rPr>
        <w:instrText>。将原代小胶质细胞用叉头转录因子叉头盒蛋白</w:instrText>
      </w:r>
      <w:r>
        <w:rPr>
          <w:rFonts w:ascii="Times New Roman" w:eastAsia="宋体" w:hAnsi="Times New Roman" w:cs="Times New Roman"/>
          <w:kern w:val="0"/>
          <w14:ligatures w14:val="none"/>
        </w:rPr>
        <w:instrText xml:space="preserve"> O1(FoxO1)</w:instrText>
      </w:r>
      <w:r>
        <w:rPr>
          <w:rFonts w:ascii="Times New Roman" w:eastAsia="宋体" w:hAnsi="Times New Roman" w:cs="Times New Roman"/>
          <w:kern w:val="0"/>
          <w14:ligatures w14:val="none"/>
        </w:rPr>
        <w:instrText>特异性</w:instrText>
      </w:r>
      <w:r>
        <w:rPr>
          <w:rFonts w:ascii="Times New Roman" w:eastAsia="宋体" w:hAnsi="Times New Roman" w:cs="Times New Roman"/>
          <w:kern w:val="0"/>
          <w14:ligatures w14:val="none"/>
        </w:rPr>
        <w:instrText xml:space="preserve"> siRNA </w:instrText>
      </w:r>
      <w:r>
        <w:rPr>
          <w:rFonts w:ascii="Times New Roman" w:eastAsia="宋体" w:hAnsi="Times New Roman" w:cs="Times New Roman"/>
          <w:kern w:val="0"/>
          <w14:ligatures w14:val="none"/>
        </w:rPr>
        <w:instrText>转染</w:instrText>
      </w:r>
      <w:r>
        <w:rPr>
          <w:rFonts w:ascii="Times New Roman" w:eastAsia="宋体" w:hAnsi="Times New Roman" w:cs="Times New Roman"/>
          <w:kern w:val="0"/>
          <w14:ligatures w14:val="none"/>
        </w:rPr>
        <w:instrText>5</w:instrText>
      </w:r>
      <w:r>
        <w:rPr>
          <w:rFonts w:ascii="Times New Roman" w:eastAsia="宋体" w:hAnsi="Times New Roman" w:cs="Times New Roman"/>
          <w:kern w:val="0"/>
          <w14:ligatures w14:val="none"/>
        </w:rPr>
        <w:instrText>小时，然后与黄芩苷和</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共刺激，以研究</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是否参与了黄芩苷对</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表达的影响。结果</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黄芩苷</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特别是</w:instrText>
      </w:r>
      <w:r>
        <w:rPr>
          <w:rFonts w:ascii="Times New Roman" w:eastAsia="宋体" w:hAnsi="Times New Roman" w:cs="Times New Roman"/>
          <w:kern w:val="0"/>
          <w14:ligatures w14:val="none"/>
        </w:rPr>
        <w:instrText>60mg/kg)</w:instrText>
      </w:r>
      <w:r>
        <w:rPr>
          <w:rFonts w:ascii="Times New Roman" w:eastAsia="宋体" w:hAnsi="Times New Roman" w:cs="Times New Roman"/>
          <w:kern w:val="0"/>
          <w14:ligatures w14:val="none"/>
        </w:rPr>
        <w:instrText>能显著改善</w:instrText>
      </w:r>
      <w:r>
        <w:rPr>
          <w:rFonts w:ascii="Times New Roman" w:eastAsia="宋体" w:hAnsi="Times New Roman" w:cs="Times New Roman"/>
          <w:kern w:val="0"/>
          <w14:ligatures w14:val="none"/>
        </w:rPr>
        <w:instrText xml:space="preserve"> CUMS </w:instrText>
      </w:r>
      <w:r>
        <w:rPr>
          <w:rFonts w:ascii="Times New Roman" w:eastAsia="宋体" w:hAnsi="Times New Roman" w:cs="Times New Roman"/>
          <w:kern w:val="0"/>
          <w14:ligatures w14:val="none"/>
        </w:rPr>
        <w:instrText>诱导的抑郁样症状，显著降低海马白细胞介素</w:instrText>
      </w:r>
      <w:r>
        <w:rPr>
          <w:rFonts w:ascii="Times New Roman" w:eastAsia="宋体" w:hAnsi="Times New Roman" w:cs="Times New Roman"/>
          <w:kern w:val="0"/>
          <w14:ligatures w14:val="none"/>
        </w:rPr>
        <w:instrText xml:space="preserve"> -1β (IL-1β)</w:instrText>
      </w:r>
      <w:r>
        <w:rPr>
          <w:rFonts w:ascii="Times New Roman" w:eastAsia="宋体" w:hAnsi="Times New Roman" w:cs="Times New Roman"/>
          <w:kern w:val="0"/>
          <w14:ligatures w14:val="none"/>
        </w:rPr>
        <w:instrText>、白细胞介素</w:instrText>
      </w:r>
      <w:r>
        <w:rPr>
          <w:rFonts w:ascii="Times New Roman" w:eastAsia="宋体" w:hAnsi="Times New Roman" w:cs="Times New Roman"/>
          <w:kern w:val="0"/>
          <w14:ligatures w14:val="none"/>
        </w:rPr>
        <w:instrText xml:space="preserve"> -6(IL-6)</w:instrText>
      </w:r>
      <w:r>
        <w:rPr>
          <w:rFonts w:ascii="Times New Roman" w:eastAsia="宋体" w:hAnsi="Times New Roman" w:cs="Times New Roman"/>
          <w:kern w:val="0"/>
          <w14:ligatures w14:val="none"/>
        </w:rPr>
        <w:instrText>和肿瘤坏死因子</w:instrText>
      </w:r>
      <w:r>
        <w:rPr>
          <w:rFonts w:ascii="Times New Roman" w:eastAsia="宋体" w:hAnsi="Times New Roman" w:cs="Times New Roman"/>
          <w:kern w:val="0"/>
          <w14:ligatures w14:val="none"/>
        </w:rPr>
        <w:instrText>-α α (TNF-α)</w:instrText>
      </w:r>
      <w:r>
        <w:rPr>
          <w:rFonts w:ascii="Times New Roman" w:eastAsia="宋体" w:hAnsi="Times New Roman" w:cs="Times New Roman"/>
          <w:kern w:val="0"/>
          <w14:ligatures w14:val="none"/>
        </w:rPr>
        <w:instrText>的水平，并显著降低</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的表达。内毒素激活的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在小鼠中引发神经炎症和诱发抑郁样行为，黄芩苷</w:instrText>
      </w:r>
      <w:r>
        <w:rPr>
          <w:rFonts w:ascii="Times New Roman" w:eastAsia="宋体" w:hAnsi="Times New Roman" w:cs="Times New Roman"/>
          <w:kern w:val="0"/>
          <w14:ligatures w14:val="none"/>
        </w:rPr>
        <w:instrText>(60mg/kg)</w:instrText>
      </w:r>
      <w:r>
        <w:rPr>
          <w:rFonts w:ascii="Times New Roman" w:eastAsia="宋体" w:hAnsi="Times New Roman" w:cs="Times New Roman"/>
          <w:kern w:val="0"/>
          <w14:ligatures w14:val="none"/>
        </w:rPr>
        <w:instrText>的治疗也减轻了这种行为。此外，黄芩苷的应用显着增加了磷脂酰肌醇</w:instrText>
      </w:r>
      <w:r>
        <w:rPr>
          <w:rFonts w:ascii="Times New Roman" w:eastAsia="宋体" w:hAnsi="Times New Roman" w:cs="Times New Roman"/>
          <w:kern w:val="0"/>
          <w14:ligatures w14:val="none"/>
        </w:rPr>
        <w:instrText>3-</w:instrText>
      </w:r>
      <w:r>
        <w:rPr>
          <w:rFonts w:ascii="Times New Roman" w:eastAsia="宋体" w:hAnsi="Times New Roman" w:cs="Times New Roman"/>
          <w:kern w:val="0"/>
          <w14:ligatures w14:val="none"/>
        </w:rPr>
        <w:instrText>激酶</w:instrText>
      </w:r>
      <w:r>
        <w:rPr>
          <w:rFonts w:ascii="Times New Roman" w:eastAsia="宋体" w:hAnsi="Times New Roman" w:cs="Times New Roman"/>
          <w:kern w:val="0"/>
          <w14:ligatures w14:val="none"/>
        </w:rPr>
        <w:instrText xml:space="preserve">(PI3K) </w:instrText>
      </w:r>
      <w:r>
        <w:rPr>
          <w:rFonts w:ascii="Times New Roman" w:eastAsia="宋体" w:hAnsi="Times New Roman" w:cs="Times New Roman"/>
          <w:kern w:val="0"/>
          <w14:ligatures w14:val="none"/>
        </w:rPr>
        <w:instrText>，蛋白激酶</w:instrText>
      </w:r>
      <w:r>
        <w:rPr>
          <w:rFonts w:ascii="Times New Roman" w:eastAsia="宋体" w:hAnsi="Times New Roman" w:cs="Times New Roman"/>
          <w:kern w:val="0"/>
          <w14:ligatures w14:val="none"/>
        </w:rPr>
        <w:instrText xml:space="preserve"> B (AKT)</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的磷酸化。黄芩苷的应用也促进了</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核排斥，并有助于抑制</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反式激活潜能，这导致</w:instrText>
      </w:r>
      <w:r>
        <w:rPr>
          <w:rFonts w:ascii="Times New Roman" w:eastAsia="宋体" w:hAnsi="Times New Roman" w:cs="Times New Roman"/>
          <w:kern w:val="0"/>
          <w14:ligatures w14:val="none"/>
        </w:rPr>
        <w:instrText xml:space="preserve"> CUMS </w:instrText>
      </w:r>
      <w:r>
        <w:rPr>
          <w:rFonts w:ascii="Times New Roman" w:eastAsia="宋体" w:hAnsi="Times New Roman" w:cs="Times New Roman"/>
          <w:kern w:val="0"/>
          <w14:ligatures w14:val="none"/>
        </w:rPr>
        <w:instrText>小鼠或</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处理的</w:instrText>
      </w:r>
      <w:r>
        <w:rPr>
          <w:rFonts w:ascii="Times New Roman" w:eastAsia="宋体" w:hAnsi="Times New Roman" w:cs="Times New Roman"/>
          <w:kern w:val="0"/>
          <w14:ligatures w14:val="none"/>
        </w:rPr>
        <w:instrText xml:space="preserve"> BV2</w:instrText>
      </w:r>
      <w:r>
        <w:rPr>
          <w:rFonts w:ascii="Times New Roman" w:eastAsia="宋体" w:hAnsi="Times New Roman" w:cs="Times New Roman"/>
          <w:kern w:val="0"/>
          <w14:ligatures w14:val="none"/>
        </w:rPr>
        <w:instrText>细胞和原代小胶质细胞中</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的表达下调。然而，</w:instrText>
      </w:r>
      <w:r>
        <w:rPr>
          <w:rFonts w:ascii="Times New Roman" w:eastAsia="宋体" w:hAnsi="Times New Roman" w:cs="Times New Roman"/>
          <w:kern w:val="0"/>
          <w14:ligatures w14:val="none"/>
        </w:rPr>
        <w:instrText>LY294002</w:instrText>
      </w:r>
      <w:r>
        <w:rPr>
          <w:rFonts w:ascii="Times New Roman" w:eastAsia="宋体" w:hAnsi="Times New Roman" w:cs="Times New Roman"/>
          <w:kern w:val="0"/>
          <w14:ligatures w14:val="none"/>
        </w:rPr>
        <w:instrText>的预防性治疗消除了黄芩苷的上述作用。此外，我们发现</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通过调节由内毒素触发的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介导的神经炎症，通过敲低原代小胶质细胞中</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的表达，在黄芩苷中发挥重要作用。结论</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总的来说，这些结果表明黄芩苷通过抑制</w:instrText>
      </w:r>
      <w:r>
        <w:rPr>
          <w:rFonts w:ascii="Times New Roman" w:eastAsia="宋体" w:hAnsi="Times New Roman" w:cs="Times New Roman"/>
          <w:kern w:val="0"/>
          <w14:ligatures w14:val="none"/>
        </w:rPr>
        <w:instrText xml:space="preserve"> PI3K/AKT/FoxO1</w:instrText>
      </w:r>
      <w:r>
        <w:rPr>
          <w:rFonts w:ascii="Times New Roman" w:eastAsia="宋体" w:hAnsi="Times New Roman" w:cs="Times New Roman"/>
          <w:kern w:val="0"/>
          <w14:ligatures w14:val="none"/>
        </w:rPr>
        <w:instrText>途径的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表达来改善神经炎症诱导的抑郁样行为。</w:instrText>
      </w:r>
      <w:r>
        <w:rPr>
          <w:rFonts w:ascii="Times New Roman" w:eastAsia="宋体" w:hAnsi="Times New Roman" w:cs="Times New Roman"/>
          <w:kern w:val="0"/>
          <w14:ligatures w14:val="none"/>
        </w:rPr>
        <w:instrText>","archive_location":"235 citation(s)","call-number":"1","container-title":"Journal of Neuroinflammation","DOI":"10.1186/s12974-019-1474-8","ISSN":"1742-2094","issue":"1","journalAbbreviation":"J Neuroinflammation","language":"en","license":"LY</w:instrText>
      </w:r>
      <w:r>
        <w:rPr>
          <w:rFonts w:ascii="Times New Roman" w:eastAsia="宋体" w:hAnsi="Times New Roman" w:cs="Times New Roman"/>
          <w:kern w:val="0"/>
          <w14:ligatures w14:val="none"/>
        </w:rPr>
        <w:instrText>细胞干预（</w:instrText>
      </w:r>
      <w:r>
        <w:rPr>
          <w:rFonts w:ascii="Times New Roman" w:eastAsia="宋体" w:hAnsi="Times New Roman" w:cs="Times New Roman"/>
          <w:kern w:val="0"/>
          <w14:ligatures w14:val="none"/>
        </w:rPr>
        <w:instrText>10 μ M</w:instrText>
      </w:r>
      <w:r>
        <w:rPr>
          <w:rFonts w:ascii="Times New Roman" w:eastAsia="宋体" w:hAnsi="Times New Roman" w:cs="Times New Roman"/>
          <w:kern w:val="0"/>
          <w14:ligatures w14:val="none"/>
        </w:rPr>
        <w:instrText>）</w:instrText>
      </w:r>
      <w:r>
        <w:rPr>
          <w:rFonts w:ascii="Segoe UI Emoji" w:eastAsia="宋体" w:hAnsi="Segoe UI Emoji" w:cs="Segoe UI Emoji"/>
          <w:kern w:val="0"/>
          <w14:ligatures w14:val="none"/>
        </w:rPr>
        <w:instrText>⭐⭐⭐</w:instrText>
      </w:r>
      <w:r>
        <w:rPr>
          <w:rFonts w:ascii="Times New Roman" w:eastAsia="宋体" w:hAnsi="Times New Roman" w:cs="Times New Roman"/>
          <w:kern w:val="0"/>
          <w14:ligatures w14:val="none"/>
        </w:rPr>
        <w:instrText xml:space="preserve">","note":"titleTranslation: </w:instrText>
      </w:r>
      <w:r>
        <w:rPr>
          <w:rFonts w:ascii="Times New Roman" w:eastAsia="宋体" w:hAnsi="Times New Roman" w:cs="Times New Roman"/>
          <w:kern w:val="0"/>
          <w14:ligatures w14:val="none"/>
        </w:rPr>
        <w:instrText>黄芩苷通过</w:instrText>
      </w:r>
      <w:r>
        <w:rPr>
          <w:rFonts w:ascii="Times New Roman" w:eastAsia="宋体" w:hAnsi="Times New Roman" w:cs="Times New Roman"/>
          <w:kern w:val="0"/>
          <w14:ligatures w14:val="none"/>
        </w:rPr>
        <w:instrText>PI3K/AKT/FoxO1</w:instrText>
      </w:r>
      <w:r>
        <w:rPr>
          <w:rFonts w:ascii="Times New Roman" w:eastAsia="宋体" w:hAnsi="Times New Roman" w:cs="Times New Roman"/>
          <w:kern w:val="0"/>
          <w14:ligatures w14:val="none"/>
        </w:rPr>
        <w:instrText>途径抑制</w:instrText>
      </w:r>
      <w:r>
        <w:rPr>
          <w:rFonts w:ascii="Times New Roman" w:eastAsia="宋体" w:hAnsi="Times New Roman" w:cs="Times New Roman"/>
          <w:kern w:val="0"/>
          <w14:ligatures w14:val="none"/>
        </w:rPr>
        <w:instrText>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w:instrText>
      </w:r>
      <w:r>
        <w:rPr>
          <w:rFonts w:ascii="Times New Roman" w:eastAsia="宋体" w:hAnsi="Times New Roman" w:cs="Times New Roman"/>
          <w:kern w:val="0"/>
          <w14:ligatures w14:val="none"/>
        </w:rPr>
        <w:instrText>表达改善神经炎症诱导的抑郁样行为</w:instrText>
      </w:r>
      <w:r>
        <w:rPr>
          <w:rFonts w:ascii="Times New Roman" w:eastAsia="宋体" w:hAnsi="Times New Roman" w:cs="Times New Roman"/>
          <w:kern w:val="0"/>
          <w14:ligatures w14:val="none"/>
        </w:rPr>
        <w:instrText>\nTLDR: It is demonstrated that baicalin ameliorated neuroinflammation-induced depressive-like behaviors through the inhibition of TLR4 expression via the PI3K/AKT/FoxO1 pathway.","page":"95","PMID":"31068207","PMCID":"PMC6507025","source":"9.3 (Q1)","title":"Baicalin ameliorates neuroinflammation-induced depressive-like behavior through inhibition of toll-like receptor 4 expression via the PI3K/AKT/FoxO1 pathway","title-short":"</w:instrText>
      </w:r>
      <w:r>
        <w:rPr>
          <w:rFonts w:ascii="Times New Roman" w:eastAsia="宋体" w:hAnsi="Times New Roman" w:cs="Times New Roman"/>
          <w:kern w:val="0"/>
          <w14:ligatures w14:val="none"/>
        </w:rPr>
        <w:instrText>黄芩苷通过抑制</w:instrText>
      </w:r>
      <w:r>
        <w:rPr>
          <w:rFonts w:ascii="Times New Roman" w:eastAsia="宋体" w:hAnsi="Times New Roman" w:cs="Times New Roman"/>
          <w:kern w:val="0"/>
          <w14:ligatures w14:val="none"/>
        </w:rPr>
        <w:instrText xml:space="preserve"> PI3K/AKT/FoxO1</w:instrText>
      </w:r>
      <w:r>
        <w:rPr>
          <w:rFonts w:ascii="Times New Roman" w:eastAsia="宋体" w:hAnsi="Times New Roman" w:cs="Times New Roman"/>
          <w:kern w:val="0"/>
          <w14:ligatures w14:val="none"/>
        </w:rPr>
        <w:instrText>途径的</w:instrText>
      </w:r>
      <w:r>
        <w:rPr>
          <w:rFonts w:ascii="Times New Roman" w:eastAsia="宋体" w:hAnsi="Times New Roman" w:cs="Times New Roman"/>
          <w:kern w:val="0"/>
          <w14:ligatures w14:val="none"/>
        </w:rPr>
        <w:instrText xml:space="preserve"> 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w:instrText>
      </w:r>
      <w:r>
        <w:rPr>
          <w:rFonts w:ascii="Times New Roman" w:eastAsia="宋体" w:hAnsi="Times New Roman" w:cs="Times New Roman"/>
          <w:kern w:val="0"/>
          <w14:ligatures w14:val="none"/>
        </w:rPr>
        <w:instrText>表达来改善神经炎症诱导的抑郁样行为</w:instrText>
      </w:r>
      <w:r>
        <w:rPr>
          <w:rFonts w:ascii="Times New Roman" w:eastAsia="宋体" w:hAnsi="Times New Roman" w:cs="Times New Roman"/>
          <w:kern w:val="0"/>
          <w14:ligatures w14:val="none"/>
        </w:rPr>
        <w:instrText xml:space="preserve">","volume":"16","author":[{"family":"Guo","given":"Li-Ting"},{"family":"Wang","given":"Si-Qi"},{"family":"Su","given":"Jing"},{"family":"Xu","given":"Li-Xing"},{"family":"Ji","given":"Zhou-Ye"},{"family":"Zhang","given":"Ru-Yi"},{"family":"Zhao","given":"Qin-Wen"},{"family":"Ma","given":"Zhan-Qiang"},{"family":"Deng","given":"Xue-Yang"},{"family":"Ma","given":"Shi-Ping"}],"issued":{"date-parts":[["2019",12]]}}}],"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rPr>
        <w:t>[1, 2]</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xml:space="preserve"> and our experimental data. Both inhibitors were dissolved in DMSO. Control groups were exposed to an equivalent DMSO concentration (&lt;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0.2%) to account for potential solvent effects. The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Nr4a1</w:t>
      </w:r>
      <w:r>
        <w:rPr>
          <w:rFonts w:ascii="Times New Roman" w:eastAsia="Times New Roman" w:hAnsi="Times New Roman" w:cs="Times New Roman"/>
          <w:kern w:val="0"/>
          <w:vertAlign w:val="superscript"/>
          <w:lang w:eastAsia="zh-CN"/>
          <w14:ligatures w14:val="none"/>
        </w:rPr>
        <w:t>OE</w:t>
      </w:r>
      <w:r w:rsidR="00A135DE" w:rsidRP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LY294002 group received 1 μg/mL LPS and 10 μM LY294002 for 24 h, whereas the LPS</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A135DE">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Nr4a1</w:t>
      </w:r>
      <w:r>
        <w:rPr>
          <w:rFonts w:ascii="Times New Roman" w:eastAsia="Times New Roman" w:hAnsi="Times New Roman" w:cs="Times New Roman"/>
          <w:kern w:val="0"/>
          <w:vertAlign w:val="superscript"/>
          <w:lang w:eastAsia="zh-CN"/>
          <w14:ligatures w14:val="none"/>
        </w:rPr>
        <w:t>OE</w:t>
      </w:r>
      <w:r w:rsidR="00044F27" w:rsidRPr="00044F27">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w:t>
      </w:r>
      <w:r w:rsidR="00044F27">
        <w:rPr>
          <w:rFonts w:ascii="Times New Roman" w:eastAsia="等线" w:hAnsi="Times New Roman" w:cs="Times New Roman" w:hint="eastAsia"/>
          <w:kern w:val="0"/>
          <w:lang w:eastAsia="zh-CN"/>
          <w14:ligatures w14:val="none"/>
        </w:rPr>
        <w:t xml:space="preserve"> </w:t>
      </w:r>
      <w:r>
        <w:rPr>
          <w:rFonts w:ascii="Times New Roman" w:eastAsia="Times New Roman" w:hAnsi="Times New Roman" w:cs="Times New Roman"/>
          <w:kern w:val="0"/>
          <w:lang w:eastAsia="zh-CN"/>
          <w14:ligatures w14:val="none"/>
        </w:rPr>
        <w:t xml:space="preserve">MK-2206 group received 1 μg/mL LPS and 0.5 μM MK-2206 for 24 h, with both groups comprising the stable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-overexpressing BV2 cell line. Subsequently, western blotting was conducted.</w:t>
      </w:r>
    </w:p>
    <w:p w14:paraId="159B6AE5" w14:textId="77777777" w:rsidR="00210785" w:rsidRDefault="00000000">
      <w:pPr>
        <w:spacing w:after="0" w:line="480" w:lineRule="auto"/>
        <w:jc w:val="both"/>
        <w:rPr>
          <w:rFonts w:ascii="Times New Roman" w:eastAsia="等线" w:hAnsi="Times New Roman" w:cs="Times New Roman"/>
          <w:kern w:val="0"/>
          <w:lang w:eastAsia="zh-CN"/>
          <w14:ligatures w14:val="none"/>
        </w:rPr>
      </w:pPr>
      <w:r>
        <w:rPr>
          <w:rFonts w:ascii="Times New Roman" w:eastAsia="Times New Roman" w:hAnsi="Times New Roman" w:cs="Times New Roman"/>
          <w:kern w:val="0"/>
          <w:lang w:eastAsia="zh-CN"/>
          <w14:ligatures w14:val="none"/>
        </w:rPr>
        <w:t>The conditioned medium from each group was collected and centrifuged at 1000 ×</w:t>
      </w:r>
      <w:r>
        <w:rPr>
          <w:rFonts w:ascii="Times New Roman" w:eastAsia="Times New Roman" w:hAnsi="Times New Roman" w:cs="Times New Roman"/>
          <w:i/>
          <w:kern w:val="0"/>
          <w:lang w:eastAsia="zh-CN"/>
          <w14:ligatures w14:val="none"/>
        </w:rPr>
        <w:t>g</w:t>
      </w:r>
      <w:r>
        <w:rPr>
          <w:rFonts w:ascii="Times New Roman" w:eastAsia="Times New Roman" w:hAnsi="Times New Roman" w:cs="Times New Roman"/>
          <w:kern w:val="0"/>
          <w:lang w:eastAsia="zh-CN"/>
          <w14:ligatures w14:val="none"/>
        </w:rPr>
        <w:t xml:space="preserve"> for 5 min. Subsequently, the culture medium of HT22 cells was replaced by the supernatant, and the cells </w:t>
      </w:r>
      <w:r>
        <w:rPr>
          <w:rFonts w:ascii="Times New Roman" w:eastAsia="Times New Roman" w:hAnsi="Times New Roman" w:cs="Times New Roman"/>
          <w:kern w:val="0"/>
          <w:lang w:eastAsia="zh-CN"/>
          <w14:ligatures w14:val="none"/>
        </w:rPr>
        <w:lastRenderedPageBreak/>
        <w:t>were incubated for 12 h. Next, immunofluorescence staining and western blotting were performed to evaluate neuronal autophagy and synaptic plasticity.</w:t>
      </w:r>
    </w:p>
    <w:p w14:paraId="066092CF" w14:textId="77777777" w:rsidR="00210785" w:rsidRDefault="00000000">
      <w:pPr>
        <w:spacing w:after="0" w:line="480" w:lineRule="auto"/>
        <w:jc w:val="both"/>
        <w:rPr>
          <w:rFonts w:ascii="Times New Roman" w:eastAsia="宋体" w:hAnsi="Times New Roman" w:cs="Times New Roman"/>
          <w:b/>
          <w:bCs/>
        </w:rPr>
      </w:pPr>
      <w:r>
        <w:rPr>
          <w:rFonts w:ascii="Times New Roman" w:eastAsia="等线" w:hAnsi="Times New Roman" w:cs="Times New Roman"/>
          <w:kern w:val="0"/>
          <w:lang w:eastAsia="zh-CN"/>
          <w14:ligatures w14:val="none"/>
        </w:rPr>
        <w:t>References:</w:t>
      </w:r>
    </w:p>
    <w:p w14:paraId="41ECCAD8" w14:textId="76CE5F6C" w:rsidR="00210785" w:rsidRDefault="00000000">
      <w:pPr>
        <w:pStyle w:val="14"/>
        <w:spacing w:after="0" w:line="480" w:lineRule="auto"/>
        <w:jc w:val="both"/>
        <w:rPr>
          <w:rFonts w:ascii="Times New Roman" w:hAnsi="Times New Roman" w:cs="Times New Roman"/>
        </w:rPr>
      </w:pPr>
      <w:r>
        <w:rPr>
          <w:rFonts w:ascii="Times New Roman" w:eastAsia="宋体" w:hAnsi="Times New Roman" w:cs="Times New Roman"/>
          <w:b/>
          <w:bCs/>
        </w:rPr>
        <w:fldChar w:fldCharType="begin"/>
      </w:r>
      <w:r>
        <w:rPr>
          <w:rFonts w:ascii="Times New Roman" w:eastAsia="宋体" w:hAnsi="Times New Roman" w:cs="Times New Roman"/>
          <w:b/>
          <w:bCs/>
        </w:rPr>
        <w:instrText xml:space="preserve"> ADDIN ZOTERO_BIBL {"uncited":[],"omitted":[],"custom":[]} CSL_BIBLIOGRAPHY </w:instrText>
      </w:r>
      <w:r>
        <w:rPr>
          <w:rFonts w:ascii="Times New Roman" w:eastAsia="宋体" w:hAnsi="Times New Roman" w:cs="Times New Roman"/>
          <w:b/>
          <w:bCs/>
        </w:rPr>
        <w:fldChar w:fldCharType="separate"/>
      </w:r>
      <w:r>
        <w:rPr>
          <w:rFonts w:ascii="Times New Roman" w:hAnsi="Times New Roman" w:cs="Times New Roman"/>
        </w:rPr>
        <w:t>1.</w:t>
      </w:r>
      <w:r>
        <w:rPr>
          <w:rFonts w:ascii="Times New Roman" w:hAnsi="Times New Roman" w:cs="Times New Roman"/>
        </w:rPr>
        <w:tab/>
      </w:r>
      <w:r w:rsidR="009F4302" w:rsidRPr="009F4302">
        <w:rPr>
          <w:rFonts w:ascii="Times New Roman" w:hAnsi="Times New Roman" w:cs="Times New Roman"/>
        </w:rPr>
        <w:t>Guo L-T, Wang S-Q, Su J, Xu L-X, Ji Z-Y, Zhang R-Y, Zhao Q-W, Ma Z-Q, Deng X-Y, Ma S-P (2019) Baicalin ameliorates neuroinflammation-induced depressive-like behavior through inhibition of toll-like receptor 4 expression via the PI3K/AKT/FoxO1 pathway. J Neuroinflammation 16:95. doi.10.1186/s12974-019-1474-8</w:t>
      </w:r>
    </w:p>
    <w:p w14:paraId="342E8A6D" w14:textId="6AD7DF62" w:rsidR="00210785" w:rsidRDefault="00000000">
      <w:pPr>
        <w:pStyle w:val="14"/>
        <w:spacing w:after="0" w:line="48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9F4302" w:rsidRPr="009F4302">
        <w:rPr>
          <w:rFonts w:ascii="Times New Roman" w:hAnsi="Times New Roman" w:cs="Times New Roman"/>
        </w:rPr>
        <w:t>Xiong Y, Liang W, Wang X, Zhu H, Yi P, Wei G, Liu H, Lin Y, Zhang L, Ying J, Hua F (2024) S100A8 knockdown activates the PI3K/AKT signaling pathway to inhibit microglial autophagy and improve cognitive impairment mediated by chronic sleep deprivation. Int Immunopharmacol 143:113375. doi.10.1016/j.intimp.2024.113375</w:t>
      </w:r>
    </w:p>
    <w:p w14:paraId="788135C9" w14:textId="77777777" w:rsidR="00210785" w:rsidRDefault="00000000">
      <w:pPr>
        <w:spacing w:after="0" w:line="480" w:lineRule="auto"/>
        <w:jc w:val="both"/>
        <w:rPr>
          <w:rFonts w:ascii="Times New Roman" w:eastAsia="等线" w:hAnsi="Times New Roman" w:cs="Times New Roman"/>
          <w:kern w:val="0"/>
          <w:szCs w:val="20"/>
          <w:lang w:eastAsia="zh-CN"/>
          <w14:ligatures w14:val="none"/>
        </w:rPr>
      </w:pPr>
      <w:r>
        <w:rPr>
          <w:rFonts w:ascii="Times New Roman" w:eastAsia="宋体" w:hAnsi="Times New Roman" w:cs="Times New Roman"/>
          <w:b/>
          <w:bCs/>
        </w:rPr>
        <w:fldChar w:fldCharType="end"/>
      </w:r>
    </w:p>
    <w:p w14:paraId="0FF95715" w14:textId="77777777" w:rsidR="00210785" w:rsidRDefault="00000000">
      <w:pPr>
        <w:pStyle w:val="14"/>
        <w:spacing w:line="480" w:lineRule="auto"/>
        <w:jc w:val="both"/>
        <w:rPr>
          <w:rFonts w:ascii="Times New Roman" w:eastAsia="等线" w:hAnsi="Times New Roman" w:cs="Times New Roman"/>
          <w:kern w:val="0"/>
          <w:szCs w:val="20"/>
          <w:lang w:eastAsia="zh-CN"/>
          <w14:ligatures w14:val="none"/>
        </w:rPr>
      </w:pPr>
      <w:r>
        <w:rPr>
          <w:rFonts w:eastAsia="等线"/>
          <w:b/>
          <w:bCs/>
          <w:i/>
          <w:iCs/>
          <w:lang w:eastAsia="zh-CN"/>
        </w:rPr>
        <w:br w:type="page"/>
      </w:r>
    </w:p>
    <w:p w14:paraId="6B8E8C3B" w14:textId="77777777" w:rsidR="00210785" w:rsidRDefault="00000000">
      <w:pPr>
        <w:pStyle w:val="AuthorsFull"/>
        <w:spacing w:line="480" w:lineRule="auto"/>
        <w:jc w:val="both"/>
        <w:rPr>
          <w:rFonts w:eastAsia="等线"/>
          <w:b/>
          <w:bCs/>
          <w:i w:val="0"/>
          <w:iCs/>
          <w:lang w:eastAsia="zh-CN"/>
        </w:rPr>
      </w:pPr>
      <w:r>
        <w:rPr>
          <w:rFonts w:eastAsia="等线"/>
          <w:b/>
          <w:bCs/>
          <w:i w:val="0"/>
          <w:iCs/>
          <w:lang w:eastAsia="zh-CN"/>
        </w:rPr>
        <w:lastRenderedPageBreak/>
        <w:t>Supplementary Notes 2: Confirmatory Results and Analysis</w:t>
      </w:r>
    </w:p>
    <w:p w14:paraId="56A697D6" w14:textId="77777777" w:rsidR="00210785" w:rsidRDefault="00000000">
      <w:pPr>
        <w:pStyle w:val="AuthorsFull"/>
        <w:spacing w:line="480" w:lineRule="auto"/>
        <w:jc w:val="both"/>
        <w:rPr>
          <w:rFonts w:eastAsia="等线"/>
          <w:i w:val="0"/>
          <w:iCs/>
          <w:lang w:eastAsia="zh-CN"/>
        </w:rPr>
      </w:pPr>
      <w:r>
        <w:rPr>
          <w:rFonts w:eastAsia="等线"/>
          <w:b/>
          <w:bCs/>
          <w:i w:val="0"/>
          <w:iCs/>
          <w:lang w:eastAsia="zh-CN"/>
        </w:rPr>
        <w:t>Supplementary Notes 2.1:</w:t>
      </w:r>
      <w:r>
        <w:t xml:space="preserve"> </w:t>
      </w:r>
      <w:r>
        <w:rPr>
          <w:rFonts w:eastAsia="等线"/>
          <w:i w:val="0"/>
          <w:iCs/>
          <w:lang w:eastAsia="zh-CN"/>
        </w:rPr>
        <w:t>Detailed behavioral analyses and microglial marker descriptions</w:t>
      </w:r>
    </w:p>
    <w:p w14:paraId="3A02A2B8" w14:textId="77777777" w:rsidR="002B4EF6" w:rsidRDefault="002B4EF6" w:rsidP="002B4EF6">
      <w:pPr>
        <w:pStyle w:val="AuthorsFull"/>
        <w:jc w:val="both"/>
        <w:rPr>
          <w:rFonts w:eastAsia="等线"/>
          <w:b/>
          <w:bCs/>
          <w:i w:val="0"/>
          <w:iCs/>
          <w:lang w:eastAsia="zh-CN"/>
        </w:rPr>
      </w:pPr>
    </w:p>
    <w:p w14:paraId="501BD5DE" w14:textId="02EC3039" w:rsidR="00210785" w:rsidRDefault="00000000">
      <w:pPr>
        <w:pStyle w:val="AuthorsFull"/>
        <w:spacing w:line="480" w:lineRule="auto"/>
        <w:jc w:val="both"/>
        <w:rPr>
          <w:rFonts w:eastAsia="等线"/>
          <w:i w:val="0"/>
          <w:iCs/>
          <w:lang w:eastAsia="zh-CN"/>
        </w:rPr>
      </w:pPr>
      <w:r>
        <w:rPr>
          <w:rFonts w:eastAsia="等线"/>
          <w:b/>
          <w:bCs/>
          <w:i w:val="0"/>
          <w:iCs/>
          <w:lang w:eastAsia="zh-CN"/>
        </w:rPr>
        <w:t>1.</w:t>
      </w:r>
      <w:r>
        <w:rPr>
          <w:b/>
          <w:bCs/>
          <w:i w:val="0"/>
          <w:iCs/>
        </w:rPr>
        <w:t xml:space="preserve"> </w:t>
      </w:r>
      <w:r>
        <w:rPr>
          <w:rFonts w:eastAsia="等线"/>
          <w:b/>
          <w:bCs/>
          <w:i w:val="0"/>
          <w:iCs/>
          <w:lang w:eastAsia="zh-CN"/>
        </w:rPr>
        <w:t>Detailed behavioral analyses:</w:t>
      </w:r>
      <w:r>
        <w:rPr>
          <w:rFonts w:eastAsia="等线"/>
          <w:i w:val="0"/>
          <w:iCs/>
          <w:lang w:eastAsia="zh-CN"/>
        </w:rPr>
        <w:t xml:space="preserve"> In the Sham group, no significant differences were observed at any time after surgery. In contrast, the dION-CCI group exhibited significantly reduced pain thresholds on days 3, 7, 14, 21, and 28 compared with baseline and Sham group values (Figure 1b), confirming effective induction of the TN model. Motor function, evaluated using the OFT, revealed no significant differences in the total distance traveled during OFT1 and OFT2 among groups (Figure 1c, k). Similarly, in the NORT, locomotor activity did not differ between groups during NORT1 or NORT2 (Figure 1e, m), indicating that dION-CCI surgery did not impair motor function. Although no significant difference was detected in the discrimination index during NORT1 (Figure 1d, f), the dION-CCI group exhibited a significantly reduced discrimination index in NORT2 compared with the Sham group (Figure 1l, n). In the MWMT, no differences were observed during MWMT1 (Figure 1g-j); however, in MWMT2, the dION-CCI group demonstrated prolonged escape latency, made fewer platform crossings, and spent less time in the target quadrant (Figure 1o-r). These results indicate that TN rats developed hippocampal-dependent cognitive deficits, including impaired spatial learning and working memory, by Day 28.</w:t>
      </w:r>
    </w:p>
    <w:p w14:paraId="56E8796B" w14:textId="77777777" w:rsidR="00210785" w:rsidRDefault="00000000">
      <w:pPr>
        <w:pStyle w:val="AuthorsFull"/>
        <w:spacing w:line="480" w:lineRule="auto"/>
        <w:jc w:val="both"/>
        <w:rPr>
          <w:rFonts w:eastAsia="等线"/>
          <w:i w:val="0"/>
          <w:iCs/>
          <w:lang w:eastAsia="zh-CN"/>
        </w:rPr>
      </w:pPr>
      <w:r>
        <w:rPr>
          <w:rFonts w:eastAsia="等线"/>
          <w:b/>
          <w:bCs/>
          <w:i w:val="0"/>
          <w:iCs/>
          <w:lang w:eastAsia="zh-CN"/>
        </w:rPr>
        <w:t>2.</w:t>
      </w:r>
      <w:r>
        <w:rPr>
          <w:b/>
          <w:bCs/>
          <w:i w:val="0"/>
          <w:iCs/>
        </w:rPr>
        <w:t xml:space="preserve"> </w:t>
      </w:r>
      <w:r>
        <w:rPr>
          <w:rFonts w:eastAsia="等线"/>
          <w:b/>
          <w:bCs/>
          <w:i w:val="0"/>
          <w:iCs/>
          <w:lang w:eastAsia="zh-CN"/>
        </w:rPr>
        <w:t>Detailed microglial marker descriptions:</w:t>
      </w:r>
      <w:r>
        <w:rPr>
          <w:rFonts w:eastAsia="Times New Roman"/>
          <w:i w:val="0"/>
          <w:iCs/>
        </w:rPr>
        <w:t xml:space="preserve"> Western blotting and immunofluorescence staining were performed at multiple time points after model induction to investigate temporal changes in hippocampal microglial activation in TN rats. Microglial activation is characterized by a transition from a highly ramified state to an amoeboid morphology, accompanied by enlarged cell bodies, shortened processes, and increased expression of </w:t>
      </w:r>
      <w:bookmarkStart w:id="1" w:name="_Hlk212650244"/>
      <w:r>
        <w:rPr>
          <w:rFonts w:eastAsia="Times New Roman"/>
          <w:i w:val="0"/>
          <w:iCs/>
        </w:rPr>
        <w:t>ionized calcium-binding adapter molecule 1</w:t>
      </w:r>
      <w:bookmarkEnd w:id="1"/>
      <w:r>
        <w:rPr>
          <w:rFonts w:eastAsia="Times New Roman"/>
          <w:i w:val="0"/>
          <w:iCs/>
        </w:rPr>
        <w:t xml:space="preserve"> (</w:t>
      </w:r>
      <w:bookmarkStart w:id="2" w:name="_Hlk212650237"/>
      <w:r>
        <w:rPr>
          <w:rFonts w:eastAsia="Times New Roman"/>
          <w:i w:val="0"/>
          <w:iCs/>
        </w:rPr>
        <w:t>Iba1</w:t>
      </w:r>
      <w:bookmarkEnd w:id="2"/>
      <w:r>
        <w:rPr>
          <w:rFonts w:eastAsia="Times New Roman"/>
          <w:i w:val="0"/>
          <w:iCs/>
        </w:rPr>
        <w:t xml:space="preserve">) </w:t>
      </w:r>
      <w:r>
        <w:rPr>
          <w:rFonts w:eastAsia="宋体"/>
          <w:i w:val="0"/>
          <w:iCs/>
        </w:rPr>
        <w:fldChar w:fldCharType="begin"/>
      </w:r>
      <w:r>
        <w:rPr>
          <w:i w:val="0"/>
          <w:iCs/>
        </w:rPr>
        <w:instrText xml:space="preserve"> ADDIN ZOTERO_ITEM CSL_CITATION {"citationID":"kIAGaUCn","properties":{"formattedCitation":"[1, 2]","plainCitation":"[1, 2]","noteIndex":0},"citationItems":[{"id":15961,"uris":["http://zotero.org/users/9311172/items/X8R64ZKM"],"itemData":{"id":15961,"type":"article-journal","abstract":"Microglia activation is observed in various neurodegenerative diseases. Recent advances in single-cell technologies have revealed that these reactive microglia were with high spatial and temporal heterogeneity. Some identified microglia in specific states correlate with pathological hallmarks and are associated with specific functions. Microglia both exert protective function by phagocytosing and clearing pathological protein aggregates and play detrimental roles due to excessive uptake of protein aggregates, which would lead to microglial phagocytic ability impairment, neuroinflammation, and eventually neurodegeneration. In addition, peripheral immune cells infiltration shapes microglia into a pro-inflammatory phenotype and accelerates disease progression. Microglia also act as a mobile vehicle to propagate protein aggregates. Extracellular vesicles released from microglia and autophagy impairment in microglia all contribute to pathological progression and neurodegeneration. Thus, enhancing microglial phagocytosis, reducing microglial-mediated neuroinflammation, inhibiting microglial exosome synthesis and secretion, and promoting microglial conversion into a protective phenotype are considered to be promising strategies for the therapy of neurodegenerative diseases. Here we comprehensively review the biology of microglia and the roles of microglia in neurodegenerative diseases, including Alzheimer's disease, Parkinson's disease, multiple system atrophy, amyotrophic lateral sclerosis, frontotemporal dementia, progressive supranuclear palsy, corticobasal degeneration, dementia with Lewy bodies and Huntington's disease. We also summarize the possible microglia-targeted interventions and treatments against neurodegenerative diseases with preclinical and clinical evidence in cell experiments, animal studies, and clinical trials.\n\n</w:instrText>
      </w:r>
      <w:r>
        <w:rPr>
          <w:i w:val="0"/>
          <w:iCs/>
        </w:rPr>
        <w:instrText>【摘要翻</w:instrText>
      </w:r>
      <w:r>
        <w:rPr>
          <w:rFonts w:eastAsia="微软雅黑"/>
          <w:i w:val="0"/>
          <w:iCs/>
        </w:rPr>
        <w:instrText>译</w:instrText>
      </w:r>
      <w:r>
        <w:rPr>
          <w:i w:val="0"/>
          <w:iCs/>
        </w:rPr>
        <w:instrText>】小胶</w:instrText>
      </w:r>
      <w:r>
        <w:rPr>
          <w:rFonts w:eastAsia="微软雅黑"/>
          <w:i w:val="0"/>
          <w:iCs/>
        </w:rPr>
        <w:instrText>质细</w:instrText>
      </w:r>
      <w:r>
        <w:rPr>
          <w:i w:val="0"/>
          <w:iCs/>
        </w:rPr>
        <w:instrText>胞活化在各种神</w:instrText>
      </w:r>
      <w:r>
        <w:rPr>
          <w:rFonts w:eastAsia="微软雅黑"/>
          <w:i w:val="0"/>
          <w:iCs/>
        </w:rPr>
        <w:instrText>经</w:instrText>
      </w:r>
      <w:r>
        <w:rPr>
          <w:i w:val="0"/>
          <w:iCs/>
        </w:rPr>
        <w:instrText>退行性疾病中都有</w:instrText>
      </w:r>
      <w:r>
        <w:rPr>
          <w:rFonts w:eastAsia="微软雅黑"/>
          <w:i w:val="0"/>
          <w:iCs/>
        </w:rPr>
        <w:instrText>观</w:instrText>
      </w:r>
      <w:r>
        <w:rPr>
          <w:i w:val="0"/>
          <w:iCs/>
        </w:rPr>
        <w:instrText>察到。最近</w:instrText>
      </w:r>
      <w:r>
        <w:rPr>
          <w:rFonts w:eastAsia="微软雅黑"/>
          <w:i w:val="0"/>
          <w:iCs/>
        </w:rPr>
        <w:instrText>单细</w:instrText>
      </w:r>
      <w:r>
        <w:rPr>
          <w:i w:val="0"/>
          <w:iCs/>
        </w:rPr>
        <w:instrText>胞技</w:instrText>
      </w:r>
      <w:r>
        <w:rPr>
          <w:rFonts w:eastAsia="微软雅黑"/>
          <w:i w:val="0"/>
          <w:iCs/>
        </w:rPr>
        <w:instrText>术</w:instrText>
      </w:r>
      <w:r>
        <w:rPr>
          <w:i w:val="0"/>
          <w:iCs/>
        </w:rPr>
        <w:instrText>的</w:instrText>
      </w:r>
      <w:r>
        <w:rPr>
          <w:rFonts w:eastAsia="微软雅黑"/>
          <w:i w:val="0"/>
          <w:iCs/>
        </w:rPr>
        <w:instrText>进</w:instrText>
      </w:r>
      <w:r>
        <w:rPr>
          <w:i w:val="0"/>
          <w:iCs/>
        </w:rPr>
        <w:instrText>展表明，</w:instrText>
      </w:r>
      <w:r>
        <w:rPr>
          <w:rFonts w:eastAsia="微软雅黑"/>
          <w:i w:val="0"/>
          <w:iCs/>
        </w:rPr>
        <w:instrText>这</w:instrText>
      </w:r>
      <w:r>
        <w:rPr>
          <w:i w:val="0"/>
          <w:iCs/>
        </w:rPr>
        <w:instrText>些反</w:instrText>
      </w:r>
      <w:r>
        <w:rPr>
          <w:rFonts w:eastAsia="微软雅黑"/>
          <w:i w:val="0"/>
          <w:iCs/>
        </w:rPr>
        <w:instrText>应</w:instrText>
      </w:r>
      <w:r>
        <w:rPr>
          <w:i w:val="0"/>
          <w:iCs/>
        </w:rPr>
        <w:instrText>性小胶</w:instrText>
      </w:r>
      <w:r>
        <w:rPr>
          <w:rFonts w:eastAsia="微软雅黑"/>
          <w:i w:val="0"/>
          <w:iCs/>
        </w:rPr>
        <w:instrText>质细</w:instrText>
      </w:r>
      <w:r>
        <w:rPr>
          <w:i w:val="0"/>
          <w:iCs/>
        </w:rPr>
        <w:instrText>胞具有高度的空</w:instrText>
      </w:r>
      <w:r>
        <w:rPr>
          <w:rFonts w:eastAsia="微软雅黑"/>
          <w:i w:val="0"/>
          <w:iCs/>
        </w:rPr>
        <w:instrText>间</w:instrText>
      </w:r>
      <w:r>
        <w:rPr>
          <w:i w:val="0"/>
          <w:iCs/>
        </w:rPr>
        <w:instrText>和</w:instrText>
      </w:r>
      <w:r>
        <w:rPr>
          <w:rFonts w:eastAsia="微软雅黑"/>
          <w:i w:val="0"/>
          <w:iCs/>
        </w:rPr>
        <w:instrText>时间</w:instrText>
      </w:r>
      <w:r>
        <w:rPr>
          <w:i w:val="0"/>
          <w:iCs/>
        </w:rPr>
        <w:instrText>异</w:instrText>
      </w:r>
      <w:r>
        <w:rPr>
          <w:rFonts w:eastAsia="微软雅黑"/>
          <w:i w:val="0"/>
          <w:iCs/>
        </w:rPr>
        <w:instrText>质</w:instrText>
      </w:r>
      <w:r>
        <w:rPr>
          <w:i w:val="0"/>
          <w:iCs/>
        </w:rPr>
        <w:instrText>性。一些在特定状</w:instrText>
      </w:r>
      <w:r>
        <w:rPr>
          <w:rFonts w:eastAsia="微软雅黑"/>
          <w:i w:val="0"/>
          <w:iCs/>
        </w:rPr>
        <w:instrText>态</w:instrText>
      </w:r>
      <w:r>
        <w:rPr>
          <w:i w:val="0"/>
          <w:iCs/>
        </w:rPr>
        <w:instrText>下被</w:instrText>
      </w:r>
      <w:r>
        <w:rPr>
          <w:rFonts w:eastAsia="微软雅黑"/>
          <w:i w:val="0"/>
          <w:iCs/>
        </w:rPr>
        <w:instrText>鉴</w:instrText>
      </w:r>
      <w:r>
        <w:rPr>
          <w:i w:val="0"/>
          <w:iCs/>
        </w:rPr>
        <w:instrText>定的小胶</w:instrText>
      </w:r>
      <w:r>
        <w:rPr>
          <w:rFonts w:eastAsia="微软雅黑"/>
          <w:i w:val="0"/>
          <w:iCs/>
        </w:rPr>
        <w:instrText>质细</w:instrText>
      </w:r>
      <w:r>
        <w:rPr>
          <w:i w:val="0"/>
          <w:iCs/>
        </w:rPr>
        <w:instrText>胞与病理特征相关，并与特定功能相关。小胶</w:instrText>
      </w:r>
      <w:r>
        <w:rPr>
          <w:rFonts w:eastAsia="微软雅黑"/>
          <w:i w:val="0"/>
          <w:iCs/>
        </w:rPr>
        <w:instrText>质细</w:instrText>
      </w:r>
      <w:r>
        <w:rPr>
          <w:i w:val="0"/>
          <w:iCs/>
        </w:rPr>
        <w:instrText>胞通</w:instrText>
      </w:r>
      <w:r>
        <w:rPr>
          <w:rFonts w:eastAsia="微软雅黑"/>
          <w:i w:val="0"/>
          <w:iCs/>
        </w:rPr>
        <w:instrText>过</w:instrText>
      </w:r>
      <w:r>
        <w:rPr>
          <w:i w:val="0"/>
          <w:iCs/>
        </w:rPr>
        <w:instrText>吞噬和清除病理蛋白</w:instrText>
      </w:r>
      <w:r>
        <w:rPr>
          <w:rFonts w:eastAsia="微软雅黑"/>
          <w:i w:val="0"/>
          <w:iCs/>
        </w:rPr>
        <w:instrText>质</w:instrText>
      </w:r>
      <w:r>
        <w:rPr>
          <w:i w:val="0"/>
          <w:iCs/>
        </w:rPr>
        <w:instrText>聚集体</w:instrText>
      </w:r>
      <w:r>
        <w:rPr>
          <w:rFonts w:eastAsia="微软雅黑"/>
          <w:i w:val="0"/>
          <w:iCs/>
        </w:rPr>
        <w:instrText>发挥</w:instrText>
      </w:r>
      <w:r>
        <w:rPr>
          <w:i w:val="0"/>
          <w:iCs/>
        </w:rPr>
        <w:instrText>保</w:instrText>
      </w:r>
      <w:r>
        <w:rPr>
          <w:rFonts w:eastAsia="微软雅黑"/>
          <w:i w:val="0"/>
          <w:iCs/>
        </w:rPr>
        <w:instrText>护</w:instrText>
      </w:r>
      <w:r>
        <w:rPr>
          <w:i w:val="0"/>
          <w:iCs/>
        </w:rPr>
        <w:instrText>功能，并由于</w:instrText>
      </w:r>
      <w:r>
        <w:rPr>
          <w:rFonts w:eastAsia="微软雅黑"/>
          <w:i w:val="0"/>
          <w:iCs/>
        </w:rPr>
        <w:instrText>过</w:instrText>
      </w:r>
      <w:r>
        <w:rPr>
          <w:i w:val="0"/>
          <w:iCs/>
        </w:rPr>
        <w:instrText>量</w:instrText>
      </w:r>
      <w:r>
        <w:rPr>
          <w:rFonts w:eastAsia="微软雅黑"/>
          <w:i w:val="0"/>
          <w:iCs/>
        </w:rPr>
        <w:instrText>摄</w:instrText>
      </w:r>
      <w:r>
        <w:rPr>
          <w:i w:val="0"/>
          <w:iCs/>
        </w:rPr>
        <w:instrText>取蛋白</w:instrText>
      </w:r>
      <w:r>
        <w:rPr>
          <w:rFonts w:eastAsia="微软雅黑"/>
          <w:i w:val="0"/>
          <w:iCs/>
        </w:rPr>
        <w:instrText>质</w:instrText>
      </w:r>
      <w:r>
        <w:rPr>
          <w:i w:val="0"/>
          <w:iCs/>
        </w:rPr>
        <w:instrText>聚集体而</w:instrText>
      </w:r>
      <w:r>
        <w:rPr>
          <w:rFonts w:eastAsia="微软雅黑"/>
          <w:i w:val="0"/>
          <w:iCs/>
        </w:rPr>
        <w:instrText>发挥</w:instrText>
      </w:r>
      <w:r>
        <w:rPr>
          <w:i w:val="0"/>
          <w:iCs/>
        </w:rPr>
        <w:instrText>有害作用，</w:instrText>
      </w:r>
      <w:r>
        <w:rPr>
          <w:rFonts w:eastAsia="微软雅黑"/>
          <w:i w:val="0"/>
          <w:iCs/>
        </w:rPr>
        <w:instrText>这</w:instrText>
      </w:r>
      <w:r>
        <w:rPr>
          <w:i w:val="0"/>
          <w:iCs/>
        </w:rPr>
        <w:instrText>将</w:instrText>
      </w:r>
      <w:r>
        <w:rPr>
          <w:rFonts w:eastAsia="微软雅黑"/>
          <w:i w:val="0"/>
          <w:iCs/>
        </w:rPr>
        <w:instrText>导</w:instrText>
      </w:r>
      <w:r>
        <w:rPr>
          <w:i w:val="0"/>
          <w:iCs/>
        </w:rPr>
        <w:instrText>致小胶</w:instrText>
      </w:r>
      <w:r>
        <w:rPr>
          <w:rFonts w:eastAsia="微软雅黑"/>
          <w:i w:val="0"/>
          <w:iCs/>
        </w:rPr>
        <w:instrText>质细</w:instrText>
      </w:r>
      <w:r>
        <w:rPr>
          <w:i w:val="0"/>
          <w:iCs/>
        </w:rPr>
        <w:instrText>胞吞噬能力</w:instrText>
      </w:r>
      <w:r>
        <w:rPr>
          <w:rFonts w:eastAsia="微软雅黑"/>
          <w:i w:val="0"/>
          <w:iCs/>
        </w:rPr>
        <w:instrText>损</w:instrText>
      </w:r>
      <w:r>
        <w:rPr>
          <w:i w:val="0"/>
          <w:iCs/>
        </w:rPr>
        <w:instrText>害、神</w:instrText>
      </w:r>
      <w:r>
        <w:rPr>
          <w:rFonts w:eastAsia="微软雅黑"/>
          <w:i w:val="0"/>
          <w:iCs/>
        </w:rPr>
        <w:instrText>经经</w:instrText>
      </w:r>
      <w:r>
        <w:rPr>
          <w:i w:val="0"/>
          <w:iCs/>
        </w:rPr>
        <w:instrText>炎症，最</w:instrText>
      </w:r>
      <w:r>
        <w:rPr>
          <w:rFonts w:eastAsia="微软雅黑"/>
          <w:i w:val="0"/>
          <w:iCs/>
        </w:rPr>
        <w:instrText>终导</w:instrText>
      </w:r>
      <w:r>
        <w:rPr>
          <w:i w:val="0"/>
          <w:iCs/>
        </w:rPr>
        <w:instrText>致神</w:instrText>
      </w:r>
      <w:r>
        <w:rPr>
          <w:rFonts w:eastAsia="微软雅黑"/>
          <w:i w:val="0"/>
          <w:iCs/>
        </w:rPr>
        <w:instrText>经</w:instrText>
      </w:r>
      <w:r>
        <w:rPr>
          <w:i w:val="0"/>
          <w:iCs/>
        </w:rPr>
        <w:instrText>退行性疾病。此外，外周免疫</w:instrText>
      </w:r>
      <w:r>
        <w:rPr>
          <w:rFonts w:eastAsia="微软雅黑"/>
          <w:i w:val="0"/>
          <w:iCs/>
        </w:rPr>
        <w:instrText>细</w:instrText>
      </w:r>
      <w:r>
        <w:rPr>
          <w:i w:val="0"/>
          <w:iCs/>
        </w:rPr>
        <w:instrText>胞浸</w:instrText>
      </w:r>
      <w:r>
        <w:rPr>
          <w:rFonts w:eastAsia="微软雅黑"/>
          <w:i w:val="0"/>
          <w:iCs/>
        </w:rPr>
        <w:instrText>润</w:instrText>
      </w:r>
      <w:r>
        <w:rPr>
          <w:i w:val="0"/>
          <w:iCs/>
        </w:rPr>
        <w:instrText>将小胶</w:instrText>
      </w:r>
      <w:r>
        <w:rPr>
          <w:rFonts w:eastAsia="微软雅黑"/>
          <w:i w:val="0"/>
          <w:iCs/>
        </w:rPr>
        <w:instrText>质细</w:instrText>
      </w:r>
      <w:r>
        <w:rPr>
          <w:i w:val="0"/>
          <w:iCs/>
        </w:rPr>
        <w:instrText>胞塑造成促炎症表型，并加速疾病</w:instrText>
      </w:r>
      <w:r>
        <w:rPr>
          <w:rFonts w:eastAsia="微软雅黑"/>
          <w:i w:val="0"/>
          <w:iCs/>
        </w:rPr>
        <w:instrText>进</w:instrText>
      </w:r>
      <w:r>
        <w:rPr>
          <w:i w:val="0"/>
          <w:iCs/>
        </w:rPr>
        <w:instrText>展。小胶</w:instrText>
      </w:r>
      <w:r>
        <w:rPr>
          <w:rFonts w:eastAsia="微软雅黑"/>
          <w:i w:val="0"/>
          <w:iCs/>
        </w:rPr>
        <w:instrText>质细</w:instrText>
      </w:r>
      <w:r>
        <w:rPr>
          <w:i w:val="0"/>
          <w:iCs/>
        </w:rPr>
        <w:instrText>胞</w:instrText>
      </w:r>
      <w:r>
        <w:rPr>
          <w:rFonts w:eastAsia="微软雅黑"/>
          <w:i w:val="0"/>
          <w:iCs/>
        </w:rPr>
        <w:instrText>还</w:instrText>
      </w:r>
      <w:r>
        <w:rPr>
          <w:i w:val="0"/>
          <w:iCs/>
        </w:rPr>
        <w:instrText>作</w:instrText>
      </w:r>
      <w:r>
        <w:rPr>
          <w:rFonts w:eastAsia="微软雅黑"/>
          <w:i w:val="0"/>
          <w:iCs/>
        </w:rPr>
        <w:instrText>为</w:instrText>
      </w:r>
      <w:r>
        <w:rPr>
          <w:i w:val="0"/>
          <w:iCs/>
        </w:rPr>
        <w:instrText>移</w:instrText>
      </w:r>
      <w:r>
        <w:rPr>
          <w:rFonts w:eastAsia="微软雅黑"/>
          <w:i w:val="0"/>
          <w:iCs/>
        </w:rPr>
        <w:instrText>动载</w:instrText>
      </w:r>
      <w:r>
        <w:rPr>
          <w:i w:val="0"/>
          <w:iCs/>
        </w:rPr>
        <w:instrText>体</w:instrText>
      </w:r>
      <w:r>
        <w:rPr>
          <w:rFonts w:eastAsia="微软雅黑"/>
          <w:i w:val="0"/>
          <w:iCs/>
        </w:rPr>
        <w:instrText>传</w:instrText>
      </w:r>
      <w:r>
        <w:rPr>
          <w:i w:val="0"/>
          <w:iCs/>
        </w:rPr>
        <w:instrText>播蛋白</w:instrText>
      </w:r>
      <w:r>
        <w:rPr>
          <w:rFonts w:eastAsia="微软雅黑"/>
          <w:i w:val="0"/>
          <w:iCs/>
        </w:rPr>
        <w:instrText>质</w:instrText>
      </w:r>
      <w:r>
        <w:rPr>
          <w:i w:val="0"/>
          <w:iCs/>
        </w:rPr>
        <w:instrText>聚集体。从小胶</w:instrText>
      </w:r>
      <w:r>
        <w:rPr>
          <w:rFonts w:eastAsia="微软雅黑"/>
          <w:i w:val="0"/>
          <w:iCs/>
        </w:rPr>
        <w:instrText>质细</w:instrText>
      </w:r>
      <w:r>
        <w:rPr>
          <w:i w:val="0"/>
          <w:iCs/>
        </w:rPr>
        <w:instrText>胞</w:instrText>
      </w:r>
      <w:r>
        <w:rPr>
          <w:rFonts w:eastAsia="微软雅黑"/>
          <w:i w:val="0"/>
          <w:iCs/>
        </w:rPr>
        <w:instrText>释</w:instrText>
      </w:r>
      <w:r>
        <w:rPr>
          <w:i w:val="0"/>
          <w:iCs/>
        </w:rPr>
        <w:instrText>放的</w:instrText>
      </w:r>
      <w:r>
        <w:rPr>
          <w:rFonts w:eastAsia="微软雅黑"/>
          <w:i w:val="0"/>
          <w:iCs/>
        </w:rPr>
        <w:instrText>细</w:instrText>
      </w:r>
      <w:r>
        <w:rPr>
          <w:i w:val="0"/>
          <w:iCs/>
        </w:rPr>
        <w:instrText>胞外囊泡和小胶</w:instrText>
      </w:r>
      <w:r>
        <w:rPr>
          <w:rFonts w:eastAsia="微软雅黑"/>
          <w:i w:val="0"/>
          <w:iCs/>
        </w:rPr>
        <w:instrText>质细</w:instrText>
      </w:r>
      <w:r>
        <w:rPr>
          <w:i w:val="0"/>
          <w:iCs/>
        </w:rPr>
        <w:instrText>胞的自噬</w:instrText>
      </w:r>
      <w:r>
        <w:rPr>
          <w:rFonts w:eastAsia="微软雅黑"/>
          <w:i w:val="0"/>
          <w:iCs/>
        </w:rPr>
        <w:instrText>损伤</w:instrText>
      </w:r>
      <w:r>
        <w:rPr>
          <w:i w:val="0"/>
          <w:iCs/>
        </w:rPr>
        <w:instrText>都有助于病理</w:instrText>
      </w:r>
      <w:r>
        <w:rPr>
          <w:rFonts w:eastAsia="微软雅黑"/>
          <w:i w:val="0"/>
          <w:iCs/>
        </w:rPr>
        <w:instrText>进</w:instrText>
      </w:r>
      <w:r>
        <w:rPr>
          <w:i w:val="0"/>
          <w:iCs/>
        </w:rPr>
        <w:instrText>展和神</w:instrText>
      </w:r>
      <w:r>
        <w:rPr>
          <w:rFonts w:eastAsia="微软雅黑"/>
          <w:i w:val="0"/>
          <w:iCs/>
        </w:rPr>
        <w:instrText>经</w:instrText>
      </w:r>
      <w:r>
        <w:rPr>
          <w:i w:val="0"/>
          <w:iCs/>
        </w:rPr>
        <w:instrText>退行性疾病。因此，增</w:instrText>
      </w:r>
      <w:r>
        <w:rPr>
          <w:rFonts w:eastAsia="微软雅黑"/>
          <w:i w:val="0"/>
          <w:iCs/>
        </w:rPr>
        <w:instrText>强</w:instrText>
      </w:r>
      <w:r>
        <w:rPr>
          <w:i w:val="0"/>
          <w:iCs/>
        </w:rPr>
        <w:instrText>小胶</w:instrText>
      </w:r>
      <w:r>
        <w:rPr>
          <w:rFonts w:eastAsia="微软雅黑"/>
          <w:i w:val="0"/>
          <w:iCs/>
        </w:rPr>
        <w:instrText>质细</w:instrText>
      </w:r>
      <w:r>
        <w:rPr>
          <w:i w:val="0"/>
          <w:iCs/>
        </w:rPr>
        <w:instrText>胞吞噬作用、减少小胶</w:instrText>
      </w:r>
      <w:r>
        <w:rPr>
          <w:rFonts w:eastAsia="微软雅黑"/>
          <w:i w:val="0"/>
          <w:iCs/>
        </w:rPr>
        <w:instrText>质细</w:instrText>
      </w:r>
      <w:r>
        <w:rPr>
          <w:i w:val="0"/>
          <w:iCs/>
        </w:rPr>
        <w:instrText>胞介</w:instrText>
      </w:r>
      <w:r>
        <w:rPr>
          <w:rFonts w:eastAsia="微软雅黑"/>
          <w:i w:val="0"/>
          <w:iCs/>
        </w:rPr>
        <w:instrText>导</w:instrText>
      </w:r>
      <w:r>
        <w:rPr>
          <w:i w:val="0"/>
          <w:iCs/>
        </w:rPr>
        <w:instrText>的神</w:instrText>
      </w:r>
      <w:r>
        <w:rPr>
          <w:rFonts w:eastAsia="微软雅黑"/>
          <w:i w:val="0"/>
          <w:iCs/>
        </w:rPr>
        <w:instrText>经经经</w:instrText>
      </w:r>
      <w:r>
        <w:rPr>
          <w:i w:val="0"/>
          <w:iCs/>
        </w:rPr>
        <w:instrText>炎症、抑制小胶</w:instrText>
      </w:r>
      <w:r>
        <w:rPr>
          <w:rFonts w:eastAsia="微软雅黑"/>
          <w:i w:val="0"/>
          <w:iCs/>
        </w:rPr>
        <w:instrText>质细</w:instrText>
      </w:r>
      <w:r>
        <w:rPr>
          <w:i w:val="0"/>
          <w:iCs/>
        </w:rPr>
        <w:instrText>胞外泌体合成和分泌以及促</w:instrText>
      </w:r>
      <w:r>
        <w:rPr>
          <w:rFonts w:eastAsia="微软雅黑"/>
          <w:i w:val="0"/>
          <w:iCs/>
        </w:rPr>
        <w:instrText>进</w:instrText>
      </w:r>
      <w:r>
        <w:rPr>
          <w:i w:val="0"/>
          <w:iCs/>
        </w:rPr>
        <w:instrText>小胶</w:instrText>
      </w:r>
      <w:r>
        <w:rPr>
          <w:rFonts w:eastAsia="微软雅黑"/>
          <w:i w:val="0"/>
          <w:iCs/>
        </w:rPr>
        <w:instrText>质细</w:instrText>
      </w:r>
      <w:r>
        <w:rPr>
          <w:i w:val="0"/>
          <w:iCs/>
        </w:rPr>
        <w:instrText>胞</w:instrText>
      </w:r>
      <w:r>
        <w:rPr>
          <w:rFonts w:eastAsia="微软雅黑"/>
          <w:i w:val="0"/>
          <w:iCs/>
        </w:rPr>
        <w:instrText>转</w:instrText>
      </w:r>
      <w:r>
        <w:rPr>
          <w:i w:val="0"/>
          <w:iCs/>
        </w:rPr>
        <w:instrText>化</w:instrText>
      </w:r>
      <w:r>
        <w:rPr>
          <w:rFonts w:eastAsia="微软雅黑"/>
          <w:i w:val="0"/>
          <w:iCs/>
        </w:rPr>
        <w:instrText>为</w:instrText>
      </w:r>
      <w:r>
        <w:rPr>
          <w:i w:val="0"/>
          <w:iCs/>
        </w:rPr>
        <w:instrText>保</w:instrText>
      </w:r>
      <w:r>
        <w:rPr>
          <w:rFonts w:eastAsia="微软雅黑"/>
          <w:i w:val="0"/>
          <w:iCs/>
        </w:rPr>
        <w:instrText>护</w:instrText>
      </w:r>
      <w:r>
        <w:rPr>
          <w:i w:val="0"/>
          <w:iCs/>
        </w:rPr>
        <w:instrText>性表型被</w:instrText>
      </w:r>
      <w:r>
        <w:rPr>
          <w:rFonts w:eastAsia="微软雅黑"/>
          <w:i w:val="0"/>
          <w:iCs/>
        </w:rPr>
        <w:instrText>认为</w:instrText>
      </w:r>
      <w:r>
        <w:rPr>
          <w:i w:val="0"/>
          <w:iCs/>
        </w:rPr>
        <w:instrText>是治</w:instrText>
      </w:r>
      <w:r>
        <w:rPr>
          <w:rFonts w:eastAsia="微软雅黑"/>
          <w:i w:val="0"/>
          <w:iCs/>
        </w:rPr>
        <w:instrText>疗</w:instrText>
      </w:r>
      <w:r>
        <w:rPr>
          <w:i w:val="0"/>
          <w:iCs/>
        </w:rPr>
        <w:instrText>神</w:instrText>
      </w:r>
      <w:r>
        <w:rPr>
          <w:rFonts w:eastAsia="微软雅黑"/>
          <w:i w:val="0"/>
          <w:iCs/>
        </w:rPr>
        <w:instrText>经</w:instrText>
      </w:r>
      <w:r>
        <w:rPr>
          <w:i w:val="0"/>
          <w:iCs/>
        </w:rPr>
        <w:instrText>退行性疾病的有前景的策略。本文</w:instrText>
      </w:r>
      <w:r>
        <w:rPr>
          <w:rFonts w:eastAsia="微软雅黑"/>
          <w:i w:val="0"/>
          <w:iCs/>
        </w:rPr>
        <w:instrText>综</w:instrText>
      </w:r>
      <w:r>
        <w:rPr>
          <w:i w:val="0"/>
          <w:iCs/>
        </w:rPr>
        <w:instrText>述了小胶</w:instrText>
      </w:r>
      <w:r>
        <w:rPr>
          <w:rFonts w:eastAsia="微软雅黑"/>
          <w:i w:val="0"/>
          <w:iCs/>
        </w:rPr>
        <w:instrText>质细</w:instrText>
      </w:r>
      <w:r>
        <w:rPr>
          <w:i w:val="0"/>
          <w:iCs/>
        </w:rPr>
        <w:instrText>胞的生物学特性及其在神</w:instrText>
      </w:r>
      <w:r>
        <w:rPr>
          <w:rFonts w:eastAsia="微软雅黑"/>
          <w:i w:val="0"/>
          <w:iCs/>
        </w:rPr>
        <w:instrText>经</w:instrText>
      </w:r>
      <w:r>
        <w:rPr>
          <w:i w:val="0"/>
          <w:iCs/>
        </w:rPr>
        <w:instrText>退行性疾病中的作用，包括阿</w:instrText>
      </w:r>
      <w:r>
        <w:rPr>
          <w:rFonts w:eastAsia="微软雅黑"/>
          <w:i w:val="0"/>
          <w:iCs/>
        </w:rPr>
        <w:instrText>尔</w:instrText>
      </w:r>
      <w:r>
        <w:rPr>
          <w:i w:val="0"/>
          <w:iCs/>
        </w:rPr>
        <w:instrText>茨海默病、帕金森病、多系</w:instrText>
      </w:r>
      <w:r>
        <w:rPr>
          <w:rFonts w:eastAsia="微软雅黑"/>
          <w:i w:val="0"/>
          <w:iCs/>
        </w:rPr>
        <w:instrText>统</w:instrText>
      </w:r>
      <w:r>
        <w:rPr>
          <w:i w:val="0"/>
          <w:iCs/>
        </w:rPr>
        <w:instrText>萎</w:instrText>
      </w:r>
      <w:r>
        <w:rPr>
          <w:rFonts w:eastAsia="微软雅黑"/>
          <w:i w:val="0"/>
          <w:iCs/>
        </w:rPr>
        <w:instrText>缩</w:instrText>
      </w:r>
      <w:r>
        <w:rPr>
          <w:i w:val="0"/>
          <w:iCs/>
        </w:rPr>
        <w:instrText>、肌萎</w:instrText>
      </w:r>
      <w:r>
        <w:rPr>
          <w:rFonts w:eastAsia="微软雅黑"/>
          <w:i w:val="0"/>
          <w:iCs/>
        </w:rPr>
        <w:instrText>缩</w:instrText>
      </w:r>
      <w:r>
        <w:rPr>
          <w:i w:val="0"/>
          <w:iCs/>
        </w:rPr>
        <w:instrText>性</w:instrText>
      </w:r>
      <w:r>
        <w:rPr>
          <w:rFonts w:eastAsia="微软雅黑"/>
          <w:i w:val="0"/>
          <w:iCs/>
        </w:rPr>
        <w:instrText>侧</w:instrText>
      </w:r>
      <w:r>
        <w:rPr>
          <w:i w:val="0"/>
          <w:iCs/>
        </w:rPr>
        <w:instrText>索硬化、</w:instrText>
      </w:r>
      <w:r>
        <w:rPr>
          <w:rFonts w:eastAsia="微软雅黑"/>
          <w:i w:val="0"/>
          <w:iCs/>
        </w:rPr>
        <w:instrText>额颞</w:instrText>
      </w:r>
      <w:r>
        <w:rPr>
          <w:i w:val="0"/>
          <w:iCs/>
        </w:rPr>
        <w:instrText>型神</w:instrText>
      </w:r>
      <w:r>
        <w:rPr>
          <w:rFonts w:eastAsia="微软雅黑"/>
          <w:i w:val="0"/>
          <w:iCs/>
        </w:rPr>
        <w:instrText>经经</w:instrText>
      </w:r>
      <w:r>
        <w:rPr>
          <w:i w:val="0"/>
          <w:iCs/>
        </w:rPr>
        <w:instrText>炎症、</w:instrText>
      </w:r>
      <w:r>
        <w:rPr>
          <w:rFonts w:eastAsia="微软雅黑"/>
          <w:i w:val="0"/>
          <w:iCs/>
        </w:rPr>
        <w:instrText>进</w:instrText>
      </w:r>
      <w:r>
        <w:rPr>
          <w:i w:val="0"/>
          <w:iCs/>
        </w:rPr>
        <w:instrText>行性核上性麻痹、皮</w:instrText>
      </w:r>
      <w:r>
        <w:rPr>
          <w:rFonts w:eastAsia="微软雅黑"/>
          <w:i w:val="0"/>
          <w:iCs/>
        </w:rPr>
        <w:instrText>质</w:instrText>
      </w:r>
      <w:r>
        <w:rPr>
          <w:i w:val="0"/>
          <w:iCs/>
        </w:rPr>
        <w:instrText>基底神</w:instrText>
      </w:r>
      <w:r>
        <w:rPr>
          <w:rFonts w:eastAsia="微软雅黑"/>
          <w:i w:val="0"/>
          <w:iCs/>
        </w:rPr>
        <w:instrText>经</w:instrText>
      </w:r>
      <w:r>
        <w:rPr>
          <w:i w:val="0"/>
          <w:iCs/>
        </w:rPr>
        <w:instrText>退行性疾病、路易氏体型神</w:instrText>
      </w:r>
      <w:r>
        <w:rPr>
          <w:rFonts w:eastAsia="微软雅黑"/>
          <w:i w:val="0"/>
          <w:iCs/>
        </w:rPr>
        <w:instrText>经</w:instrText>
      </w:r>
      <w:r>
        <w:rPr>
          <w:i w:val="0"/>
          <w:iCs/>
        </w:rPr>
        <w:instrText>退行性疾病和亨丁</w:instrText>
      </w:r>
      <w:r>
        <w:rPr>
          <w:rFonts w:eastAsia="微软雅黑"/>
          <w:i w:val="0"/>
          <w:iCs/>
        </w:rPr>
        <w:instrText>顿</w:instrText>
      </w:r>
      <w:r>
        <w:rPr>
          <w:i w:val="0"/>
          <w:iCs/>
        </w:rPr>
        <w:instrText>舞蹈症。我</w:instrText>
      </w:r>
      <w:r>
        <w:rPr>
          <w:rFonts w:eastAsia="微软雅黑"/>
          <w:i w:val="0"/>
          <w:iCs/>
        </w:rPr>
        <w:instrText>们还总结</w:instrText>
      </w:r>
      <w:r>
        <w:rPr>
          <w:i w:val="0"/>
          <w:iCs/>
        </w:rPr>
        <w:instrText>了</w:instrText>
      </w:r>
      <w:r>
        <w:rPr>
          <w:rFonts w:eastAsia="微软雅黑"/>
          <w:i w:val="0"/>
          <w:iCs/>
        </w:rPr>
        <w:instrText>针对</w:instrText>
      </w:r>
      <w:r>
        <w:rPr>
          <w:i w:val="0"/>
          <w:iCs/>
        </w:rPr>
        <w:instrText>神</w:instrText>
      </w:r>
      <w:r>
        <w:rPr>
          <w:rFonts w:eastAsia="微软雅黑"/>
          <w:i w:val="0"/>
          <w:iCs/>
        </w:rPr>
        <w:instrText>经</w:instrText>
      </w:r>
      <w:r>
        <w:rPr>
          <w:i w:val="0"/>
          <w:iCs/>
        </w:rPr>
        <w:instrText>退行性疾病的可能的小胶</w:instrText>
      </w:r>
      <w:r>
        <w:rPr>
          <w:rFonts w:eastAsia="微软雅黑"/>
          <w:i w:val="0"/>
          <w:iCs/>
        </w:rPr>
        <w:instrText>质细</w:instrText>
      </w:r>
      <w:r>
        <w:rPr>
          <w:i w:val="0"/>
          <w:iCs/>
        </w:rPr>
        <w:instrText>胞靶向干</w:instrText>
      </w:r>
      <w:r>
        <w:rPr>
          <w:rFonts w:eastAsia="微软雅黑"/>
          <w:i w:val="0"/>
          <w:iCs/>
        </w:rPr>
        <w:instrText>预</w:instrText>
      </w:r>
      <w:r>
        <w:rPr>
          <w:i w:val="0"/>
          <w:iCs/>
        </w:rPr>
        <w:instrText>和治</w:instrText>
      </w:r>
      <w:r>
        <w:rPr>
          <w:rFonts w:eastAsia="微软雅黑"/>
          <w:i w:val="0"/>
          <w:iCs/>
        </w:rPr>
        <w:instrText>疗</w:instrText>
      </w:r>
      <w:r>
        <w:rPr>
          <w:i w:val="0"/>
          <w:iCs/>
        </w:rPr>
        <w:instrText>方法，并在</w:instrText>
      </w:r>
      <w:r>
        <w:rPr>
          <w:rFonts w:eastAsia="微软雅黑"/>
          <w:i w:val="0"/>
          <w:iCs/>
        </w:rPr>
        <w:instrText>细</w:instrText>
      </w:r>
      <w:r>
        <w:rPr>
          <w:i w:val="0"/>
          <w:iCs/>
        </w:rPr>
        <w:instrText>胞</w:instrText>
      </w:r>
      <w:r>
        <w:rPr>
          <w:rFonts w:eastAsia="微软雅黑"/>
          <w:i w:val="0"/>
          <w:iCs/>
        </w:rPr>
        <w:instrText>实验</w:instrText>
      </w:r>
      <w:r>
        <w:rPr>
          <w:i w:val="0"/>
          <w:iCs/>
        </w:rPr>
        <w:instrText>、</w:instrText>
      </w:r>
      <w:r>
        <w:rPr>
          <w:rFonts w:eastAsia="微软雅黑"/>
          <w:i w:val="0"/>
          <w:iCs/>
        </w:rPr>
        <w:instrText>动</w:instrText>
      </w:r>
      <w:r>
        <w:rPr>
          <w:i w:val="0"/>
          <w:iCs/>
        </w:rPr>
        <w:instrText>物研究和</w:instrText>
      </w:r>
      <w:r>
        <w:rPr>
          <w:rFonts w:eastAsia="微软雅黑"/>
          <w:i w:val="0"/>
          <w:iCs/>
        </w:rPr>
        <w:instrText>临</w:instrText>
      </w:r>
      <w:r>
        <w:rPr>
          <w:i w:val="0"/>
          <w:iCs/>
        </w:rPr>
        <w:instrText>床</w:instrText>
      </w:r>
      <w:r>
        <w:rPr>
          <w:rFonts w:eastAsia="微软雅黑"/>
          <w:i w:val="0"/>
          <w:iCs/>
        </w:rPr>
        <w:instrText>试验</w:instrText>
      </w:r>
      <w:r>
        <w:rPr>
          <w:i w:val="0"/>
          <w:iCs/>
        </w:rPr>
        <w:instrText>中提供了</w:instrText>
      </w:r>
      <w:r>
        <w:rPr>
          <w:rFonts w:eastAsia="微软雅黑"/>
          <w:i w:val="0"/>
          <w:iCs/>
        </w:rPr>
        <w:instrText>临</w:instrText>
      </w:r>
      <w:r>
        <w:rPr>
          <w:i w:val="0"/>
          <w:iCs/>
        </w:rPr>
        <w:instrText>床前和</w:instrText>
      </w:r>
      <w:r>
        <w:rPr>
          <w:rFonts w:eastAsia="微软雅黑"/>
          <w:i w:val="0"/>
          <w:iCs/>
        </w:rPr>
        <w:instrText>临</w:instrText>
      </w:r>
      <w:r>
        <w:rPr>
          <w:i w:val="0"/>
          <w:iCs/>
        </w:rPr>
        <w:instrText>床</w:instrText>
      </w:r>
      <w:r>
        <w:rPr>
          <w:rFonts w:eastAsia="微软雅黑"/>
          <w:i w:val="0"/>
          <w:iCs/>
        </w:rPr>
        <w:instrText>证</w:instrText>
      </w:r>
      <w:r>
        <w:rPr>
          <w:i w:val="0"/>
          <w:iCs/>
        </w:rPr>
        <w:instrText>据。</w:instrText>
      </w:r>
      <w:r>
        <w:rPr>
          <w:i w:val="0"/>
          <w:iCs/>
        </w:rPr>
        <w:instrText>","call-number":"1","container-title":"Signal Transduction and Targeted Therapy","DOI":"10.1038/s41392-023-01588-0","ISSN":"2059-3635","issue":"1","journalAbbreviation":"Sig Transduct Target Ther","language":"en","note":"TLDR: The biology of microglia and the roles ofmicroglia in neurodegenerative diseases, including Alzheimer's disease, Parkinson’s disease, multiple system atrophy, amyotrophic lateral sclerosis, frontotemporal dementia, progressive supranuclear palsy, corticobasal degeneration, dementia with Lewy bodies and Huntington's disease are reviewed.","page":"359","PMID":"37735487","PMCID":"PMC10514343","source":"40.8 (Q1)","title":"Microglia in neurodegenerative diseases: mechanism and potential therapeutic targets","title-short":"</w:instrText>
      </w:r>
      <w:r>
        <w:rPr>
          <w:i w:val="0"/>
          <w:iCs/>
        </w:rPr>
        <w:instrText>神</w:instrText>
      </w:r>
      <w:r>
        <w:rPr>
          <w:rFonts w:eastAsia="微软雅黑"/>
          <w:i w:val="0"/>
          <w:iCs/>
        </w:rPr>
        <w:instrText>经</w:instrText>
      </w:r>
      <w:r>
        <w:rPr>
          <w:i w:val="0"/>
          <w:iCs/>
        </w:rPr>
        <w:instrText>退行性疾病中的小胶</w:instrText>
      </w:r>
      <w:r>
        <w:rPr>
          <w:rFonts w:eastAsia="微软雅黑"/>
          <w:i w:val="0"/>
          <w:iCs/>
        </w:rPr>
        <w:instrText>质细</w:instrText>
      </w:r>
      <w:r>
        <w:rPr>
          <w:i w:val="0"/>
          <w:iCs/>
        </w:rPr>
        <w:instrText>胞：机制和潜在治</w:instrText>
      </w:r>
      <w:r>
        <w:rPr>
          <w:rFonts w:eastAsia="微软雅黑"/>
          <w:i w:val="0"/>
          <w:iCs/>
        </w:rPr>
        <w:instrText>疗</w:instrText>
      </w:r>
      <w:r>
        <w:rPr>
          <w:i w:val="0"/>
          <w:iCs/>
        </w:rPr>
        <w:instrText>靶点</w:instrText>
      </w:r>
      <w:r>
        <w:rPr>
          <w:i w:val="0"/>
          <w:iCs/>
        </w:rPr>
        <w:instrText>","volume":"8","author":[{"family":"Gao","given":"Chao"},{"family":"Jiang","given":"Jingwen"},{"family":"Tan","given":"Yuyan"},{"family":"Chen","given":"Shengdi"}],"issued":{"date-parts":[["2023",9,22]]}}},{"id":14084,"uris":["http://zotero.org/users/9311172/items/E77DM6M2"],"itemData":{"id":14084,"type":"article-journal","abstract":"It is known that microglia morphology and function are closely related, but only few studies have objectively described different morphological subtypes. To address this issue, morphological parameters of microglial cells were analyzed in a rat model of aseptic neuroinflammation. After the injection of a single dose of the enzyme neuraminidase (NA) within the lateral ventricle (LV) an acute inflammatory process occurs. Sections from NA-injected animals and sham controls were immunolabeled with the microglial marker IBA1, which highlights ramifications and features of the cell shape. Using images obtained by section scanning, individual microglial cells were sampled from various regions (septofimbrial nucleus, hippocampus and hypothalamus) at different times post-injection (2, 4 and 12 h). Each cell yielded a set of 15 morphological parameters by means of image analysis software. Five initial parameters (including fractal measures) were statistically different in cells from NA-injected rats (most of them IL-1β positive, i.e., M1-state) compared to those from control animals (none of them IL-1β positive, i.e., surveillant state). However, additional multimodal parameters were revealed more suitable for hierarchical cluster analysis (HCA). This method pointed out the classification of microglia population in four clusters. Furthermore, a linear discriminant analysis (LDA) suggested three specific parameters to objectively classify any microglia by a decision tree. In addition, a principal components analysis (PCA) revealed two extra valuable variables that allowed to further classifying microglia in a total of eight sub-clusters or types. The spatio-temporal distribution of these different morphotypes in our rat inflammation model allowed to relate specific morphotypes with microglial activation status and brain location. An objective method for microglia classification based on morphological parameters is proposed. Main points Microglia undergo a quantifiable morphological change upon neuraminidase induced inflammation.Hierarchical cluster and principal components analysis allow morphological classification of microglia.Brain location of microglia is a relevant factor.\n\n</w:instrText>
      </w:r>
      <w:r>
        <w:rPr>
          <w:i w:val="0"/>
          <w:iCs/>
        </w:rPr>
        <w:instrText>【摘要翻</w:instrText>
      </w:r>
      <w:r>
        <w:rPr>
          <w:rFonts w:eastAsia="微软雅黑"/>
          <w:i w:val="0"/>
          <w:iCs/>
        </w:rPr>
        <w:instrText>译</w:instrText>
      </w:r>
      <w:r>
        <w:rPr>
          <w:i w:val="0"/>
          <w:iCs/>
        </w:rPr>
        <w:instrText>】众所周知，小胶</w:instrText>
      </w:r>
      <w:r>
        <w:rPr>
          <w:rFonts w:eastAsia="微软雅黑"/>
          <w:i w:val="0"/>
          <w:iCs/>
        </w:rPr>
        <w:instrText>质细</w:instrText>
      </w:r>
      <w:r>
        <w:rPr>
          <w:i w:val="0"/>
          <w:iCs/>
        </w:rPr>
        <w:instrText>胞的形</w:instrText>
      </w:r>
      <w:r>
        <w:rPr>
          <w:rFonts w:eastAsia="微软雅黑"/>
          <w:i w:val="0"/>
          <w:iCs/>
        </w:rPr>
        <w:instrText>态</w:instrText>
      </w:r>
      <w:r>
        <w:rPr>
          <w:i w:val="0"/>
          <w:iCs/>
        </w:rPr>
        <w:instrText>和功能密切相关，但只有少数研究客</w:instrText>
      </w:r>
      <w:r>
        <w:rPr>
          <w:rFonts w:eastAsia="微软雅黑"/>
          <w:i w:val="0"/>
          <w:iCs/>
        </w:rPr>
        <w:instrText>观</w:instrText>
      </w:r>
      <w:r>
        <w:rPr>
          <w:i w:val="0"/>
          <w:iCs/>
        </w:rPr>
        <w:instrText>描述了不同的形</w:instrText>
      </w:r>
      <w:r>
        <w:rPr>
          <w:rFonts w:eastAsia="微软雅黑"/>
          <w:i w:val="0"/>
          <w:iCs/>
        </w:rPr>
        <w:instrText>态亚</w:instrText>
      </w:r>
      <w:r>
        <w:rPr>
          <w:i w:val="0"/>
          <w:iCs/>
        </w:rPr>
        <w:instrText>型。</w:instrText>
      </w:r>
      <w:r>
        <w:rPr>
          <w:rFonts w:eastAsia="微软雅黑"/>
          <w:i w:val="0"/>
          <w:iCs/>
        </w:rPr>
        <w:instrText>为</w:instrText>
      </w:r>
      <w:r>
        <w:rPr>
          <w:i w:val="0"/>
          <w:iCs/>
        </w:rPr>
        <w:instrText>了解决</w:instrText>
      </w:r>
      <w:r>
        <w:rPr>
          <w:rFonts w:eastAsia="微软雅黑"/>
          <w:i w:val="0"/>
          <w:iCs/>
        </w:rPr>
        <w:instrText>这</w:instrText>
      </w:r>
      <w:r>
        <w:rPr>
          <w:i w:val="0"/>
          <w:iCs/>
        </w:rPr>
        <w:instrText>个</w:instrText>
      </w:r>
      <w:r>
        <w:rPr>
          <w:rFonts w:eastAsia="微软雅黑"/>
          <w:i w:val="0"/>
          <w:iCs/>
        </w:rPr>
        <w:instrText>问题</w:instrText>
      </w:r>
      <w:r>
        <w:rPr>
          <w:i w:val="0"/>
          <w:iCs/>
        </w:rPr>
        <w:instrText>，我</w:instrText>
      </w:r>
      <w:r>
        <w:rPr>
          <w:rFonts w:eastAsia="微软雅黑"/>
          <w:i w:val="0"/>
          <w:iCs/>
        </w:rPr>
        <w:instrText>们</w:instrText>
      </w:r>
      <w:r>
        <w:rPr>
          <w:i w:val="0"/>
          <w:iCs/>
        </w:rPr>
        <w:instrText>在无菌神</w:instrText>
      </w:r>
      <w:r>
        <w:rPr>
          <w:rFonts w:eastAsia="微软雅黑"/>
          <w:i w:val="0"/>
          <w:iCs/>
        </w:rPr>
        <w:instrText>经</w:instrText>
      </w:r>
      <w:r>
        <w:rPr>
          <w:i w:val="0"/>
          <w:iCs/>
        </w:rPr>
        <w:instrText>炎症的大鼠模型中分析了小胶</w:instrText>
      </w:r>
      <w:r>
        <w:rPr>
          <w:rFonts w:eastAsia="微软雅黑"/>
          <w:i w:val="0"/>
          <w:iCs/>
        </w:rPr>
        <w:instrText>质细</w:instrText>
      </w:r>
      <w:r>
        <w:rPr>
          <w:i w:val="0"/>
          <w:iCs/>
        </w:rPr>
        <w:instrText>胞的形</w:instrText>
      </w:r>
      <w:r>
        <w:rPr>
          <w:rFonts w:eastAsia="微软雅黑"/>
          <w:i w:val="0"/>
          <w:iCs/>
        </w:rPr>
        <w:instrText>态</w:instrText>
      </w:r>
      <w:r>
        <w:rPr>
          <w:i w:val="0"/>
          <w:iCs/>
        </w:rPr>
        <w:instrText>学参数。在</w:instrText>
      </w:r>
      <w:r>
        <w:rPr>
          <w:rFonts w:eastAsia="微软雅黑"/>
          <w:i w:val="0"/>
          <w:iCs/>
        </w:rPr>
        <w:instrText>侧脑</w:instrText>
      </w:r>
      <w:r>
        <w:rPr>
          <w:i w:val="0"/>
          <w:iCs/>
        </w:rPr>
        <w:instrText>室</w:instrText>
      </w:r>
      <w:r>
        <w:rPr>
          <w:i w:val="0"/>
          <w:iCs/>
        </w:rPr>
        <w:instrText>(LV)</w:instrText>
      </w:r>
      <w:r>
        <w:rPr>
          <w:i w:val="0"/>
          <w:iCs/>
        </w:rPr>
        <w:instrText>内注射</w:instrText>
      </w:r>
      <w:r>
        <w:rPr>
          <w:rFonts w:eastAsia="微软雅黑"/>
          <w:i w:val="0"/>
          <w:iCs/>
        </w:rPr>
        <w:instrText>单剂</w:instrText>
      </w:r>
      <w:r>
        <w:rPr>
          <w:i w:val="0"/>
          <w:iCs/>
        </w:rPr>
        <w:instrText>量的神</w:instrText>
      </w:r>
      <w:r>
        <w:rPr>
          <w:rFonts w:eastAsia="微软雅黑"/>
          <w:i w:val="0"/>
          <w:iCs/>
        </w:rPr>
        <w:instrText>经</w:instrText>
      </w:r>
      <w:r>
        <w:rPr>
          <w:i w:val="0"/>
          <w:iCs/>
        </w:rPr>
        <w:instrText>氨酸</w:instrText>
      </w:r>
      <w:r>
        <w:rPr>
          <w:rFonts w:eastAsia="微软雅黑"/>
          <w:i w:val="0"/>
          <w:iCs/>
        </w:rPr>
        <w:instrText>酶</w:instrText>
      </w:r>
      <w:r>
        <w:rPr>
          <w:i w:val="0"/>
          <w:iCs/>
        </w:rPr>
        <w:instrText>(NA)</w:instrText>
      </w:r>
      <w:r>
        <w:rPr>
          <w:i w:val="0"/>
          <w:iCs/>
        </w:rPr>
        <w:instrText>后，</w:instrText>
      </w:r>
      <w:r>
        <w:rPr>
          <w:rFonts w:eastAsia="微软雅黑"/>
          <w:i w:val="0"/>
          <w:iCs/>
        </w:rPr>
        <w:instrText>发</w:instrText>
      </w:r>
      <w:r>
        <w:rPr>
          <w:i w:val="0"/>
          <w:iCs/>
        </w:rPr>
        <w:instrText>生急性炎症</w:instrText>
      </w:r>
      <w:r>
        <w:rPr>
          <w:rFonts w:eastAsia="微软雅黑"/>
          <w:i w:val="0"/>
          <w:iCs/>
        </w:rPr>
        <w:instrText>过</w:instrText>
      </w:r>
      <w:r>
        <w:rPr>
          <w:i w:val="0"/>
          <w:iCs/>
        </w:rPr>
        <w:instrText>程。注射</w:instrText>
      </w:r>
      <w:r>
        <w:rPr>
          <w:i w:val="0"/>
          <w:iCs/>
        </w:rPr>
        <w:instrText xml:space="preserve"> NA </w:instrText>
      </w:r>
      <w:r>
        <w:rPr>
          <w:i w:val="0"/>
          <w:iCs/>
        </w:rPr>
        <w:instrText>的</w:instrText>
      </w:r>
      <w:r>
        <w:rPr>
          <w:rFonts w:eastAsia="微软雅黑"/>
          <w:i w:val="0"/>
          <w:iCs/>
        </w:rPr>
        <w:instrText>动</w:instrText>
      </w:r>
      <w:r>
        <w:rPr>
          <w:i w:val="0"/>
          <w:iCs/>
        </w:rPr>
        <w:instrText>物和假</w:instrText>
      </w:r>
      <w:r>
        <w:rPr>
          <w:rFonts w:eastAsia="微软雅黑"/>
          <w:i w:val="0"/>
          <w:iCs/>
        </w:rPr>
        <w:instrText>对</w:instrText>
      </w:r>
      <w:r>
        <w:rPr>
          <w:i w:val="0"/>
          <w:iCs/>
        </w:rPr>
        <w:instrText>照的切片用小胶</w:instrText>
      </w:r>
      <w:r>
        <w:rPr>
          <w:rFonts w:eastAsia="微软雅黑"/>
          <w:i w:val="0"/>
          <w:iCs/>
        </w:rPr>
        <w:instrText>质细</w:instrText>
      </w:r>
      <w:r>
        <w:rPr>
          <w:i w:val="0"/>
          <w:iCs/>
        </w:rPr>
        <w:instrText>胞</w:instrText>
      </w:r>
      <w:r>
        <w:rPr>
          <w:rFonts w:eastAsia="微软雅黑"/>
          <w:i w:val="0"/>
          <w:iCs/>
        </w:rPr>
        <w:instrText>标记</w:instrText>
      </w:r>
      <w:r>
        <w:rPr>
          <w:i w:val="0"/>
          <w:iCs/>
        </w:rPr>
        <w:instrText>物</w:instrText>
      </w:r>
      <w:r>
        <w:rPr>
          <w:i w:val="0"/>
          <w:iCs/>
        </w:rPr>
        <w:instrText xml:space="preserve"> IBA1</w:instrText>
      </w:r>
      <w:r>
        <w:rPr>
          <w:rFonts w:eastAsia="微软雅黑"/>
          <w:i w:val="0"/>
          <w:iCs/>
        </w:rPr>
        <w:instrText>进</w:instrText>
      </w:r>
      <w:r>
        <w:rPr>
          <w:i w:val="0"/>
          <w:iCs/>
        </w:rPr>
        <w:instrText>行免疫</w:instrText>
      </w:r>
      <w:r>
        <w:rPr>
          <w:rFonts w:eastAsia="微软雅黑"/>
          <w:i w:val="0"/>
          <w:iCs/>
        </w:rPr>
        <w:instrText>标记</w:instrText>
      </w:r>
      <w:r>
        <w:rPr>
          <w:i w:val="0"/>
          <w:iCs/>
        </w:rPr>
        <w:instrText>，</w:instrText>
      </w:r>
      <w:r>
        <w:rPr>
          <w:rFonts w:eastAsia="微软雅黑"/>
          <w:i w:val="0"/>
          <w:iCs/>
        </w:rPr>
        <w:instrText>这</w:instrText>
      </w:r>
      <w:r>
        <w:rPr>
          <w:i w:val="0"/>
          <w:iCs/>
        </w:rPr>
        <w:instrText>突出了</w:instrText>
      </w:r>
      <w:r>
        <w:rPr>
          <w:rFonts w:eastAsia="微软雅黑"/>
          <w:i w:val="0"/>
          <w:iCs/>
        </w:rPr>
        <w:instrText>细</w:instrText>
      </w:r>
      <w:r>
        <w:rPr>
          <w:i w:val="0"/>
          <w:iCs/>
        </w:rPr>
        <w:instrText>胞形状的分支和特征。使用切片</w:instrText>
      </w:r>
      <w:r>
        <w:rPr>
          <w:rFonts w:eastAsia="微软雅黑"/>
          <w:i w:val="0"/>
          <w:iCs/>
        </w:rPr>
        <w:instrText>扫</w:instrText>
      </w:r>
      <w:r>
        <w:rPr>
          <w:i w:val="0"/>
          <w:iCs/>
        </w:rPr>
        <w:instrText>描</w:instrText>
      </w:r>
      <w:r>
        <w:rPr>
          <w:rFonts w:eastAsia="微软雅黑"/>
          <w:i w:val="0"/>
          <w:iCs/>
        </w:rPr>
        <w:instrText>获</w:instrText>
      </w:r>
      <w:r>
        <w:rPr>
          <w:i w:val="0"/>
          <w:iCs/>
        </w:rPr>
        <w:instrText>得的</w:instrText>
      </w:r>
      <w:r>
        <w:rPr>
          <w:rFonts w:eastAsia="微软雅黑"/>
          <w:i w:val="0"/>
          <w:iCs/>
        </w:rPr>
        <w:instrText>图</w:instrText>
      </w:r>
      <w:r>
        <w:rPr>
          <w:i w:val="0"/>
          <w:iCs/>
        </w:rPr>
        <w:instrText>像，在注射后不同</w:instrText>
      </w:r>
      <w:r>
        <w:rPr>
          <w:rFonts w:eastAsia="微软雅黑"/>
          <w:i w:val="0"/>
          <w:iCs/>
        </w:rPr>
        <w:instrText>时间</w:instrText>
      </w:r>
      <w:r>
        <w:rPr>
          <w:i w:val="0"/>
          <w:iCs/>
        </w:rPr>
        <w:instrText>(2,4</w:instrText>
      </w:r>
      <w:r>
        <w:rPr>
          <w:i w:val="0"/>
          <w:iCs/>
        </w:rPr>
        <w:instrText>和</w:instrText>
      </w:r>
      <w:r>
        <w:rPr>
          <w:i w:val="0"/>
          <w:iCs/>
        </w:rPr>
        <w:instrText>12</w:instrText>
      </w:r>
      <w:r>
        <w:rPr>
          <w:i w:val="0"/>
          <w:iCs/>
        </w:rPr>
        <w:instrText>小</w:instrText>
      </w:r>
      <w:r>
        <w:rPr>
          <w:rFonts w:eastAsia="微软雅黑"/>
          <w:i w:val="0"/>
          <w:iCs/>
        </w:rPr>
        <w:instrText>时</w:instrText>
      </w:r>
      <w:r>
        <w:rPr>
          <w:i w:val="0"/>
          <w:iCs/>
        </w:rPr>
        <w:instrText>)</w:instrText>
      </w:r>
      <w:r>
        <w:rPr>
          <w:i w:val="0"/>
          <w:iCs/>
        </w:rPr>
        <w:instrText>从不同区域</w:instrText>
      </w:r>
      <w:r>
        <w:rPr>
          <w:i w:val="0"/>
          <w:iCs/>
        </w:rPr>
        <w:instrText>(</w:instrText>
      </w:r>
      <w:r>
        <w:rPr>
          <w:i w:val="0"/>
          <w:iCs/>
        </w:rPr>
        <w:instrText>隔膜核，海</w:instrText>
      </w:r>
      <w:r>
        <w:rPr>
          <w:rFonts w:eastAsia="微软雅黑"/>
          <w:i w:val="0"/>
          <w:iCs/>
        </w:rPr>
        <w:instrText>马</w:instrText>
      </w:r>
      <w:r>
        <w:rPr>
          <w:i w:val="0"/>
          <w:iCs/>
        </w:rPr>
        <w:instrText>和下丘</w:instrText>
      </w:r>
      <w:r>
        <w:rPr>
          <w:rFonts w:eastAsia="微软雅黑"/>
          <w:i w:val="0"/>
          <w:iCs/>
        </w:rPr>
        <w:instrText>脑</w:instrText>
      </w:r>
      <w:r>
        <w:rPr>
          <w:i w:val="0"/>
          <w:iCs/>
        </w:rPr>
        <w:instrText>)</w:instrText>
      </w:r>
      <w:r>
        <w:rPr>
          <w:i w:val="0"/>
          <w:iCs/>
        </w:rPr>
        <w:instrText>取</w:instrText>
      </w:r>
      <w:r>
        <w:rPr>
          <w:rFonts w:eastAsia="微软雅黑"/>
          <w:i w:val="0"/>
          <w:iCs/>
        </w:rPr>
        <w:instrText>样</w:instrText>
      </w:r>
      <w:r>
        <w:rPr>
          <w:i w:val="0"/>
          <w:iCs/>
        </w:rPr>
        <w:instrText>个体小胶</w:instrText>
      </w:r>
      <w:r>
        <w:rPr>
          <w:rFonts w:eastAsia="微软雅黑"/>
          <w:i w:val="0"/>
          <w:iCs/>
        </w:rPr>
        <w:instrText>质细</w:instrText>
      </w:r>
      <w:r>
        <w:rPr>
          <w:i w:val="0"/>
          <w:iCs/>
        </w:rPr>
        <w:instrText>胞。每个</w:instrText>
      </w:r>
      <w:r>
        <w:rPr>
          <w:rFonts w:eastAsia="微软雅黑"/>
          <w:i w:val="0"/>
          <w:iCs/>
        </w:rPr>
        <w:instrText>细</w:instrText>
      </w:r>
      <w:r>
        <w:rPr>
          <w:i w:val="0"/>
          <w:iCs/>
        </w:rPr>
        <w:instrText>胞通</w:instrText>
      </w:r>
      <w:r>
        <w:rPr>
          <w:rFonts w:eastAsia="微软雅黑"/>
          <w:i w:val="0"/>
          <w:iCs/>
        </w:rPr>
        <w:instrText>过图</w:instrText>
      </w:r>
      <w:r>
        <w:rPr>
          <w:i w:val="0"/>
          <w:iCs/>
        </w:rPr>
        <w:instrText>像分析</w:instrText>
      </w:r>
      <w:r>
        <w:rPr>
          <w:rFonts w:eastAsia="微软雅黑"/>
          <w:i w:val="0"/>
          <w:iCs/>
        </w:rPr>
        <w:instrText>软</w:instrText>
      </w:r>
      <w:r>
        <w:rPr>
          <w:i w:val="0"/>
          <w:iCs/>
        </w:rPr>
        <w:instrText>件得到一</w:instrText>
      </w:r>
      <w:r>
        <w:rPr>
          <w:rFonts w:eastAsia="微软雅黑"/>
          <w:i w:val="0"/>
          <w:iCs/>
        </w:rPr>
        <w:instrText>组</w:instrText>
      </w:r>
      <w:r>
        <w:rPr>
          <w:i w:val="0"/>
          <w:iCs/>
        </w:rPr>
        <w:instrText>15</w:instrText>
      </w:r>
      <w:r>
        <w:rPr>
          <w:i w:val="0"/>
          <w:iCs/>
        </w:rPr>
        <w:instrText>个形</w:instrText>
      </w:r>
      <w:r>
        <w:rPr>
          <w:rFonts w:eastAsia="微软雅黑"/>
          <w:i w:val="0"/>
          <w:iCs/>
        </w:rPr>
        <w:instrText>态</w:instrText>
      </w:r>
      <w:r>
        <w:rPr>
          <w:i w:val="0"/>
          <w:iCs/>
        </w:rPr>
        <w:instrText>学参数。来自</w:instrText>
      </w:r>
      <w:r>
        <w:rPr>
          <w:i w:val="0"/>
          <w:iCs/>
        </w:rPr>
        <w:instrText xml:space="preserve"> NA </w:instrText>
      </w:r>
      <w:r>
        <w:rPr>
          <w:i w:val="0"/>
          <w:iCs/>
        </w:rPr>
        <w:instrText>注射的大鼠</w:instrText>
      </w:r>
      <w:r>
        <w:rPr>
          <w:i w:val="0"/>
          <w:iCs/>
        </w:rPr>
        <w:instrText>(</w:instrText>
      </w:r>
      <w:r>
        <w:rPr>
          <w:i w:val="0"/>
          <w:iCs/>
        </w:rPr>
        <w:instrText>其中大多数是</w:instrText>
      </w:r>
      <w:r>
        <w:rPr>
          <w:i w:val="0"/>
          <w:iCs/>
        </w:rPr>
        <w:instrText xml:space="preserve"> IL-1β </w:instrText>
      </w:r>
      <w:r>
        <w:rPr>
          <w:i w:val="0"/>
          <w:iCs/>
        </w:rPr>
        <w:instrText>阳性，即</w:instrText>
      </w:r>
      <w:r>
        <w:rPr>
          <w:i w:val="0"/>
          <w:iCs/>
        </w:rPr>
        <w:instrText xml:space="preserve"> M1</w:instrText>
      </w:r>
      <w:r>
        <w:rPr>
          <w:i w:val="0"/>
          <w:iCs/>
        </w:rPr>
        <w:instrText>状</w:instrText>
      </w:r>
      <w:r>
        <w:rPr>
          <w:rFonts w:eastAsia="微软雅黑"/>
          <w:i w:val="0"/>
          <w:iCs/>
        </w:rPr>
        <w:instrText>态</w:instrText>
      </w:r>
      <w:r>
        <w:rPr>
          <w:i w:val="0"/>
          <w:iCs/>
        </w:rPr>
        <w:instrText>)</w:instrText>
      </w:r>
      <w:r>
        <w:rPr>
          <w:i w:val="0"/>
          <w:iCs/>
        </w:rPr>
        <w:instrText>的</w:instrText>
      </w:r>
      <w:r>
        <w:rPr>
          <w:rFonts w:eastAsia="微软雅黑"/>
          <w:i w:val="0"/>
          <w:iCs/>
        </w:rPr>
        <w:instrText>细</w:instrText>
      </w:r>
      <w:r>
        <w:rPr>
          <w:i w:val="0"/>
          <w:iCs/>
        </w:rPr>
        <w:instrText>胞与来自</w:instrText>
      </w:r>
      <w:r>
        <w:rPr>
          <w:rFonts w:eastAsia="微软雅黑"/>
          <w:i w:val="0"/>
          <w:iCs/>
        </w:rPr>
        <w:instrText>对</w:instrText>
      </w:r>
      <w:r>
        <w:rPr>
          <w:i w:val="0"/>
          <w:iCs/>
        </w:rPr>
        <w:instrText>照</w:instrText>
      </w:r>
      <w:r>
        <w:rPr>
          <w:rFonts w:eastAsia="微软雅黑"/>
          <w:i w:val="0"/>
          <w:iCs/>
        </w:rPr>
        <w:instrText>动</w:instrText>
      </w:r>
      <w:r>
        <w:rPr>
          <w:i w:val="0"/>
          <w:iCs/>
        </w:rPr>
        <w:instrText>物</w:instrText>
      </w:r>
      <w:r>
        <w:rPr>
          <w:i w:val="0"/>
          <w:iCs/>
        </w:rPr>
        <w:instrText>(</w:instrText>
      </w:r>
      <w:r>
        <w:rPr>
          <w:i w:val="0"/>
          <w:iCs/>
        </w:rPr>
        <w:instrText>其中没有</w:instrText>
      </w:r>
      <w:r>
        <w:rPr>
          <w:i w:val="0"/>
          <w:iCs/>
        </w:rPr>
        <w:instrText xml:space="preserve"> IL-1β </w:instrText>
      </w:r>
      <w:r>
        <w:rPr>
          <w:i w:val="0"/>
          <w:iCs/>
        </w:rPr>
        <w:instrText>阳性，即</w:instrText>
      </w:r>
      <w:r>
        <w:rPr>
          <w:rFonts w:eastAsia="微软雅黑"/>
          <w:i w:val="0"/>
          <w:iCs/>
        </w:rPr>
        <w:instrText>监视</w:instrText>
      </w:r>
      <w:r>
        <w:rPr>
          <w:i w:val="0"/>
          <w:iCs/>
        </w:rPr>
        <w:instrText>状</w:instrText>
      </w:r>
      <w:r>
        <w:rPr>
          <w:rFonts w:eastAsia="微软雅黑"/>
          <w:i w:val="0"/>
          <w:iCs/>
        </w:rPr>
        <w:instrText>态</w:instrText>
      </w:r>
      <w:r>
        <w:rPr>
          <w:i w:val="0"/>
          <w:iCs/>
        </w:rPr>
        <w:instrText>)</w:instrText>
      </w:r>
      <w:r>
        <w:rPr>
          <w:i w:val="0"/>
          <w:iCs/>
        </w:rPr>
        <w:instrText>的</w:instrText>
      </w:r>
      <w:r>
        <w:rPr>
          <w:rFonts w:eastAsia="微软雅黑"/>
          <w:i w:val="0"/>
          <w:iCs/>
        </w:rPr>
        <w:instrText>细</w:instrText>
      </w:r>
      <w:r>
        <w:rPr>
          <w:i w:val="0"/>
          <w:iCs/>
        </w:rPr>
        <w:instrText>胞中的五个初始参数</w:instrText>
      </w:r>
      <w:r>
        <w:rPr>
          <w:i w:val="0"/>
          <w:iCs/>
        </w:rPr>
        <w:instrText>(</w:instrText>
      </w:r>
      <w:r>
        <w:rPr>
          <w:i w:val="0"/>
          <w:iCs/>
        </w:rPr>
        <w:instrText>包括分形</w:instrText>
      </w:r>
      <w:r>
        <w:rPr>
          <w:rFonts w:eastAsia="微软雅黑"/>
          <w:i w:val="0"/>
          <w:iCs/>
        </w:rPr>
        <w:instrText>测</w:instrText>
      </w:r>
      <w:r>
        <w:rPr>
          <w:i w:val="0"/>
          <w:iCs/>
        </w:rPr>
        <w:instrText>量</w:instrText>
      </w:r>
      <w:r>
        <w:rPr>
          <w:i w:val="0"/>
          <w:iCs/>
        </w:rPr>
        <w:instrText>)</w:instrText>
      </w:r>
      <w:r>
        <w:rPr>
          <w:i w:val="0"/>
          <w:iCs/>
        </w:rPr>
        <w:instrText>有</w:instrText>
      </w:r>
      <w:r>
        <w:rPr>
          <w:rFonts w:eastAsia="微软雅黑"/>
          <w:i w:val="0"/>
          <w:iCs/>
        </w:rPr>
        <w:instrText>统计</w:instrText>
      </w:r>
      <w:r>
        <w:rPr>
          <w:i w:val="0"/>
          <w:iCs/>
        </w:rPr>
        <w:instrText>学差异。然而，</w:instrText>
      </w:r>
      <w:r>
        <w:rPr>
          <w:rFonts w:eastAsia="微软雅黑"/>
          <w:i w:val="0"/>
          <w:iCs/>
        </w:rPr>
        <w:instrText>额</w:instrText>
      </w:r>
      <w:r>
        <w:rPr>
          <w:i w:val="0"/>
          <w:iCs/>
        </w:rPr>
        <w:instrText>外的多模</w:instrText>
      </w:r>
      <w:r>
        <w:rPr>
          <w:rFonts w:eastAsia="微软雅黑"/>
          <w:i w:val="0"/>
          <w:iCs/>
        </w:rPr>
        <w:instrText>态</w:instrText>
      </w:r>
      <w:r>
        <w:rPr>
          <w:i w:val="0"/>
          <w:iCs/>
        </w:rPr>
        <w:instrText>参数</w:instrText>
      </w:r>
      <w:r>
        <w:rPr>
          <w:rFonts w:eastAsia="微软雅黑"/>
          <w:i w:val="0"/>
          <w:iCs/>
        </w:rPr>
        <w:instrText>显</w:instrText>
      </w:r>
      <w:r>
        <w:rPr>
          <w:i w:val="0"/>
          <w:iCs/>
        </w:rPr>
        <w:instrText>示更适合于分</w:instrText>
      </w:r>
      <w:r>
        <w:rPr>
          <w:rFonts w:eastAsia="微软雅黑"/>
          <w:i w:val="0"/>
          <w:iCs/>
        </w:rPr>
        <w:instrText>层</w:instrText>
      </w:r>
      <w:r>
        <w:rPr>
          <w:i w:val="0"/>
          <w:iCs/>
        </w:rPr>
        <w:instrText>数据聚</w:instrText>
      </w:r>
      <w:r>
        <w:rPr>
          <w:rFonts w:eastAsia="微软雅黑"/>
          <w:i w:val="0"/>
          <w:iCs/>
        </w:rPr>
        <w:instrText>类</w:instrText>
      </w:r>
      <w:r>
        <w:rPr>
          <w:i w:val="0"/>
          <w:iCs/>
        </w:rPr>
        <w:instrText>(HCA)</w:instrText>
      </w:r>
      <w:r>
        <w:rPr>
          <w:i w:val="0"/>
          <w:iCs/>
        </w:rPr>
        <w:instrText>。</w:instrText>
      </w:r>
      <w:r>
        <w:rPr>
          <w:rFonts w:eastAsia="微软雅黑"/>
          <w:i w:val="0"/>
          <w:iCs/>
        </w:rPr>
        <w:instrText>该</w:instrText>
      </w:r>
      <w:r>
        <w:rPr>
          <w:i w:val="0"/>
          <w:iCs/>
        </w:rPr>
        <w:instrText>方法将小胶</w:instrText>
      </w:r>
      <w:r>
        <w:rPr>
          <w:rFonts w:eastAsia="微软雅黑"/>
          <w:i w:val="0"/>
          <w:iCs/>
        </w:rPr>
        <w:instrText>质细</w:instrText>
      </w:r>
      <w:r>
        <w:rPr>
          <w:i w:val="0"/>
          <w:iCs/>
        </w:rPr>
        <w:instrText>胞分</w:instrText>
      </w:r>
      <w:r>
        <w:rPr>
          <w:rFonts w:eastAsia="微软雅黑"/>
          <w:i w:val="0"/>
          <w:iCs/>
        </w:rPr>
        <w:instrText>为</w:instrText>
      </w:r>
      <w:r>
        <w:rPr>
          <w:i w:val="0"/>
          <w:iCs/>
        </w:rPr>
        <w:instrText>四</w:instrText>
      </w:r>
      <w:r>
        <w:rPr>
          <w:rFonts w:eastAsia="微软雅黑"/>
          <w:i w:val="0"/>
          <w:iCs/>
        </w:rPr>
        <w:instrText>类</w:instrText>
      </w:r>
      <w:r>
        <w:rPr>
          <w:i w:val="0"/>
          <w:iCs/>
        </w:rPr>
        <w:instrText>。此外，一个</w:instrText>
      </w:r>
      <w:r>
        <w:rPr>
          <w:rFonts w:eastAsia="微软雅黑"/>
          <w:i w:val="0"/>
          <w:iCs/>
        </w:rPr>
        <w:instrText>线</w:instrText>
      </w:r>
      <w:r>
        <w:rPr>
          <w:i w:val="0"/>
          <w:iCs/>
        </w:rPr>
        <w:instrText>性判</w:instrText>
      </w:r>
      <w:r>
        <w:rPr>
          <w:rFonts w:eastAsia="微软雅黑"/>
          <w:i w:val="0"/>
          <w:iCs/>
        </w:rPr>
        <w:instrText>别</w:instrText>
      </w:r>
      <w:r>
        <w:rPr>
          <w:i w:val="0"/>
          <w:iCs/>
        </w:rPr>
        <w:instrText>分析</w:instrText>
      </w:r>
      <w:r>
        <w:rPr>
          <w:i w:val="0"/>
          <w:iCs/>
        </w:rPr>
        <w:instrText>(LDA)</w:instrText>
      </w:r>
      <w:r>
        <w:rPr>
          <w:i w:val="0"/>
          <w:iCs/>
        </w:rPr>
        <w:instrText>提出了三个特定的参数，可以通</w:instrText>
      </w:r>
      <w:r>
        <w:rPr>
          <w:rFonts w:eastAsia="微软雅黑"/>
          <w:i w:val="0"/>
          <w:iCs/>
        </w:rPr>
        <w:instrText>过</w:instrText>
      </w:r>
      <w:r>
        <w:rPr>
          <w:i w:val="0"/>
          <w:iCs/>
        </w:rPr>
        <w:instrText>决策</w:instrText>
      </w:r>
      <w:r>
        <w:rPr>
          <w:rFonts w:eastAsia="微软雅黑"/>
          <w:i w:val="0"/>
          <w:iCs/>
        </w:rPr>
        <w:instrText>树对</w:instrText>
      </w:r>
      <w:r>
        <w:rPr>
          <w:i w:val="0"/>
          <w:iCs/>
        </w:rPr>
        <w:instrText>任何小胶</w:instrText>
      </w:r>
      <w:r>
        <w:rPr>
          <w:rFonts w:eastAsia="微软雅黑"/>
          <w:i w:val="0"/>
          <w:iCs/>
        </w:rPr>
        <w:instrText>质细</w:instrText>
      </w:r>
      <w:r>
        <w:rPr>
          <w:i w:val="0"/>
          <w:iCs/>
        </w:rPr>
        <w:instrText>胞</w:instrText>
      </w:r>
      <w:r>
        <w:rPr>
          <w:rFonts w:eastAsia="微软雅黑"/>
          <w:i w:val="0"/>
          <w:iCs/>
        </w:rPr>
        <w:instrText>进</w:instrText>
      </w:r>
      <w:r>
        <w:rPr>
          <w:i w:val="0"/>
          <w:iCs/>
        </w:rPr>
        <w:instrText>行客</w:instrText>
      </w:r>
      <w:r>
        <w:rPr>
          <w:rFonts w:eastAsia="微软雅黑"/>
          <w:i w:val="0"/>
          <w:iCs/>
        </w:rPr>
        <w:instrText>观</w:instrText>
      </w:r>
      <w:r>
        <w:rPr>
          <w:i w:val="0"/>
          <w:iCs/>
        </w:rPr>
        <w:instrText>的分</w:instrText>
      </w:r>
      <w:r>
        <w:rPr>
          <w:rFonts w:eastAsia="微软雅黑"/>
          <w:i w:val="0"/>
          <w:iCs/>
        </w:rPr>
        <w:instrText>类</w:instrText>
      </w:r>
      <w:r>
        <w:rPr>
          <w:i w:val="0"/>
          <w:iCs/>
        </w:rPr>
        <w:instrText>。此外，主成分分析</w:instrText>
      </w:r>
      <w:r>
        <w:rPr>
          <w:i w:val="0"/>
          <w:iCs/>
        </w:rPr>
        <w:instrText>(PCA)</w:instrText>
      </w:r>
      <w:r>
        <w:rPr>
          <w:i w:val="0"/>
          <w:iCs/>
        </w:rPr>
        <w:instrText>揭示了两个</w:instrText>
      </w:r>
      <w:r>
        <w:rPr>
          <w:rFonts w:eastAsia="微软雅黑"/>
          <w:i w:val="0"/>
          <w:iCs/>
        </w:rPr>
        <w:instrText>额</w:instrText>
      </w:r>
      <w:r>
        <w:rPr>
          <w:i w:val="0"/>
          <w:iCs/>
        </w:rPr>
        <w:instrText>外的有价</w:instrText>
      </w:r>
      <w:r>
        <w:rPr>
          <w:rFonts w:eastAsia="微软雅黑"/>
          <w:i w:val="0"/>
          <w:iCs/>
        </w:rPr>
        <w:instrText>值</w:instrText>
      </w:r>
      <w:r>
        <w:rPr>
          <w:i w:val="0"/>
          <w:iCs/>
        </w:rPr>
        <w:instrText>的</w:instrText>
      </w:r>
      <w:r>
        <w:rPr>
          <w:rFonts w:eastAsia="微软雅黑"/>
          <w:i w:val="0"/>
          <w:iCs/>
        </w:rPr>
        <w:instrText>变</w:instrText>
      </w:r>
      <w:r>
        <w:rPr>
          <w:i w:val="0"/>
          <w:iCs/>
        </w:rPr>
        <w:instrText>量，允</w:instrText>
      </w:r>
      <w:r>
        <w:rPr>
          <w:rFonts w:eastAsia="微软雅黑"/>
          <w:i w:val="0"/>
          <w:iCs/>
        </w:rPr>
        <w:instrText>许进</w:instrText>
      </w:r>
      <w:r>
        <w:rPr>
          <w:i w:val="0"/>
          <w:iCs/>
        </w:rPr>
        <w:instrText>一步分</w:instrText>
      </w:r>
      <w:r>
        <w:rPr>
          <w:rFonts w:eastAsia="微软雅黑"/>
          <w:i w:val="0"/>
          <w:iCs/>
        </w:rPr>
        <w:instrText>类</w:instrText>
      </w:r>
      <w:r>
        <w:rPr>
          <w:i w:val="0"/>
          <w:iCs/>
        </w:rPr>
        <w:instrText>小胶</w:instrText>
      </w:r>
      <w:r>
        <w:rPr>
          <w:rFonts w:eastAsia="微软雅黑"/>
          <w:i w:val="0"/>
          <w:iCs/>
        </w:rPr>
        <w:instrText>质细</w:instrText>
      </w:r>
      <w:r>
        <w:rPr>
          <w:i w:val="0"/>
          <w:iCs/>
        </w:rPr>
        <w:instrText>胞在</w:instrText>
      </w:r>
      <w:r>
        <w:rPr>
          <w:rFonts w:eastAsia="微软雅黑"/>
          <w:i w:val="0"/>
          <w:iCs/>
        </w:rPr>
        <w:instrText>总</w:instrText>
      </w:r>
      <w:r>
        <w:rPr>
          <w:i w:val="0"/>
          <w:iCs/>
        </w:rPr>
        <w:instrText>共八个</w:instrText>
      </w:r>
      <w:r>
        <w:rPr>
          <w:rFonts w:eastAsia="微软雅黑"/>
          <w:i w:val="0"/>
          <w:iCs/>
        </w:rPr>
        <w:instrText>亚</w:instrText>
      </w:r>
      <w:r>
        <w:rPr>
          <w:i w:val="0"/>
          <w:iCs/>
        </w:rPr>
        <w:instrText>群或</w:instrText>
      </w:r>
      <w:r>
        <w:rPr>
          <w:rFonts w:eastAsia="微软雅黑"/>
          <w:i w:val="0"/>
          <w:iCs/>
        </w:rPr>
        <w:instrText>类</w:instrText>
      </w:r>
      <w:r>
        <w:rPr>
          <w:i w:val="0"/>
          <w:iCs/>
        </w:rPr>
        <w:instrText>型。在我</w:instrText>
      </w:r>
      <w:r>
        <w:rPr>
          <w:rFonts w:eastAsia="微软雅黑"/>
          <w:i w:val="0"/>
          <w:iCs/>
        </w:rPr>
        <w:instrText>们</w:instrText>
      </w:r>
      <w:r>
        <w:rPr>
          <w:i w:val="0"/>
          <w:iCs/>
        </w:rPr>
        <w:instrText>的大鼠炎症模型中，</w:instrText>
      </w:r>
      <w:r>
        <w:rPr>
          <w:rFonts w:eastAsia="微软雅黑"/>
          <w:i w:val="0"/>
          <w:iCs/>
        </w:rPr>
        <w:instrText>这</w:instrText>
      </w:r>
      <w:r>
        <w:rPr>
          <w:i w:val="0"/>
          <w:iCs/>
        </w:rPr>
        <w:instrText>些不同形</w:instrText>
      </w:r>
      <w:r>
        <w:rPr>
          <w:rFonts w:eastAsia="微软雅黑"/>
          <w:i w:val="0"/>
          <w:iCs/>
        </w:rPr>
        <w:instrText>态类</w:instrText>
      </w:r>
      <w:r>
        <w:rPr>
          <w:i w:val="0"/>
          <w:iCs/>
        </w:rPr>
        <w:instrText>型的</w:instrText>
      </w:r>
      <w:r>
        <w:rPr>
          <w:rFonts w:eastAsia="微软雅黑"/>
          <w:i w:val="0"/>
          <w:iCs/>
        </w:rPr>
        <w:instrText>时</w:instrText>
      </w:r>
      <w:r>
        <w:rPr>
          <w:i w:val="0"/>
          <w:iCs/>
        </w:rPr>
        <w:instrText>空分布允</w:instrText>
      </w:r>
      <w:r>
        <w:rPr>
          <w:rFonts w:eastAsia="微软雅黑"/>
          <w:i w:val="0"/>
          <w:iCs/>
        </w:rPr>
        <w:instrText>许</w:instrText>
      </w:r>
      <w:r>
        <w:rPr>
          <w:i w:val="0"/>
          <w:iCs/>
        </w:rPr>
        <w:instrText>将特定形</w:instrText>
      </w:r>
      <w:r>
        <w:rPr>
          <w:rFonts w:eastAsia="微软雅黑"/>
          <w:i w:val="0"/>
          <w:iCs/>
        </w:rPr>
        <w:instrText>态类</w:instrText>
      </w:r>
      <w:r>
        <w:rPr>
          <w:i w:val="0"/>
          <w:iCs/>
        </w:rPr>
        <w:instrText>型与小胶</w:instrText>
      </w:r>
      <w:r>
        <w:rPr>
          <w:rFonts w:eastAsia="微软雅黑"/>
          <w:i w:val="0"/>
          <w:iCs/>
        </w:rPr>
        <w:instrText>质细</w:instrText>
      </w:r>
      <w:r>
        <w:rPr>
          <w:i w:val="0"/>
          <w:iCs/>
        </w:rPr>
        <w:instrText>胞活化状</w:instrText>
      </w:r>
      <w:r>
        <w:rPr>
          <w:rFonts w:eastAsia="微软雅黑"/>
          <w:i w:val="0"/>
          <w:iCs/>
        </w:rPr>
        <w:instrText>态</w:instrText>
      </w:r>
      <w:r>
        <w:rPr>
          <w:i w:val="0"/>
          <w:iCs/>
        </w:rPr>
        <w:instrText>和</w:instrText>
      </w:r>
      <w:r>
        <w:rPr>
          <w:rFonts w:eastAsia="微软雅黑"/>
          <w:i w:val="0"/>
          <w:iCs/>
        </w:rPr>
        <w:instrText>脑</w:instrText>
      </w:r>
      <w:r>
        <w:rPr>
          <w:i w:val="0"/>
          <w:iCs/>
        </w:rPr>
        <w:instrText>部位置相关</w:instrText>
      </w:r>
      <w:r>
        <w:rPr>
          <w:rFonts w:eastAsia="微软雅黑"/>
          <w:i w:val="0"/>
          <w:iCs/>
        </w:rPr>
        <w:instrText>联</w:instrText>
      </w:r>
      <w:r>
        <w:rPr>
          <w:i w:val="0"/>
          <w:iCs/>
        </w:rPr>
        <w:instrText>。提出了一种基于形</w:instrText>
      </w:r>
      <w:r>
        <w:rPr>
          <w:rFonts w:eastAsia="微软雅黑"/>
          <w:i w:val="0"/>
          <w:iCs/>
        </w:rPr>
        <w:instrText>态</w:instrText>
      </w:r>
      <w:r>
        <w:rPr>
          <w:i w:val="0"/>
          <w:iCs/>
        </w:rPr>
        <w:instrText>学参数的小胶</w:instrText>
      </w:r>
      <w:r>
        <w:rPr>
          <w:rFonts w:eastAsia="微软雅黑"/>
          <w:i w:val="0"/>
          <w:iCs/>
        </w:rPr>
        <w:instrText>质细</w:instrText>
      </w:r>
      <w:r>
        <w:rPr>
          <w:i w:val="0"/>
          <w:iCs/>
        </w:rPr>
        <w:instrText>胞客</w:instrText>
      </w:r>
      <w:r>
        <w:rPr>
          <w:rFonts w:eastAsia="微软雅黑"/>
          <w:i w:val="0"/>
          <w:iCs/>
        </w:rPr>
        <w:instrText>观</w:instrText>
      </w:r>
      <w:r>
        <w:rPr>
          <w:i w:val="0"/>
          <w:iCs/>
        </w:rPr>
        <w:instrText>分</w:instrText>
      </w:r>
      <w:r>
        <w:rPr>
          <w:rFonts w:eastAsia="微软雅黑"/>
          <w:i w:val="0"/>
          <w:iCs/>
        </w:rPr>
        <w:instrText>类</w:instrText>
      </w:r>
      <w:r>
        <w:rPr>
          <w:i w:val="0"/>
          <w:iCs/>
        </w:rPr>
        <w:instrText>方法。小胶</w:instrText>
      </w:r>
      <w:r>
        <w:rPr>
          <w:rFonts w:eastAsia="微软雅黑"/>
          <w:i w:val="0"/>
          <w:iCs/>
        </w:rPr>
        <w:instrText>质细</w:instrText>
      </w:r>
      <w:r>
        <w:rPr>
          <w:i w:val="0"/>
          <w:iCs/>
        </w:rPr>
        <w:instrText>胞在神</w:instrText>
      </w:r>
      <w:r>
        <w:rPr>
          <w:rFonts w:eastAsia="微软雅黑"/>
          <w:i w:val="0"/>
          <w:iCs/>
        </w:rPr>
        <w:instrText>经</w:instrText>
      </w:r>
      <w:r>
        <w:rPr>
          <w:i w:val="0"/>
          <w:iCs/>
        </w:rPr>
        <w:instrText>氨酸</w:instrText>
      </w:r>
      <w:r>
        <w:rPr>
          <w:rFonts w:eastAsia="微软雅黑"/>
          <w:i w:val="0"/>
          <w:iCs/>
        </w:rPr>
        <w:instrText>酶诱导</w:instrText>
      </w:r>
      <w:r>
        <w:rPr>
          <w:i w:val="0"/>
          <w:iCs/>
        </w:rPr>
        <w:instrText>的炎症反</w:instrText>
      </w:r>
      <w:r>
        <w:rPr>
          <w:rFonts w:eastAsia="微软雅黑"/>
          <w:i w:val="0"/>
          <w:iCs/>
        </w:rPr>
        <w:instrText>应</w:instrText>
      </w:r>
      <w:r>
        <w:rPr>
          <w:i w:val="0"/>
          <w:iCs/>
        </w:rPr>
        <w:instrText>中</w:instrText>
      </w:r>
      <w:r>
        <w:rPr>
          <w:rFonts w:eastAsia="微软雅黑"/>
          <w:i w:val="0"/>
          <w:iCs/>
        </w:rPr>
        <w:instrText>发</w:instrText>
      </w:r>
      <w:r>
        <w:rPr>
          <w:i w:val="0"/>
          <w:iCs/>
        </w:rPr>
        <w:instrText>生可定量的形</w:instrText>
      </w:r>
      <w:r>
        <w:rPr>
          <w:rFonts w:eastAsia="微软雅黑"/>
          <w:i w:val="0"/>
          <w:iCs/>
        </w:rPr>
        <w:instrText>态</w:instrText>
      </w:r>
      <w:r>
        <w:rPr>
          <w:i w:val="0"/>
          <w:iCs/>
        </w:rPr>
        <w:instrText>学</w:instrText>
      </w:r>
      <w:r>
        <w:rPr>
          <w:rFonts w:eastAsia="微软雅黑"/>
          <w:i w:val="0"/>
          <w:iCs/>
        </w:rPr>
        <w:instrText>变</w:instrText>
      </w:r>
      <w:r>
        <w:rPr>
          <w:i w:val="0"/>
          <w:iCs/>
        </w:rPr>
        <w:instrText>化。</w:instrText>
      </w:r>
      <w:r>
        <w:rPr>
          <w:rFonts w:eastAsia="微软雅黑"/>
          <w:i w:val="0"/>
          <w:iCs/>
        </w:rPr>
        <w:instrText>层</w:instrText>
      </w:r>
      <w:r>
        <w:rPr>
          <w:i w:val="0"/>
          <w:iCs/>
        </w:rPr>
        <w:instrText>次聚</w:instrText>
      </w:r>
      <w:r>
        <w:rPr>
          <w:rFonts w:eastAsia="微软雅黑"/>
          <w:i w:val="0"/>
          <w:iCs/>
        </w:rPr>
        <w:instrText>类</w:instrText>
      </w:r>
      <w:r>
        <w:rPr>
          <w:i w:val="0"/>
          <w:iCs/>
        </w:rPr>
        <w:instrText>和主成分分析可以</w:instrText>
      </w:r>
      <w:r>
        <w:rPr>
          <w:rFonts w:eastAsia="微软雅黑"/>
          <w:i w:val="0"/>
          <w:iCs/>
        </w:rPr>
        <w:instrText>对</w:instrText>
      </w:r>
      <w:r>
        <w:rPr>
          <w:i w:val="0"/>
          <w:iCs/>
        </w:rPr>
        <w:instrText>小胶</w:instrText>
      </w:r>
      <w:r>
        <w:rPr>
          <w:rFonts w:eastAsia="微软雅黑"/>
          <w:i w:val="0"/>
          <w:iCs/>
        </w:rPr>
        <w:instrText>质细</w:instrText>
      </w:r>
      <w:r>
        <w:rPr>
          <w:i w:val="0"/>
          <w:iCs/>
        </w:rPr>
        <w:instrText>胞</w:instrText>
      </w:r>
      <w:r>
        <w:rPr>
          <w:rFonts w:eastAsia="微软雅黑"/>
          <w:i w:val="0"/>
          <w:iCs/>
        </w:rPr>
        <w:instrText>进</w:instrText>
      </w:r>
      <w:r>
        <w:rPr>
          <w:i w:val="0"/>
          <w:iCs/>
        </w:rPr>
        <w:instrText>行形</w:instrText>
      </w:r>
      <w:r>
        <w:rPr>
          <w:rFonts w:eastAsia="微软雅黑"/>
          <w:i w:val="0"/>
          <w:iCs/>
        </w:rPr>
        <w:instrText>态</w:instrText>
      </w:r>
      <w:r>
        <w:rPr>
          <w:i w:val="0"/>
          <w:iCs/>
        </w:rPr>
        <w:instrText>学分</w:instrText>
      </w:r>
      <w:r>
        <w:rPr>
          <w:rFonts w:eastAsia="微软雅黑"/>
          <w:i w:val="0"/>
          <w:iCs/>
        </w:rPr>
        <w:instrText>类</w:instrText>
      </w:r>
      <w:r>
        <w:rPr>
          <w:i w:val="0"/>
          <w:iCs/>
        </w:rPr>
        <w:instrText>。小胶</w:instrText>
      </w:r>
      <w:r>
        <w:rPr>
          <w:rFonts w:eastAsia="微软雅黑"/>
          <w:i w:val="0"/>
          <w:iCs/>
        </w:rPr>
        <w:instrText>质细</w:instrText>
      </w:r>
      <w:r>
        <w:rPr>
          <w:i w:val="0"/>
          <w:iCs/>
        </w:rPr>
        <w:instrText>胞的</w:instrText>
      </w:r>
      <w:r>
        <w:rPr>
          <w:rFonts w:eastAsia="微软雅黑"/>
          <w:i w:val="0"/>
          <w:iCs/>
        </w:rPr>
        <w:instrText>脑</w:instrText>
      </w:r>
      <w:r>
        <w:rPr>
          <w:i w:val="0"/>
          <w:iCs/>
        </w:rPr>
        <w:instrText>定位是一个相关因素。</w:instrText>
      </w:r>
      <w:r>
        <w:rPr>
          <w:i w:val="0"/>
          <w:iCs/>
        </w:rPr>
        <w:instrText xml:space="preserve">","archive_location":"282 citation(s)","call-number":"3","container-title":"Frontiers in Cellular Neuroscience","DOI":"10.3389/fncel.2017.00235","ISSN":"1662-5102","journalAbbreviation":"Front. Cell. Neurosci.","language":"en","note":"titleTranslation: </w:instrText>
      </w:r>
      <w:r>
        <w:rPr>
          <w:i w:val="0"/>
          <w:iCs/>
        </w:rPr>
        <w:instrText>基于</w:instrText>
      </w:r>
      <w:r>
        <w:rPr>
          <w:rFonts w:eastAsia="微软雅黑"/>
          <w:i w:val="0"/>
          <w:iCs/>
        </w:rPr>
        <w:instrText>层</w:instrText>
      </w:r>
      <w:r>
        <w:rPr>
          <w:i w:val="0"/>
          <w:iCs/>
        </w:rPr>
        <w:instrText>次聚</w:instrText>
      </w:r>
      <w:r>
        <w:rPr>
          <w:rFonts w:eastAsia="微软雅黑"/>
          <w:i w:val="0"/>
          <w:iCs/>
        </w:rPr>
        <w:instrText>类</w:instrText>
      </w:r>
      <w:r>
        <w:rPr>
          <w:i w:val="0"/>
          <w:iCs/>
        </w:rPr>
        <w:instrText>和主成分分析的大鼠神</w:instrText>
      </w:r>
      <w:r>
        <w:rPr>
          <w:rFonts w:eastAsia="微软雅黑"/>
          <w:i w:val="0"/>
          <w:iCs/>
        </w:rPr>
        <w:instrText>经</w:instrText>
      </w:r>
      <w:r>
        <w:rPr>
          <w:i w:val="0"/>
          <w:iCs/>
        </w:rPr>
        <w:instrText>炎症模型小胶</w:instrText>
      </w:r>
      <w:r>
        <w:rPr>
          <w:rFonts w:eastAsia="微软雅黑"/>
          <w:i w:val="0"/>
          <w:iCs/>
        </w:rPr>
        <w:instrText>质细</w:instrText>
      </w:r>
      <w:r>
        <w:rPr>
          <w:i w:val="0"/>
          <w:iCs/>
        </w:rPr>
        <w:instrText>胞形</w:instrText>
      </w:r>
      <w:r>
        <w:rPr>
          <w:rFonts w:eastAsia="微软雅黑"/>
          <w:i w:val="0"/>
          <w:iCs/>
        </w:rPr>
        <w:instrText>态</w:instrText>
      </w:r>
      <w:r>
        <w:rPr>
          <w:i w:val="0"/>
          <w:iCs/>
        </w:rPr>
        <w:instrText>分</w:instrText>
      </w:r>
      <w:r>
        <w:rPr>
          <w:rFonts w:eastAsia="微软雅黑"/>
          <w:i w:val="0"/>
          <w:iCs/>
        </w:rPr>
        <w:instrText>类</w:instrText>
      </w:r>
      <w:r>
        <w:rPr>
          <w:i w:val="0"/>
          <w:iCs/>
        </w:rPr>
        <w:instrText>","page":"235","PMID":"28848398","PMCID":"PMC5550745","source":"4.2 (Q2)","title":"Microglia Morphological Categorization in a Rat Model of Neuroinflammation by Hierarchical Cluster and Principal Components Analysis","title-short":"</w:instrText>
      </w:r>
      <w:r>
        <w:rPr>
          <w:i w:val="0"/>
          <w:iCs/>
        </w:rPr>
        <w:instrText>基于</w:instrText>
      </w:r>
      <w:r>
        <w:rPr>
          <w:rFonts w:eastAsia="微软雅黑"/>
          <w:i w:val="0"/>
          <w:iCs/>
        </w:rPr>
        <w:instrText>层</w:instrText>
      </w:r>
      <w:r>
        <w:rPr>
          <w:i w:val="0"/>
          <w:iCs/>
        </w:rPr>
        <w:instrText>次聚</w:instrText>
      </w:r>
      <w:r>
        <w:rPr>
          <w:rFonts w:eastAsia="微软雅黑"/>
          <w:i w:val="0"/>
          <w:iCs/>
        </w:rPr>
        <w:instrText>类</w:instrText>
      </w:r>
      <w:r>
        <w:rPr>
          <w:i w:val="0"/>
          <w:iCs/>
        </w:rPr>
        <w:instrText>和主成分分析的大鼠神</w:instrText>
      </w:r>
      <w:r>
        <w:rPr>
          <w:rFonts w:eastAsia="微软雅黑"/>
          <w:i w:val="0"/>
          <w:iCs/>
        </w:rPr>
        <w:instrText>经</w:instrText>
      </w:r>
      <w:r>
        <w:rPr>
          <w:i w:val="0"/>
          <w:iCs/>
        </w:rPr>
        <w:instrText>炎症模型中小胶</w:instrText>
      </w:r>
      <w:r>
        <w:rPr>
          <w:rFonts w:eastAsia="微软雅黑"/>
          <w:i w:val="0"/>
          <w:iCs/>
        </w:rPr>
        <w:instrText>质细</w:instrText>
      </w:r>
      <w:r>
        <w:rPr>
          <w:i w:val="0"/>
          <w:iCs/>
        </w:rPr>
        <w:instrText>胞的形</w:instrText>
      </w:r>
      <w:r>
        <w:rPr>
          <w:rFonts w:eastAsia="微软雅黑"/>
          <w:i w:val="0"/>
          <w:iCs/>
        </w:rPr>
        <w:instrText>态</w:instrText>
      </w:r>
      <w:r>
        <w:rPr>
          <w:i w:val="0"/>
          <w:iCs/>
        </w:rPr>
        <w:instrText>分</w:instrText>
      </w:r>
      <w:r>
        <w:rPr>
          <w:rFonts w:eastAsia="微软雅黑"/>
          <w:i w:val="0"/>
          <w:iCs/>
        </w:rPr>
        <w:instrText>类</w:instrText>
      </w:r>
      <w:r>
        <w:rPr>
          <w:i w:val="0"/>
          <w:iCs/>
        </w:rPr>
        <w:instrText xml:space="preserve">","volume":"11","author":[{"family":"Fernández-Arjona","given":"María del Mar"},{"family":"Grondona","given":"Jesús M."},{"family":"Granados-Durán","given":"Pablo"},{"family":"Fernández-Llebrez","given":"Pedro"},{"family":"López-Ávalos","given":"María D."}],"issued":{"date-parts":[["2017"]]}}}],"schema":"https://github.com/citation-style-language/schema/raw/master/csl-citation.json"} </w:instrText>
      </w:r>
      <w:r>
        <w:rPr>
          <w:rFonts w:eastAsia="宋体"/>
          <w:i w:val="0"/>
          <w:iCs/>
        </w:rPr>
        <w:fldChar w:fldCharType="separate"/>
      </w:r>
      <w:r>
        <w:rPr>
          <w:i w:val="0"/>
          <w:iCs/>
        </w:rPr>
        <w:t>[1, 2]</w:t>
      </w:r>
      <w:r>
        <w:rPr>
          <w:rFonts w:eastAsia="Times New Roman"/>
          <w:i w:val="0"/>
          <w:iCs/>
        </w:rPr>
        <w:fldChar w:fldCharType="end"/>
      </w:r>
      <w:r>
        <w:rPr>
          <w:rFonts w:eastAsia="Times New Roman"/>
          <w:i w:val="0"/>
          <w:iCs/>
        </w:rPr>
        <w:t xml:space="preserve">. Elevated expression of glial fibrillary acidic protein can be triggered by excessive </w:t>
      </w:r>
      <w:r>
        <w:rPr>
          <w:rFonts w:eastAsia="Times New Roman"/>
          <w:i w:val="0"/>
          <w:iCs/>
        </w:rPr>
        <w:lastRenderedPageBreak/>
        <w:t xml:space="preserve">activation of microglia </w:t>
      </w:r>
      <w:r>
        <w:rPr>
          <w:rFonts w:eastAsia="宋体"/>
          <w:i w:val="0"/>
          <w:iCs/>
        </w:rPr>
        <w:fldChar w:fldCharType="begin"/>
      </w:r>
      <w:r>
        <w:rPr>
          <w:i w:val="0"/>
          <w:iCs/>
        </w:rPr>
        <w:instrText xml:space="preserve"> ADDIN ZOTERO_ITEM CSL_CITATION {"citationID":"ZKMizZR7","properties":{"formattedCitation":"[3]","plainCitation":"[3]","noteIndex":0},"citationItems":[{"id":16098,"uris":["http://zotero.org/users/9311172/items/3DEXBQ52"],"itemData":{"id":16098,"type":"article-journal","abstract":"BACKGROUND: Ischemic stroke is the second leading cause of death globally. The narrow time window for administering effective thrombolytic therapy motivates the search for alternative prevention strategies. Microglia and astrocyte activation-mediated inflammation play a pivotal role in ischemic stroke injury. Cottonseed oil (CSO) has been shown to exert anti-inflammatory effects against peripheral tissue injury, although CSO is mostly used as a solvent for lipid-soluble drugs. However, the role of CSO in neuroprotection against stroke has not been previously reported.\nMETHODS: We treated adult male rats with CSO (1.3 ml/kg, subcutaneous injection, once every other day for 3 weeks) and then constructed a middle cerebral artery occlusion (MCAO) model followed by 24 h of reperfusion. Then, we measured the neurological scores, infarction volume, neuronal injury, and brain edema; we also measured the levels of pro-inflammatory cytokines (IL-1β, IL-6, TNF-α), degree of microglial and astrocytic activation, protein expression levels of Toll-like receptor 4 (TLR4), nuclear factor kappa B (NF-κB), C3d and S100A10, and the presence of A1 type astrocytes and A2 type astrocytes.\nRESULTS: We found that CSO treatment significantly improved the neurological deficit, reduced infarction volume, and alleviated neuronal injuries, blood-brain barrier (BBB) disruption, and brain edema. Additionally, CSO treatment significantly reduced microglial and astrocytic activation, inhibited TLR4 and NF-κB protein expression, and reduced the release of IL-1β, IL-6, and TNF-α. Finally, CSO treatment significantly decreased the number of C3d/glial fibrillary acidic protein (GFAP)-positive cells and C3d protein expression, and increased the number of S100A10/GFAP-positive cells and S100A10 protein expression.\nCONCLUSION: Our results first found that CSO treatment alleviated ischemic stroke injury by reducing microglial and astrocytic activation and inflammation, which was related to the inhibition of TLR4/NF-κB pathway and the reduction of A1 phenotype neurotoxic astrocyte activation, suggesting that CSO could be a new strategy in the prevention of ischemic stroke.\n\n</w:instrText>
      </w:r>
      <w:r>
        <w:rPr>
          <w:i w:val="0"/>
          <w:iCs/>
        </w:rPr>
        <w:instrText>【摘要翻</w:instrText>
      </w:r>
      <w:r>
        <w:rPr>
          <w:rFonts w:eastAsia="微软雅黑"/>
          <w:i w:val="0"/>
          <w:iCs/>
        </w:rPr>
        <w:instrText>译</w:instrText>
      </w:r>
      <w:r>
        <w:rPr>
          <w:i w:val="0"/>
          <w:iCs/>
        </w:rPr>
        <w:instrText>】背景：缺血性</w:instrText>
      </w:r>
      <w:r>
        <w:rPr>
          <w:rFonts w:eastAsia="微软雅黑"/>
          <w:i w:val="0"/>
          <w:iCs/>
        </w:rPr>
        <w:instrText>脑</w:instrText>
      </w:r>
      <w:r>
        <w:rPr>
          <w:i w:val="0"/>
          <w:iCs/>
        </w:rPr>
        <w:instrText>卒中是全球第二大死亡原因。施用有效溶栓治</w:instrText>
      </w:r>
      <w:r>
        <w:rPr>
          <w:rFonts w:eastAsia="微软雅黑"/>
          <w:i w:val="0"/>
          <w:iCs/>
        </w:rPr>
        <w:instrText>疗</w:instrText>
      </w:r>
      <w:r>
        <w:rPr>
          <w:i w:val="0"/>
          <w:iCs/>
        </w:rPr>
        <w:instrText>的狭窄</w:instrText>
      </w:r>
      <w:r>
        <w:rPr>
          <w:rFonts w:eastAsia="微软雅黑"/>
          <w:i w:val="0"/>
          <w:iCs/>
        </w:rPr>
        <w:instrText>时间</w:instrText>
      </w:r>
      <w:r>
        <w:rPr>
          <w:i w:val="0"/>
          <w:iCs/>
        </w:rPr>
        <w:instrText>窗促使人</w:instrText>
      </w:r>
      <w:r>
        <w:rPr>
          <w:rFonts w:eastAsia="微软雅黑"/>
          <w:i w:val="0"/>
          <w:iCs/>
        </w:rPr>
        <w:instrText>们寻</w:instrText>
      </w:r>
      <w:r>
        <w:rPr>
          <w:i w:val="0"/>
          <w:iCs/>
        </w:rPr>
        <w:instrText>找替代</w:instrText>
      </w:r>
      <w:r>
        <w:rPr>
          <w:rFonts w:eastAsia="微软雅黑"/>
          <w:i w:val="0"/>
          <w:iCs/>
        </w:rPr>
        <w:instrText>预</w:instrText>
      </w:r>
      <w:r>
        <w:rPr>
          <w:i w:val="0"/>
          <w:iCs/>
        </w:rPr>
        <w:instrText>防策略。小胶</w:instrText>
      </w:r>
      <w:r>
        <w:rPr>
          <w:rFonts w:eastAsia="微软雅黑"/>
          <w:i w:val="0"/>
          <w:iCs/>
        </w:rPr>
        <w:instrText>质细</w:instrText>
      </w:r>
      <w:r>
        <w:rPr>
          <w:i w:val="0"/>
          <w:iCs/>
        </w:rPr>
        <w:instrText>胞和星形胶</w:instrText>
      </w:r>
      <w:r>
        <w:rPr>
          <w:rFonts w:eastAsia="微软雅黑"/>
          <w:i w:val="0"/>
          <w:iCs/>
        </w:rPr>
        <w:instrText>质细</w:instrText>
      </w:r>
      <w:r>
        <w:rPr>
          <w:i w:val="0"/>
          <w:iCs/>
        </w:rPr>
        <w:instrText>胞活化介</w:instrText>
      </w:r>
      <w:r>
        <w:rPr>
          <w:rFonts w:eastAsia="微软雅黑"/>
          <w:i w:val="0"/>
          <w:iCs/>
        </w:rPr>
        <w:instrText>导</w:instrText>
      </w:r>
      <w:r>
        <w:rPr>
          <w:i w:val="0"/>
          <w:iCs/>
        </w:rPr>
        <w:instrText>的炎症在缺血性</w:instrText>
      </w:r>
      <w:r>
        <w:rPr>
          <w:rFonts w:eastAsia="微软雅黑"/>
          <w:i w:val="0"/>
          <w:iCs/>
        </w:rPr>
        <w:instrText>脑</w:instrText>
      </w:r>
      <w:r>
        <w:rPr>
          <w:i w:val="0"/>
          <w:iCs/>
        </w:rPr>
        <w:instrText>卒中</w:instrText>
      </w:r>
      <w:r>
        <w:rPr>
          <w:rFonts w:eastAsia="微软雅黑"/>
          <w:i w:val="0"/>
          <w:iCs/>
        </w:rPr>
        <w:instrText>损伤</w:instrText>
      </w:r>
      <w:r>
        <w:rPr>
          <w:i w:val="0"/>
          <w:iCs/>
        </w:rPr>
        <w:instrText>中起关</w:instrText>
      </w:r>
      <w:r>
        <w:rPr>
          <w:rFonts w:eastAsia="微软雅黑"/>
          <w:i w:val="0"/>
          <w:iCs/>
        </w:rPr>
        <w:instrText>键</w:instrText>
      </w:r>
      <w:r>
        <w:rPr>
          <w:i w:val="0"/>
          <w:iCs/>
        </w:rPr>
        <w:instrText>作用。棉籽油</w:instrText>
      </w:r>
      <w:r>
        <w:rPr>
          <w:i w:val="0"/>
          <w:iCs/>
        </w:rPr>
        <w:instrText xml:space="preserve"> (CSO) </w:instrText>
      </w:r>
      <w:r>
        <w:rPr>
          <w:i w:val="0"/>
          <w:iCs/>
        </w:rPr>
        <w:instrText>已被</w:instrText>
      </w:r>
      <w:r>
        <w:rPr>
          <w:rFonts w:eastAsia="微软雅黑"/>
          <w:i w:val="0"/>
          <w:iCs/>
        </w:rPr>
        <w:instrText>证</w:instrText>
      </w:r>
      <w:r>
        <w:rPr>
          <w:i w:val="0"/>
          <w:iCs/>
        </w:rPr>
        <w:instrText>明</w:instrText>
      </w:r>
      <w:r>
        <w:rPr>
          <w:rFonts w:eastAsia="微软雅黑"/>
          <w:i w:val="0"/>
          <w:iCs/>
        </w:rPr>
        <w:instrText>对</w:instrText>
      </w:r>
      <w:r>
        <w:rPr>
          <w:i w:val="0"/>
          <w:iCs/>
        </w:rPr>
        <w:instrText>周</w:instrText>
      </w:r>
      <w:r>
        <w:rPr>
          <w:rFonts w:eastAsia="微软雅黑"/>
          <w:i w:val="0"/>
          <w:iCs/>
        </w:rPr>
        <w:instrText>围组织损伤</w:instrText>
      </w:r>
      <w:r>
        <w:rPr>
          <w:i w:val="0"/>
          <w:iCs/>
        </w:rPr>
        <w:instrText>具有抗炎作用，尽管</w:instrText>
      </w:r>
      <w:r>
        <w:rPr>
          <w:i w:val="0"/>
          <w:iCs/>
        </w:rPr>
        <w:instrText xml:space="preserve"> CSO </w:instrText>
      </w:r>
      <w:r>
        <w:rPr>
          <w:i w:val="0"/>
          <w:iCs/>
        </w:rPr>
        <w:instrText>主要用作脂溶性</w:instrText>
      </w:r>
      <w:r>
        <w:rPr>
          <w:rFonts w:eastAsia="微软雅黑"/>
          <w:i w:val="0"/>
          <w:iCs/>
        </w:rPr>
        <w:instrText>药</w:instrText>
      </w:r>
      <w:r>
        <w:rPr>
          <w:i w:val="0"/>
          <w:iCs/>
        </w:rPr>
        <w:instrText>物的溶</w:instrText>
      </w:r>
      <w:r>
        <w:rPr>
          <w:rFonts w:eastAsia="微软雅黑"/>
          <w:i w:val="0"/>
          <w:iCs/>
        </w:rPr>
        <w:instrText>剂</w:instrText>
      </w:r>
      <w:r>
        <w:rPr>
          <w:i w:val="0"/>
          <w:iCs/>
        </w:rPr>
        <w:instrText>。然而，</w:instrText>
      </w:r>
      <w:r>
        <w:rPr>
          <w:i w:val="0"/>
          <w:iCs/>
        </w:rPr>
        <w:instrText xml:space="preserve">CSO </w:instrText>
      </w:r>
      <w:r>
        <w:rPr>
          <w:i w:val="0"/>
          <w:iCs/>
        </w:rPr>
        <w:instrText>在</w:instrText>
      </w:r>
      <w:r>
        <w:rPr>
          <w:rFonts w:eastAsia="微软雅黑"/>
          <w:i w:val="0"/>
          <w:iCs/>
        </w:rPr>
        <w:instrText>预</w:instrText>
      </w:r>
      <w:r>
        <w:rPr>
          <w:i w:val="0"/>
          <w:iCs/>
        </w:rPr>
        <w:instrText>防</w:instrText>
      </w:r>
      <w:r>
        <w:rPr>
          <w:rFonts w:eastAsia="微软雅黑"/>
          <w:i w:val="0"/>
          <w:iCs/>
        </w:rPr>
        <w:instrText>脑</w:instrText>
      </w:r>
      <w:r>
        <w:rPr>
          <w:i w:val="0"/>
          <w:iCs/>
        </w:rPr>
        <w:instrText>卒中的神</w:instrText>
      </w:r>
      <w:r>
        <w:rPr>
          <w:rFonts w:eastAsia="微软雅黑"/>
          <w:i w:val="0"/>
          <w:iCs/>
        </w:rPr>
        <w:instrText>经</w:instrText>
      </w:r>
      <w:r>
        <w:rPr>
          <w:i w:val="0"/>
          <w:iCs/>
        </w:rPr>
        <w:instrText>保</w:instrText>
      </w:r>
      <w:r>
        <w:rPr>
          <w:rFonts w:eastAsia="微软雅黑"/>
          <w:i w:val="0"/>
          <w:iCs/>
        </w:rPr>
        <w:instrText>护</w:instrText>
      </w:r>
      <w:r>
        <w:rPr>
          <w:i w:val="0"/>
          <w:iCs/>
        </w:rPr>
        <w:instrText>作用尚未被</w:instrText>
      </w:r>
      <w:r>
        <w:rPr>
          <w:rFonts w:eastAsia="微软雅黑"/>
          <w:i w:val="0"/>
          <w:iCs/>
        </w:rPr>
        <w:instrText>报</w:instrText>
      </w:r>
      <w:r>
        <w:rPr>
          <w:i w:val="0"/>
          <w:iCs/>
        </w:rPr>
        <w:instrText>道。</w:instrText>
      </w:r>
      <w:r>
        <w:rPr>
          <w:i w:val="0"/>
          <w:iCs/>
        </w:rPr>
        <w:instrText>\n</w:instrText>
      </w:r>
      <w:r>
        <w:rPr>
          <w:i w:val="0"/>
          <w:iCs/>
        </w:rPr>
        <w:instrText>方法：我</w:instrText>
      </w:r>
      <w:r>
        <w:rPr>
          <w:rFonts w:eastAsia="微软雅黑"/>
          <w:i w:val="0"/>
          <w:iCs/>
        </w:rPr>
        <w:instrText>们</w:instrText>
      </w:r>
      <w:r>
        <w:rPr>
          <w:i w:val="0"/>
          <w:iCs/>
        </w:rPr>
        <w:instrText>用</w:instrText>
      </w:r>
      <w:r>
        <w:rPr>
          <w:i w:val="0"/>
          <w:iCs/>
        </w:rPr>
        <w:instrText xml:space="preserve"> CSO (1.3 ml/kg, </w:instrText>
      </w:r>
      <w:r>
        <w:rPr>
          <w:i w:val="0"/>
          <w:iCs/>
        </w:rPr>
        <w:instrText>皮下注射，每隔一天一次，持</w:instrText>
      </w:r>
      <w:r>
        <w:rPr>
          <w:rFonts w:eastAsia="微软雅黑"/>
          <w:i w:val="0"/>
          <w:iCs/>
        </w:rPr>
        <w:instrText>续</w:instrText>
      </w:r>
      <w:r>
        <w:rPr>
          <w:i w:val="0"/>
          <w:iCs/>
        </w:rPr>
        <w:instrText xml:space="preserve"> 3 </w:instrText>
      </w:r>
      <w:r>
        <w:rPr>
          <w:i w:val="0"/>
          <w:iCs/>
        </w:rPr>
        <w:instrText>周</w:instrText>
      </w:r>
      <w:r>
        <w:rPr>
          <w:i w:val="0"/>
          <w:iCs/>
        </w:rPr>
        <w:instrText xml:space="preserve">) </w:instrText>
      </w:r>
      <w:r>
        <w:rPr>
          <w:i w:val="0"/>
          <w:iCs/>
        </w:rPr>
        <w:instrText>治</w:instrText>
      </w:r>
      <w:r>
        <w:rPr>
          <w:rFonts w:eastAsia="微软雅黑"/>
          <w:i w:val="0"/>
          <w:iCs/>
        </w:rPr>
        <w:instrText>疗</w:instrText>
      </w:r>
      <w:r>
        <w:rPr>
          <w:i w:val="0"/>
          <w:iCs/>
        </w:rPr>
        <w:instrText>成年雄性大鼠，然后构建大</w:instrText>
      </w:r>
      <w:r>
        <w:rPr>
          <w:rFonts w:eastAsia="微软雅黑"/>
          <w:i w:val="0"/>
          <w:iCs/>
        </w:rPr>
        <w:instrText>脑</w:instrText>
      </w:r>
      <w:r>
        <w:rPr>
          <w:i w:val="0"/>
          <w:iCs/>
        </w:rPr>
        <w:instrText>中</w:instrText>
      </w:r>
      <w:r>
        <w:rPr>
          <w:rFonts w:eastAsia="微软雅黑"/>
          <w:i w:val="0"/>
          <w:iCs/>
        </w:rPr>
        <w:instrText>动</w:instrText>
      </w:r>
      <w:r>
        <w:rPr>
          <w:i w:val="0"/>
          <w:iCs/>
        </w:rPr>
        <w:instrText>脉</w:instrText>
      </w:r>
      <w:r>
        <w:rPr>
          <w:rFonts w:eastAsia="微软雅黑"/>
          <w:i w:val="0"/>
          <w:iCs/>
        </w:rPr>
        <w:instrText>闭</w:instrText>
      </w:r>
      <w:r>
        <w:rPr>
          <w:i w:val="0"/>
          <w:iCs/>
        </w:rPr>
        <w:instrText>塞</w:instrText>
      </w:r>
      <w:r>
        <w:rPr>
          <w:i w:val="0"/>
          <w:iCs/>
        </w:rPr>
        <w:instrText xml:space="preserve"> (MCAO) </w:instrText>
      </w:r>
      <w:r>
        <w:rPr>
          <w:i w:val="0"/>
          <w:iCs/>
        </w:rPr>
        <w:instrText>模型，随后再灌注</w:instrText>
      </w:r>
      <w:r>
        <w:rPr>
          <w:i w:val="0"/>
          <w:iCs/>
        </w:rPr>
        <w:instrText xml:space="preserve"> 24 </w:instrText>
      </w:r>
      <w:r>
        <w:rPr>
          <w:i w:val="0"/>
          <w:iCs/>
        </w:rPr>
        <w:instrText>小</w:instrText>
      </w:r>
      <w:r>
        <w:rPr>
          <w:rFonts w:eastAsia="微软雅黑"/>
          <w:i w:val="0"/>
          <w:iCs/>
        </w:rPr>
        <w:instrText>时</w:instrText>
      </w:r>
      <w:r>
        <w:rPr>
          <w:i w:val="0"/>
          <w:iCs/>
        </w:rPr>
        <w:instrText>。然后，我</w:instrText>
      </w:r>
      <w:r>
        <w:rPr>
          <w:rFonts w:eastAsia="微软雅黑"/>
          <w:i w:val="0"/>
          <w:iCs/>
        </w:rPr>
        <w:instrText>们测</w:instrText>
      </w:r>
      <w:r>
        <w:rPr>
          <w:i w:val="0"/>
          <w:iCs/>
        </w:rPr>
        <w:instrText>量了神</w:instrText>
      </w:r>
      <w:r>
        <w:rPr>
          <w:rFonts w:eastAsia="微软雅黑"/>
          <w:i w:val="0"/>
          <w:iCs/>
        </w:rPr>
        <w:instrText>经评</w:instrText>
      </w:r>
      <w:r>
        <w:rPr>
          <w:i w:val="0"/>
          <w:iCs/>
        </w:rPr>
        <w:instrText>分、梗死容量、神</w:instrText>
      </w:r>
      <w:r>
        <w:rPr>
          <w:rFonts w:eastAsia="微软雅黑"/>
          <w:i w:val="0"/>
          <w:iCs/>
        </w:rPr>
        <w:instrText>经</w:instrText>
      </w:r>
      <w:r>
        <w:rPr>
          <w:i w:val="0"/>
          <w:iCs/>
        </w:rPr>
        <w:instrText>元</w:instrText>
      </w:r>
      <w:r>
        <w:rPr>
          <w:rFonts w:eastAsia="微软雅黑"/>
          <w:i w:val="0"/>
          <w:iCs/>
        </w:rPr>
        <w:instrText>损伤</w:instrText>
      </w:r>
      <w:r>
        <w:rPr>
          <w:i w:val="0"/>
          <w:iCs/>
        </w:rPr>
        <w:instrText>和</w:instrText>
      </w:r>
      <w:r>
        <w:rPr>
          <w:rFonts w:eastAsia="微软雅黑"/>
          <w:i w:val="0"/>
          <w:iCs/>
        </w:rPr>
        <w:instrText>脑</w:instrText>
      </w:r>
      <w:r>
        <w:rPr>
          <w:i w:val="0"/>
          <w:iCs/>
        </w:rPr>
        <w:instrText>水</w:instrText>
      </w:r>
      <w:r>
        <w:rPr>
          <w:rFonts w:eastAsia="微软雅黑"/>
          <w:i w:val="0"/>
          <w:iCs/>
        </w:rPr>
        <w:instrText>肿</w:instrText>
      </w:r>
      <w:r>
        <w:rPr>
          <w:i w:val="0"/>
          <w:iCs/>
        </w:rPr>
        <w:instrText>；我</w:instrText>
      </w:r>
      <w:r>
        <w:rPr>
          <w:rFonts w:eastAsia="微软雅黑"/>
          <w:i w:val="0"/>
          <w:iCs/>
        </w:rPr>
        <w:instrText>们还测</w:instrText>
      </w:r>
      <w:r>
        <w:rPr>
          <w:i w:val="0"/>
          <w:iCs/>
        </w:rPr>
        <w:instrText>量了促炎</w:instrText>
      </w:r>
      <w:r>
        <w:rPr>
          <w:rFonts w:eastAsia="微软雅黑"/>
          <w:i w:val="0"/>
          <w:iCs/>
        </w:rPr>
        <w:instrText>细</w:instrText>
      </w:r>
      <w:r>
        <w:rPr>
          <w:i w:val="0"/>
          <w:iCs/>
        </w:rPr>
        <w:instrText>胞因子</w:instrText>
      </w:r>
      <w:r>
        <w:rPr>
          <w:i w:val="0"/>
          <w:iCs/>
        </w:rPr>
        <w:instrText xml:space="preserve"> (IL-1β</w:instrText>
      </w:r>
      <w:r>
        <w:rPr>
          <w:i w:val="0"/>
          <w:iCs/>
        </w:rPr>
        <w:instrText>、</w:instrText>
      </w:r>
      <w:r>
        <w:rPr>
          <w:i w:val="0"/>
          <w:iCs/>
        </w:rPr>
        <w:instrText>IL-6</w:instrText>
      </w:r>
      <w:r>
        <w:rPr>
          <w:i w:val="0"/>
          <w:iCs/>
        </w:rPr>
        <w:instrText>、</w:instrText>
      </w:r>
      <w:r>
        <w:rPr>
          <w:i w:val="0"/>
          <w:iCs/>
        </w:rPr>
        <w:instrText xml:space="preserve">TNF-α) </w:instrText>
      </w:r>
      <w:r>
        <w:rPr>
          <w:i w:val="0"/>
          <w:iCs/>
        </w:rPr>
        <w:instrText>水平、小胶</w:instrText>
      </w:r>
      <w:r>
        <w:rPr>
          <w:rFonts w:eastAsia="微软雅黑"/>
          <w:i w:val="0"/>
          <w:iCs/>
        </w:rPr>
        <w:instrText>质细</w:instrText>
      </w:r>
      <w:r>
        <w:rPr>
          <w:i w:val="0"/>
          <w:iCs/>
        </w:rPr>
        <w:instrText>胞和星形胶</w:instrText>
      </w:r>
      <w:r>
        <w:rPr>
          <w:rFonts w:eastAsia="微软雅黑"/>
          <w:i w:val="0"/>
          <w:iCs/>
        </w:rPr>
        <w:instrText>质细</w:instrText>
      </w:r>
      <w:r>
        <w:rPr>
          <w:i w:val="0"/>
          <w:iCs/>
        </w:rPr>
        <w:instrText>胞活化程度、</w:instrText>
      </w:r>
      <w:r>
        <w:rPr>
          <w:i w:val="0"/>
          <w:iCs/>
        </w:rPr>
        <w:instrText xml:space="preserve">Toll </w:instrText>
      </w:r>
      <w:r>
        <w:rPr>
          <w:rFonts w:eastAsia="微软雅黑"/>
          <w:i w:val="0"/>
          <w:iCs/>
        </w:rPr>
        <w:instrText>样</w:instrText>
      </w:r>
      <w:r>
        <w:rPr>
          <w:i w:val="0"/>
          <w:iCs/>
        </w:rPr>
        <w:instrText>受体</w:instrText>
      </w:r>
      <w:r>
        <w:rPr>
          <w:i w:val="0"/>
          <w:iCs/>
        </w:rPr>
        <w:instrText xml:space="preserve"> 4 (TLR4)</w:instrText>
      </w:r>
      <w:r>
        <w:rPr>
          <w:i w:val="0"/>
          <w:iCs/>
        </w:rPr>
        <w:instrText>、核因子</w:instrText>
      </w:r>
      <w:r>
        <w:rPr>
          <w:i w:val="0"/>
          <w:iCs/>
        </w:rPr>
        <w:instrText xml:space="preserve"> κB (NF-κB)</w:instrText>
      </w:r>
      <w:r>
        <w:rPr>
          <w:i w:val="0"/>
          <w:iCs/>
        </w:rPr>
        <w:instrText>、</w:instrText>
      </w:r>
      <w:r>
        <w:rPr>
          <w:i w:val="0"/>
          <w:iCs/>
        </w:rPr>
        <w:instrText xml:space="preserve">C3d </w:instrText>
      </w:r>
      <w:r>
        <w:rPr>
          <w:i w:val="0"/>
          <w:iCs/>
        </w:rPr>
        <w:instrText>和</w:instrText>
      </w:r>
      <w:r>
        <w:rPr>
          <w:i w:val="0"/>
          <w:iCs/>
        </w:rPr>
        <w:instrText xml:space="preserve"> S100A10 </w:instrText>
      </w:r>
      <w:r>
        <w:rPr>
          <w:i w:val="0"/>
          <w:iCs/>
        </w:rPr>
        <w:instrText>的蛋白</w:instrText>
      </w:r>
      <w:r>
        <w:rPr>
          <w:rFonts w:eastAsia="微软雅黑"/>
          <w:i w:val="0"/>
          <w:iCs/>
        </w:rPr>
        <w:instrText>质</w:instrText>
      </w:r>
      <w:r>
        <w:rPr>
          <w:i w:val="0"/>
          <w:iCs/>
        </w:rPr>
        <w:instrText>表达水平，以及</w:instrText>
      </w:r>
      <w:r>
        <w:rPr>
          <w:i w:val="0"/>
          <w:iCs/>
        </w:rPr>
        <w:instrText xml:space="preserve"> A1 </w:instrText>
      </w:r>
      <w:r>
        <w:rPr>
          <w:i w:val="0"/>
          <w:iCs/>
        </w:rPr>
        <w:instrText>型星形胶</w:instrText>
      </w:r>
      <w:r>
        <w:rPr>
          <w:rFonts w:eastAsia="微软雅黑"/>
          <w:i w:val="0"/>
          <w:iCs/>
        </w:rPr>
        <w:instrText>质细</w:instrText>
      </w:r>
      <w:r>
        <w:rPr>
          <w:i w:val="0"/>
          <w:iCs/>
        </w:rPr>
        <w:instrText>胞和</w:instrText>
      </w:r>
      <w:r>
        <w:rPr>
          <w:i w:val="0"/>
          <w:iCs/>
        </w:rPr>
        <w:instrText xml:space="preserve"> A2 </w:instrText>
      </w:r>
      <w:r>
        <w:rPr>
          <w:i w:val="0"/>
          <w:iCs/>
        </w:rPr>
        <w:instrText>型星形胶</w:instrText>
      </w:r>
      <w:r>
        <w:rPr>
          <w:rFonts w:eastAsia="微软雅黑"/>
          <w:i w:val="0"/>
          <w:iCs/>
        </w:rPr>
        <w:instrText>质细</w:instrText>
      </w:r>
      <w:r>
        <w:rPr>
          <w:i w:val="0"/>
          <w:iCs/>
        </w:rPr>
        <w:instrText>胞的存在。</w:instrText>
      </w:r>
      <w:r>
        <w:rPr>
          <w:i w:val="0"/>
          <w:iCs/>
        </w:rPr>
        <w:instrText>\n</w:instrText>
      </w:r>
      <w:r>
        <w:rPr>
          <w:rFonts w:eastAsia="微软雅黑"/>
          <w:i w:val="0"/>
          <w:iCs/>
        </w:rPr>
        <w:instrText>结</w:instrText>
      </w:r>
      <w:r>
        <w:rPr>
          <w:i w:val="0"/>
          <w:iCs/>
        </w:rPr>
        <w:instrText>果：我</w:instrText>
      </w:r>
      <w:r>
        <w:rPr>
          <w:rFonts w:eastAsia="微软雅黑"/>
          <w:i w:val="0"/>
          <w:iCs/>
        </w:rPr>
        <w:instrText>们发现</w:instrText>
      </w:r>
      <w:r>
        <w:rPr>
          <w:i w:val="0"/>
          <w:iCs/>
        </w:rPr>
        <w:instrText xml:space="preserve"> CSO </w:instrText>
      </w:r>
      <w:r>
        <w:rPr>
          <w:i w:val="0"/>
          <w:iCs/>
        </w:rPr>
        <w:instrText>治</w:instrText>
      </w:r>
      <w:r>
        <w:rPr>
          <w:rFonts w:eastAsia="微软雅黑"/>
          <w:i w:val="0"/>
          <w:iCs/>
        </w:rPr>
        <w:instrText>疗显</w:instrText>
      </w:r>
      <w:r>
        <w:rPr>
          <w:i w:val="0"/>
          <w:iCs/>
        </w:rPr>
        <w:instrText>著改善了神</w:instrText>
      </w:r>
      <w:r>
        <w:rPr>
          <w:rFonts w:eastAsia="微软雅黑"/>
          <w:i w:val="0"/>
          <w:iCs/>
        </w:rPr>
        <w:instrText>经</w:instrText>
      </w:r>
      <w:r>
        <w:rPr>
          <w:i w:val="0"/>
          <w:iCs/>
        </w:rPr>
        <w:instrText>功能缺陷，减少了梗死容量，并</w:instrText>
      </w:r>
      <w:r>
        <w:rPr>
          <w:rFonts w:eastAsia="微软雅黑"/>
          <w:i w:val="0"/>
          <w:iCs/>
        </w:rPr>
        <w:instrText>缓</w:instrText>
      </w:r>
      <w:r>
        <w:rPr>
          <w:i w:val="0"/>
          <w:iCs/>
        </w:rPr>
        <w:instrText>解了神</w:instrText>
      </w:r>
      <w:r>
        <w:rPr>
          <w:rFonts w:eastAsia="微软雅黑"/>
          <w:i w:val="0"/>
          <w:iCs/>
        </w:rPr>
        <w:instrText>经</w:instrText>
      </w:r>
      <w:r>
        <w:rPr>
          <w:i w:val="0"/>
          <w:iCs/>
        </w:rPr>
        <w:instrText>元</w:instrText>
      </w:r>
      <w:r>
        <w:rPr>
          <w:rFonts w:eastAsia="微软雅黑"/>
          <w:i w:val="0"/>
          <w:iCs/>
        </w:rPr>
        <w:instrText>损伤</w:instrText>
      </w:r>
      <w:r>
        <w:rPr>
          <w:i w:val="0"/>
          <w:iCs/>
        </w:rPr>
        <w:instrText>、血</w:instrText>
      </w:r>
      <w:r>
        <w:rPr>
          <w:rFonts w:eastAsia="微软雅黑"/>
          <w:i w:val="0"/>
          <w:iCs/>
        </w:rPr>
        <w:instrText>脑</w:instrText>
      </w:r>
      <w:r>
        <w:rPr>
          <w:i w:val="0"/>
          <w:iCs/>
        </w:rPr>
        <w:instrText>屏障</w:instrText>
      </w:r>
      <w:r>
        <w:rPr>
          <w:i w:val="0"/>
          <w:iCs/>
        </w:rPr>
        <w:instrText xml:space="preserve"> (BBB) </w:instrText>
      </w:r>
      <w:r>
        <w:rPr>
          <w:i w:val="0"/>
          <w:iCs/>
        </w:rPr>
        <w:instrText>破坏和</w:instrText>
      </w:r>
      <w:r>
        <w:rPr>
          <w:rFonts w:eastAsia="微软雅黑"/>
          <w:i w:val="0"/>
          <w:iCs/>
        </w:rPr>
        <w:instrText>脑</w:instrText>
      </w:r>
      <w:r>
        <w:rPr>
          <w:i w:val="0"/>
          <w:iCs/>
        </w:rPr>
        <w:instrText>水</w:instrText>
      </w:r>
      <w:r>
        <w:rPr>
          <w:rFonts w:eastAsia="微软雅黑"/>
          <w:i w:val="0"/>
          <w:iCs/>
        </w:rPr>
        <w:instrText>肿</w:instrText>
      </w:r>
      <w:r>
        <w:rPr>
          <w:i w:val="0"/>
          <w:iCs/>
        </w:rPr>
        <w:instrText>。此外，</w:instrText>
      </w:r>
      <w:r>
        <w:rPr>
          <w:i w:val="0"/>
          <w:iCs/>
        </w:rPr>
        <w:instrText xml:space="preserve">CSO </w:instrText>
      </w:r>
      <w:r>
        <w:rPr>
          <w:i w:val="0"/>
          <w:iCs/>
        </w:rPr>
        <w:instrText>治</w:instrText>
      </w:r>
      <w:r>
        <w:rPr>
          <w:rFonts w:eastAsia="微软雅黑"/>
          <w:i w:val="0"/>
          <w:iCs/>
        </w:rPr>
        <w:instrText>疗显</w:instrText>
      </w:r>
      <w:r>
        <w:rPr>
          <w:i w:val="0"/>
          <w:iCs/>
        </w:rPr>
        <w:instrText>著降低了小胶</w:instrText>
      </w:r>
      <w:r>
        <w:rPr>
          <w:rFonts w:eastAsia="微软雅黑"/>
          <w:i w:val="0"/>
          <w:iCs/>
        </w:rPr>
        <w:instrText>质细</w:instrText>
      </w:r>
      <w:r>
        <w:rPr>
          <w:i w:val="0"/>
          <w:iCs/>
        </w:rPr>
        <w:instrText>胞和星形</w:instrText>
      </w:r>
      <w:r>
        <w:rPr>
          <w:rFonts w:eastAsia="微软雅黑"/>
          <w:i w:val="0"/>
          <w:iCs/>
        </w:rPr>
        <w:instrText>细</w:instrText>
      </w:r>
      <w:r>
        <w:rPr>
          <w:i w:val="0"/>
          <w:iCs/>
        </w:rPr>
        <w:instrText>胞活化，抑制了</w:instrText>
      </w:r>
      <w:r>
        <w:rPr>
          <w:i w:val="0"/>
          <w:iCs/>
        </w:rPr>
        <w:instrText xml:space="preserve"> TLR4 </w:instrText>
      </w:r>
      <w:r>
        <w:rPr>
          <w:i w:val="0"/>
          <w:iCs/>
        </w:rPr>
        <w:instrText>和</w:instrText>
      </w:r>
      <w:r>
        <w:rPr>
          <w:i w:val="0"/>
          <w:iCs/>
        </w:rPr>
        <w:instrText xml:space="preserve"> NF-κB </w:instrText>
      </w:r>
      <w:r>
        <w:rPr>
          <w:i w:val="0"/>
          <w:iCs/>
        </w:rPr>
        <w:instrText>蛋白</w:instrText>
      </w:r>
      <w:r>
        <w:rPr>
          <w:rFonts w:eastAsia="微软雅黑"/>
          <w:i w:val="0"/>
          <w:iCs/>
        </w:rPr>
        <w:instrText>质</w:instrText>
      </w:r>
      <w:r>
        <w:rPr>
          <w:i w:val="0"/>
          <w:iCs/>
        </w:rPr>
        <w:instrText>表达，并减少了</w:instrText>
      </w:r>
      <w:r>
        <w:rPr>
          <w:i w:val="0"/>
          <w:iCs/>
        </w:rPr>
        <w:instrText xml:space="preserve"> IL-1β</w:instrText>
      </w:r>
      <w:r>
        <w:rPr>
          <w:i w:val="0"/>
          <w:iCs/>
        </w:rPr>
        <w:instrText>、</w:instrText>
      </w:r>
      <w:r>
        <w:rPr>
          <w:i w:val="0"/>
          <w:iCs/>
        </w:rPr>
        <w:instrText xml:space="preserve">IL-6 </w:instrText>
      </w:r>
      <w:r>
        <w:rPr>
          <w:i w:val="0"/>
          <w:iCs/>
        </w:rPr>
        <w:instrText>和</w:instrText>
      </w:r>
      <w:r>
        <w:rPr>
          <w:i w:val="0"/>
          <w:iCs/>
        </w:rPr>
        <w:instrText xml:space="preserve"> TNF-α </w:instrText>
      </w:r>
      <w:r>
        <w:rPr>
          <w:i w:val="0"/>
          <w:iCs/>
        </w:rPr>
        <w:instrText>的</w:instrText>
      </w:r>
      <w:r>
        <w:rPr>
          <w:rFonts w:eastAsia="微软雅黑"/>
          <w:i w:val="0"/>
          <w:iCs/>
        </w:rPr>
        <w:instrText>释</w:instrText>
      </w:r>
      <w:r>
        <w:rPr>
          <w:i w:val="0"/>
          <w:iCs/>
        </w:rPr>
        <w:instrText>放。最后，</w:instrText>
      </w:r>
      <w:r>
        <w:rPr>
          <w:i w:val="0"/>
          <w:iCs/>
        </w:rPr>
        <w:instrText xml:space="preserve">CSO </w:instrText>
      </w:r>
      <w:r>
        <w:rPr>
          <w:i w:val="0"/>
          <w:iCs/>
        </w:rPr>
        <w:instrText>治</w:instrText>
      </w:r>
      <w:r>
        <w:rPr>
          <w:rFonts w:eastAsia="微软雅黑"/>
          <w:i w:val="0"/>
          <w:iCs/>
        </w:rPr>
        <w:instrText>疗显</w:instrText>
      </w:r>
      <w:r>
        <w:rPr>
          <w:i w:val="0"/>
          <w:iCs/>
        </w:rPr>
        <w:instrText>著降低了</w:instrText>
      </w:r>
      <w:r>
        <w:rPr>
          <w:i w:val="0"/>
          <w:iCs/>
        </w:rPr>
        <w:instrText xml:space="preserve"> C3d / </w:instrText>
      </w:r>
      <w:r>
        <w:rPr>
          <w:i w:val="0"/>
          <w:iCs/>
        </w:rPr>
        <w:instrText>胶</w:instrText>
      </w:r>
      <w:r>
        <w:rPr>
          <w:rFonts w:eastAsia="微软雅黑"/>
          <w:i w:val="0"/>
          <w:iCs/>
        </w:rPr>
        <w:instrText>质细</w:instrText>
      </w:r>
      <w:r>
        <w:rPr>
          <w:i w:val="0"/>
          <w:iCs/>
        </w:rPr>
        <w:instrText>胞</w:instrText>
      </w:r>
      <w:r>
        <w:rPr>
          <w:rFonts w:eastAsia="微软雅黑"/>
          <w:i w:val="0"/>
          <w:iCs/>
        </w:rPr>
        <w:instrText>纤维</w:instrText>
      </w:r>
      <w:r>
        <w:rPr>
          <w:i w:val="0"/>
          <w:iCs/>
        </w:rPr>
        <w:instrText>酸性蛋白</w:instrText>
      </w:r>
      <w:r>
        <w:rPr>
          <w:i w:val="0"/>
          <w:iCs/>
        </w:rPr>
        <w:instrText xml:space="preserve"> (GFAP) </w:instrText>
      </w:r>
      <w:r>
        <w:rPr>
          <w:i w:val="0"/>
          <w:iCs/>
        </w:rPr>
        <w:instrText>阳性</w:instrText>
      </w:r>
      <w:r>
        <w:rPr>
          <w:rFonts w:eastAsia="微软雅黑"/>
          <w:i w:val="0"/>
          <w:iCs/>
        </w:rPr>
        <w:instrText>细</w:instrText>
      </w:r>
      <w:r>
        <w:rPr>
          <w:i w:val="0"/>
          <w:iCs/>
        </w:rPr>
        <w:instrText>胞的数量和</w:instrText>
      </w:r>
      <w:r>
        <w:rPr>
          <w:i w:val="0"/>
          <w:iCs/>
        </w:rPr>
        <w:instrText xml:space="preserve"> C3d </w:instrText>
      </w:r>
      <w:r>
        <w:rPr>
          <w:i w:val="0"/>
          <w:iCs/>
        </w:rPr>
        <w:instrText>蛋白</w:instrText>
      </w:r>
      <w:r>
        <w:rPr>
          <w:rFonts w:eastAsia="微软雅黑"/>
          <w:i w:val="0"/>
          <w:iCs/>
        </w:rPr>
        <w:instrText>质</w:instrText>
      </w:r>
      <w:r>
        <w:rPr>
          <w:i w:val="0"/>
          <w:iCs/>
        </w:rPr>
        <w:instrText>表达，增加了</w:instrText>
      </w:r>
      <w:r>
        <w:rPr>
          <w:i w:val="0"/>
          <w:iCs/>
        </w:rPr>
        <w:instrText xml:space="preserve"> S100A10/GFAP </w:instrText>
      </w:r>
      <w:r>
        <w:rPr>
          <w:i w:val="0"/>
          <w:iCs/>
        </w:rPr>
        <w:instrText>阳性</w:instrText>
      </w:r>
      <w:r>
        <w:rPr>
          <w:rFonts w:eastAsia="微软雅黑"/>
          <w:i w:val="0"/>
          <w:iCs/>
        </w:rPr>
        <w:instrText>细</w:instrText>
      </w:r>
      <w:r>
        <w:rPr>
          <w:i w:val="0"/>
          <w:iCs/>
        </w:rPr>
        <w:instrText>胞的数量和</w:instrText>
      </w:r>
      <w:r>
        <w:rPr>
          <w:i w:val="0"/>
          <w:iCs/>
        </w:rPr>
        <w:instrText xml:space="preserve"> S100A10 </w:instrText>
      </w:r>
      <w:r>
        <w:rPr>
          <w:i w:val="0"/>
          <w:iCs/>
        </w:rPr>
        <w:instrText>蛋白</w:instrText>
      </w:r>
      <w:r>
        <w:rPr>
          <w:rFonts w:eastAsia="微软雅黑"/>
          <w:i w:val="0"/>
          <w:iCs/>
        </w:rPr>
        <w:instrText>质</w:instrText>
      </w:r>
      <w:r>
        <w:rPr>
          <w:i w:val="0"/>
          <w:iCs/>
        </w:rPr>
        <w:instrText>表达。</w:instrText>
      </w:r>
      <w:r>
        <w:rPr>
          <w:rFonts w:eastAsia="微软雅黑"/>
          <w:i w:val="0"/>
          <w:iCs/>
        </w:rPr>
        <w:instrText>结论</w:instrText>
      </w:r>
      <w:r>
        <w:rPr>
          <w:i w:val="0"/>
          <w:iCs/>
        </w:rPr>
        <w:instrText>：我</w:instrText>
      </w:r>
      <w:r>
        <w:rPr>
          <w:rFonts w:eastAsia="微软雅黑"/>
          <w:i w:val="0"/>
          <w:iCs/>
        </w:rPr>
        <w:instrText>们</w:instrText>
      </w:r>
      <w:r>
        <w:rPr>
          <w:i w:val="0"/>
          <w:iCs/>
        </w:rPr>
        <w:instrText>的研究</w:instrText>
      </w:r>
      <w:r>
        <w:rPr>
          <w:rFonts w:eastAsia="微软雅黑"/>
          <w:i w:val="0"/>
          <w:iCs/>
        </w:rPr>
        <w:instrText>结</w:instrText>
      </w:r>
      <w:r>
        <w:rPr>
          <w:i w:val="0"/>
          <w:iCs/>
        </w:rPr>
        <w:instrText>果首先</w:instrText>
      </w:r>
      <w:r>
        <w:rPr>
          <w:rFonts w:eastAsia="微软雅黑"/>
          <w:i w:val="0"/>
          <w:iCs/>
        </w:rPr>
        <w:instrText>发现</w:instrText>
      </w:r>
      <w:r>
        <w:rPr>
          <w:i w:val="0"/>
          <w:iCs/>
        </w:rPr>
        <w:instrText>，</w:instrText>
      </w:r>
      <w:r>
        <w:rPr>
          <w:i w:val="0"/>
          <w:iCs/>
        </w:rPr>
        <w:instrText xml:space="preserve">CSO </w:instrText>
      </w:r>
      <w:r>
        <w:rPr>
          <w:i w:val="0"/>
          <w:iCs/>
        </w:rPr>
        <w:instrText>治</w:instrText>
      </w:r>
      <w:r>
        <w:rPr>
          <w:rFonts w:eastAsia="微软雅黑"/>
          <w:i w:val="0"/>
          <w:iCs/>
        </w:rPr>
        <w:instrText>疗</w:instrText>
      </w:r>
      <w:r>
        <w:rPr>
          <w:i w:val="0"/>
          <w:iCs/>
        </w:rPr>
        <w:instrText>通</w:instrText>
      </w:r>
      <w:r>
        <w:rPr>
          <w:rFonts w:eastAsia="微软雅黑"/>
          <w:i w:val="0"/>
          <w:iCs/>
        </w:rPr>
        <w:instrText>过</w:instrText>
      </w:r>
      <w:r>
        <w:rPr>
          <w:i w:val="0"/>
          <w:iCs/>
        </w:rPr>
        <w:instrText>减少小胶</w:instrText>
      </w:r>
      <w:r>
        <w:rPr>
          <w:rFonts w:eastAsia="微软雅黑"/>
          <w:i w:val="0"/>
          <w:iCs/>
        </w:rPr>
        <w:instrText>质细</w:instrText>
      </w:r>
      <w:r>
        <w:rPr>
          <w:i w:val="0"/>
          <w:iCs/>
        </w:rPr>
        <w:instrText>胞和星形胶</w:instrText>
      </w:r>
      <w:r>
        <w:rPr>
          <w:rFonts w:eastAsia="微软雅黑"/>
          <w:i w:val="0"/>
          <w:iCs/>
        </w:rPr>
        <w:instrText>质细</w:instrText>
      </w:r>
      <w:r>
        <w:rPr>
          <w:i w:val="0"/>
          <w:iCs/>
        </w:rPr>
        <w:instrText>胞的活化和炎症来</w:instrText>
      </w:r>
      <w:r>
        <w:rPr>
          <w:rFonts w:eastAsia="微软雅黑"/>
          <w:i w:val="0"/>
          <w:iCs/>
        </w:rPr>
        <w:instrText>缓</w:instrText>
      </w:r>
      <w:r>
        <w:rPr>
          <w:i w:val="0"/>
          <w:iCs/>
        </w:rPr>
        <w:instrText>解缺血性卒中</w:instrText>
      </w:r>
      <w:r>
        <w:rPr>
          <w:rFonts w:eastAsia="微软雅黑"/>
          <w:i w:val="0"/>
          <w:iCs/>
        </w:rPr>
        <w:instrText>损伤</w:instrText>
      </w:r>
      <w:r>
        <w:rPr>
          <w:i w:val="0"/>
          <w:iCs/>
        </w:rPr>
        <w:instrText>，</w:instrText>
      </w:r>
      <w:r>
        <w:rPr>
          <w:rFonts w:eastAsia="微软雅黑"/>
          <w:i w:val="0"/>
          <w:iCs/>
        </w:rPr>
        <w:instrText>这</w:instrText>
      </w:r>
      <w:r>
        <w:rPr>
          <w:i w:val="0"/>
          <w:iCs/>
        </w:rPr>
        <w:instrText>与抑制</w:instrText>
      </w:r>
      <w:r>
        <w:rPr>
          <w:i w:val="0"/>
          <w:iCs/>
        </w:rPr>
        <w:instrText xml:space="preserve"> TLR4/NF-κB </w:instrText>
      </w:r>
      <w:r>
        <w:rPr>
          <w:i w:val="0"/>
          <w:iCs/>
        </w:rPr>
        <w:instrText>途径和减少</w:instrText>
      </w:r>
      <w:r>
        <w:rPr>
          <w:i w:val="0"/>
          <w:iCs/>
        </w:rPr>
        <w:instrText xml:space="preserve"> A1 </w:instrText>
      </w:r>
      <w:r>
        <w:rPr>
          <w:i w:val="0"/>
          <w:iCs/>
        </w:rPr>
        <w:instrText>表型神</w:instrText>
      </w:r>
      <w:r>
        <w:rPr>
          <w:rFonts w:eastAsia="微软雅黑"/>
          <w:i w:val="0"/>
          <w:iCs/>
        </w:rPr>
        <w:instrText>经</w:instrText>
      </w:r>
      <w:r>
        <w:rPr>
          <w:i w:val="0"/>
          <w:iCs/>
        </w:rPr>
        <w:instrText>毒性星形胶</w:instrText>
      </w:r>
      <w:r>
        <w:rPr>
          <w:rFonts w:eastAsia="微软雅黑"/>
          <w:i w:val="0"/>
          <w:iCs/>
        </w:rPr>
        <w:instrText>质细</w:instrText>
      </w:r>
      <w:r>
        <w:rPr>
          <w:i w:val="0"/>
          <w:iCs/>
        </w:rPr>
        <w:instrText>胞活化有关，表明</w:instrText>
      </w:r>
      <w:r>
        <w:rPr>
          <w:i w:val="0"/>
          <w:iCs/>
        </w:rPr>
        <w:instrText xml:space="preserve"> CSO </w:instrText>
      </w:r>
      <w:r>
        <w:rPr>
          <w:i w:val="0"/>
          <w:iCs/>
        </w:rPr>
        <w:instrText>可能是</w:instrText>
      </w:r>
      <w:r>
        <w:rPr>
          <w:rFonts w:eastAsia="微软雅黑"/>
          <w:i w:val="0"/>
          <w:iCs/>
        </w:rPr>
        <w:instrText>预</w:instrText>
      </w:r>
      <w:r>
        <w:rPr>
          <w:i w:val="0"/>
          <w:iCs/>
        </w:rPr>
        <w:instrText>防缺血性卒中的一种新策略。</w:instrText>
      </w:r>
      <w:r>
        <w:rPr>
          <w:i w:val="0"/>
          <w:iCs/>
        </w:rPr>
        <w:instrText>","call-number":"1","container-title":"Journal of Neuroinflammation","DOI":"10.1186/s12974-020-01946-7","ISSN":"1742-2094","issue":"1","journalAbbreviation":"J Neuroinflammation","language":"en","note":"TLDR: Cottonseed oil treatment alleviated ischemic stroke injury by reducing microglial and astrocytic activation and inflammation, which was related to the inhibition of TLR4/NF-κB pathway and the reduction of A1 phenotype neurotoxicAstrocyte activation, suggesting that CSO could be a new strategy in the prevention of ischeic stroke.","page":"270","PMID":"32917229","PMCID":"PMC7488511","source":"9.3 (Q1)","title":"Cottonseed oil alleviates ischemic stroke injury by inhibiting the inflammatory activation of microglia and astrocyte","title-short":"</w:instrText>
      </w:r>
      <w:r>
        <w:rPr>
          <w:i w:val="0"/>
          <w:iCs/>
        </w:rPr>
        <w:instrText>棉籽油通</w:instrText>
      </w:r>
      <w:r>
        <w:rPr>
          <w:rFonts w:eastAsia="微软雅黑"/>
          <w:i w:val="0"/>
          <w:iCs/>
        </w:rPr>
        <w:instrText>过</w:instrText>
      </w:r>
      <w:r>
        <w:rPr>
          <w:i w:val="0"/>
          <w:iCs/>
        </w:rPr>
        <w:instrText>抑制小胶</w:instrText>
      </w:r>
      <w:r>
        <w:rPr>
          <w:rFonts w:eastAsia="微软雅黑"/>
          <w:i w:val="0"/>
          <w:iCs/>
        </w:rPr>
        <w:instrText>质细</w:instrText>
      </w:r>
      <w:r>
        <w:rPr>
          <w:i w:val="0"/>
          <w:iCs/>
        </w:rPr>
        <w:instrText>胞和星形胶</w:instrText>
      </w:r>
      <w:r>
        <w:rPr>
          <w:rFonts w:eastAsia="微软雅黑"/>
          <w:i w:val="0"/>
          <w:iCs/>
        </w:rPr>
        <w:instrText>质细</w:instrText>
      </w:r>
      <w:r>
        <w:rPr>
          <w:i w:val="0"/>
          <w:iCs/>
        </w:rPr>
        <w:instrText>胞的炎症活化来</w:instrText>
      </w:r>
      <w:r>
        <w:rPr>
          <w:rFonts w:eastAsia="微软雅黑"/>
          <w:i w:val="0"/>
          <w:iCs/>
        </w:rPr>
        <w:instrText>缓</w:instrText>
      </w:r>
      <w:r>
        <w:rPr>
          <w:i w:val="0"/>
          <w:iCs/>
        </w:rPr>
        <w:instrText>解缺血性卒中</w:instrText>
      </w:r>
      <w:r>
        <w:rPr>
          <w:rFonts w:eastAsia="微软雅黑"/>
          <w:i w:val="0"/>
          <w:iCs/>
        </w:rPr>
        <w:instrText>损伤</w:instrText>
      </w:r>
      <w:r>
        <w:rPr>
          <w:i w:val="0"/>
          <w:iCs/>
        </w:rPr>
        <w:instrText xml:space="preserve">","volume":"17","author":[{"family":"Liu","given":"Min"},{"family":"Xu","given":"Zhipeng"},{"family":"Wang","given":"Long"},{"family":"Zhang","given":"Lixia"},{"family":"Liu","given":"Yi"},{"family":"Cao","given":"Jiangbei"},{"family":"Fu","given":"Qiang"},{"family":"Liu","given":"Yanhong"},{"family":"Li","given":"Hao"},{"family":"Lou","given":"Jingsheng"},{"family":"Hou","given":"Wugang"},{"family":"Mi","given":"Weidong"},{"family":"Ma","given":"Yulong"}],"issued":{"date-parts":[["2020",12]]}}}],"schema":"https://github.com/citation-style-language/schema/raw/master/csl-citation.json"} </w:instrText>
      </w:r>
      <w:r>
        <w:rPr>
          <w:rFonts w:eastAsia="宋体"/>
          <w:i w:val="0"/>
          <w:iCs/>
        </w:rPr>
        <w:fldChar w:fldCharType="separate"/>
      </w:r>
      <w:r>
        <w:rPr>
          <w:i w:val="0"/>
          <w:iCs/>
        </w:rPr>
        <w:t>[3]</w:t>
      </w:r>
      <w:r>
        <w:rPr>
          <w:rFonts w:eastAsia="Times New Roman"/>
          <w:i w:val="0"/>
          <w:iCs/>
        </w:rPr>
        <w:fldChar w:fldCharType="end"/>
      </w:r>
      <w:r>
        <w:rPr>
          <w:rFonts w:eastAsia="Times New Roman"/>
          <w:i w:val="0"/>
          <w:iCs/>
        </w:rPr>
        <w:t xml:space="preserve">. High-mobility group box 1 contributes to the initiation and maintenance of microglial activation </w:t>
      </w:r>
      <w:r>
        <w:rPr>
          <w:rFonts w:eastAsia="宋体"/>
          <w:i w:val="0"/>
          <w:iCs/>
        </w:rPr>
        <w:fldChar w:fldCharType="begin"/>
      </w:r>
      <w:r>
        <w:rPr>
          <w:i w:val="0"/>
          <w:iCs/>
        </w:rPr>
        <w:instrText xml:space="preserve"> ADDIN ZOTERO_ITEM CSL_CITATION {"citationID":"iIDrehIf","properties":{"formattedCitation":"[4]","plainCitation":"[4]","noteIndex":0},"citationItems":[{"id":5627,"uris":["http://zotero.org/users/9311172/items/M92HQWAD"],"itemData":{"id":5627,"type":"article-journal","abstract":"Type 2 diabetes mellitus (T2DM) complicated with obstructive sleep apnea (OSA) may cause neuronal apoptosis and cognitive deficits, but the underlying mechanisms remain unclear. We aimed to determine the relationship between the activation of microglia and the apoptosis of hippocampal neurons, specifically in terms of high mobility group box-1 (HMGB1), after high glucose (HG) and intermittent hypoxia (IH) exposure. Diabetic KK-Ay mice and non-diabetic C57BL/6J mice (C57 mice) underwent IH or normoxia (control) exposure for 4 weeks. Cognitive function, microglial activation and hippocampal neuronal apoptosis were assessed after IH or normoxia exposure. Compared with C57 control mice, KK-Ay control mice exhibited increased cognitive dysfunction, microglial activation and hippocampal neuronal apoptosis. There were no differences between untreated KK-Ay control mice and C57 mice that had been exposed to IH. The abovementioned responses were aggravated in IH-exposed KK-Ay mice compared with control KK-Ay mice. In vitro, a cellular co-culture experiment showed that HG combined with IH could activate BV2 microglia, leading to the release of neuroinflammatory factors (ROS, TNF-α, IL-1β) and mediating the apoptosis of HT22 cells via the PI3K/Akt/GSK-3β signaling pathway. Meanwhile, HMGB1 was actively secreted into the extracellular environment from activated BV2 microglia. As a proinflammatory factor, it was able to sustain microglial activation by directly acting on those cells. The activation promoted positive feedback and aggravated neuronal damage further. In a cellular monoculture or co-culture system, HMGB1 siRNA was able to alleviate the activation of BV2 cells and the apoptosis of HT22 cells induced by HG combined with IH. Our object is to show that inhibition of HMGB1 may break the vicious cycle to prevent or treat neuroinflammation and hippocampal neuronal apoptosis caused by T2DM complicated with OSA.\n\n</w:instrText>
      </w:r>
      <w:r>
        <w:rPr>
          <w:i w:val="0"/>
          <w:iCs/>
        </w:rPr>
        <w:instrText>【摘要翻</w:instrText>
      </w:r>
      <w:r>
        <w:rPr>
          <w:rFonts w:eastAsia="微软雅黑"/>
          <w:i w:val="0"/>
          <w:iCs/>
        </w:rPr>
        <w:instrText>译</w:instrText>
      </w:r>
      <w:r>
        <w:rPr>
          <w:i w:val="0"/>
          <w:iCs/>
        </w:rPr>
        <w:instrText>】</w:instrText>
      </w:r>
      <w:r>
        <w:rPr>
          <w:i w:val="0"/>
          <w:iCs/>
        </w:rPr>
        <w:instrText>2</w:instrText>
      </w:r>
      <w:r>
        <w:rPr>
          <w:i w:val="0"/>
          <w:iCs/>
        </w:rPr>
        <w:instrText>型糖尿病（</w:instrText>
      </w:r>
      <w:r>
        <w:rPr>
          <w:i w:val="0"/>
          <w:iCs/>
        </w:rPr>
        <w:instrText>T2 DM</w:instrText>
      </w:r>
      <w:r>
        <w:rPr>
          <w:i w:val="0"/>
          <w:iCs/>
        </w:rPr>
        <w:instrText>）合并阻塞性睡眠呼吸</w:instrText>
      </w:r>
      <w:r>
        <w:rPr>
          <w:rFonts w:eastAsia="微软雅黑"/>
          <w:i w:val="0"/>
          <w:iCs/>
        </w:rPr>
        <w:instrText>暂</w:instrText>
      </w:r>
      <w:r>
        <w:rPr>
          <w:i w:val="0"/>
          <w:iCs/>
        </w:rPr>
        <w:instrText>停（</w:instrText>
      </w:r>
      <w:r>
        <w:rPr>
          <w:i w:val="0"/>
          <w:iCs/>
        </w:rPr>
        <w:instrText>OSA</w:instrText>
      </w:r>
      <w:r>
        <w:rPr>
          <w:i w:val="0"/>
          <w:iCs/>
        </w:rPr>
        <w:instrText>）可</w:instrText>
      </w:r>
      <w:r>
        <w:rPr>
          <w:rFonts w:eastAsia="微软雅黑"/>
          <w:i w:val="0"/>
          <w:iCs/>
        </w:rPr>
        <w:instrText>导</w:instrText>
      </w:r>
      <w:r>
        <w:rPr>
          <w:i w:val="0"/>
          <w:iCs/>
        </w:rPr>
        <w:instrText>致神</w:instrText>
      </w:r>
      <w:r>
        <w:rPr>
          <w:rFonts w:eastAsia="微软雅黑"/>
          <w:i w:val="0"/>
          <w:iCs/>
        </w:rPr>
        <w:instrText>经</w:instrText>
      </w:r>
      <w:r>
        <w:rPr>
          <w:i w:val="0"/>
          <w:iCs/>
        </w:rPr>
        <w:instrText>元凋亡和</w:instrText>
      </w:r>
      <w:r>
        <w:rPr>
          <w:rFonts w:eastAsia="微软雅黑"/>
          <w:i w:val="0"/>
          <w:iCs/>
        </w:rPr>
        <w:instrText>认</w:instrText>
      </w:r>
      <w:r>
        <w:rPr>
          <w:i w:val="0"/>
          <w:iCs/>
        </w:rPr>
        <w:instrText>知功能障碍，但其机制尚不清楚，本研究旨在探</w:instrText>
      </w:r>
      <w:r>
        <w:rPr>
          <w:rFonts w:eastAsia="微软雅黑"/>
          <w:i w:val="0"/>
          <w:iCs/>
        </w:rPr>
        <w:instrText>讨</w:instrText>
      </w:r>
      <w:r>
        <w:rPr>
          <w:i w:val="0"/>
          <w:iCs/>
        </w:rPr>
        <w:instrText>小胶</w:instrText>
      </w:r>
      <w:r>
        <w:rPr>
          <w:rFonts w:eastAsia="微软雅黑"/>
          <w:i w:val="0"/>
          <w:iCs/>
        </w:rPr>
        <w:instrText>质细</w:instrText>
      </w:r>
      <w:r>
        <w:rPr>
          <w:i w:val="0"/>
          <w:iCs/>
        </w:rPr>
        <w:instrText>胞活化与海</w:instrText>
      </w:r>
      <w:r>
        <w:rPr>
          <w:rFonts w:eastAsia="微软雅黑"/>
          <w:i w:val="0"/>
          <w:iCs/>
        </w:rPr>
        <w:instrText>马</w:instrText>
      </w:r>
      <w:r>
        <w:rPr>
          <w:i w:val="0"/>
          <w:iCs/>
        </w:rPr>
        <w:instrText>神</w:instrText>
      </w:r>
      <w:r>
        <w:rPr>
          <w:rFonts w:eastAsia="微软雅黑"/>
          <w:i w:val="0"/>
          <w:iCs/>
        </w:rPr>
        <w:instrText>经</w:instrText>
      </w:r>
      <w:r>
        <w:rPr>
          <w:i w:val="0"/>
          <w:iCs/>
        </w:rPr>
        <w:instrText>元凋亡的关系，特</w:instrText>
      </w:r>
      <w:r>
        <w:rPr>
          <w:rFonts w:eastAsia="微软雅黑"/>
          <w:i w:val="0"/>
          <w:iCs/>
        </w:rPr>
        <w:instrText>别</w:instrText>
      </w:r>
      <w:r>
        <w:rPr>
          <w:i w:val="0"/>
          <w:iCs/>
        </w:rPr>
        <w:instrText>是高迁移率族蛋白</w:instrText>
      </w:r>
      <w:r>
        <w:rPr>
          <w:i w:val="0"/>
          <w:iCs/>
        </w:rPr>
        <w:instrText>1</w:instrText>
      </w:r>
      <w:r>
        <w:rPr>
          <w:i w:val="0"/>
          <w:iCs/>
        </w:rPr>
        <w:instrText>（</w:instrText>
      </w:r>
      <w:r>
        <w:rPr>
          <w:i w:val="0"/>
          <w:iCs/>
        </w:rPr>
        <w:instrText>HMGB 1</w:instrText>
      </w:r>
      <w:r>
        <w:rPr>
          <w:i w:val="0"/>
          <w:iCs/>
        </w:rPr>
        <w:instrText>），糖尿病</w:instrText>
      </w:r>
      <w:r>
        <w:rPr>
          <w:i w:val="0"/>
          <w:iCs/>
        </w:rPr>
        <w:instrText>KK-Ay</w:instrText>
      </w:r>
      <w:r>
        <w:rPr>
          <w:i w:val="0"/>
          <w:iCs/>
        </w:rPr>
        <w:instrText>小鼠和非糖尿病</w:instrText>
      </w:r>
      <w:r>
        <w:rPr>
          <w:i w:val="0"/>
          <w:iCs/>
        </w:rPr>
        <w:instrText>C57 BL/6 J</w:instrText>
      </w:r>
      <w:r>
        <w:rPr>
          <w:i w:val="0"/>
          <w:iCs/>
        </w:rPr>
        <w:instrText>小鼠（</w:instrText>
      </w:r>
      <w:r>
        <w:rPr>
          <w:i w:val="0"/>
          <w:iCs/>
        </w:rPr>
        <w:instrText>C57</w:instrText>
      </w:r>
      <w:r>
        <w:rPr>
          <w:i w:val="0"/>
          <w:iCs/>
        </w:rPr>
        <w:instrText>小鼠）</w:instrText>
      </w:r>
      <w:r>
        <w:rPr>
          <w:rFonts w:eastAsia="微软雅黑"/>
          <w:i w:val="0"/>
          <w:iCs/>
        </w:rPr>
        <w:instrText>经历</w:instrText>
      </w:r>
      <w:r>
        <w:rPr>
          <w:i w:val="0"/>
          <w:iCs/>
        </w:rPr>
        <w:instrText>4</w:instrText>
      </w:r>
      <w:r>
        <w:rPr>
          <w:i w:val="0"/>
          <w:iCs/>
        </w:rPr>
        <w:instrText>周的</w:instrText>
      </w:r>
      <w:r>
        <w:rPr>
          <w:rFonts w:eastAsia="微软雅黑"/>
          <w:i w:val="0"/>
          <w:iCs/>
        </w:rPr>
        <w:instrText>间</w:instrText>
      </w:r>
      <w:r>
        <w:rPr>
          <w:i w:val="0"/>
          <w:iCs/>
        </w:rPr>
        <w:instrText>歇性低氧或常氧（</w:instrText>
      </w:r>
      <w:r>
        <w:rPr>
          <w:rFonts w:eastAsia="微软雅黑"/>
          <w:i w:val="0"/>
          <w:iCs/>
        </w:rPr>
        <w:instrText>对</w:instrText>
      </w:r>
      <w:r>
        <w:rPr>
          <w:i w:val="0"/>
          <w:iCs/>
        </w:rPr>
        <w:instrText>照）暴露</w:instrText>
      </w:r>
      <w:r>
        <w:rPr>
          <w:i w:val="0"/>
          <w:iCs/>
        </w:rPr>
        <w:instrText> </w:instrText>
      </w:r>
      <w:r>
        <w:rPr>
          <w:i w:val="0"/>
          <w:iCs/>
        </w:rPr>
        <w:instrText>。</w:instrText>
      </w:r>
      <w:r>
        <w:rPr>
          <w:rFonts w:eastAsia="微软雅黑"/>
          <w:i w:val="0"/>
          <w:iCs/>
        </w:rPr>
        <w:instrText>认</w:instrText>
      </w:r>
      <w:r>
        <w:rPr>
          <w:i w:val="0"/>
          <w:iCs/>
        </w:rPr>
        <w:instrText>知功能，在</w:instrText>
      </w:r>
      <w:r>
        <w:rPr>
          <w:i w:val="0"/>
          <w:iCs/>
        </w:rPr>
        <w:instrText>IH</w:instrText>
      </w:r>
      <w:r>
        <w:rPr>
          <w:i w:val="0"/>
          <w:iCs/>
        </w:rPr>
        <w:instrText>或常氧暴露后</w:instrText>
      </w:r>
      <w:r>
        <w:rPr>
          <w:rFonts w:eastAsia="微软雅黑"/>
          <w:i w:val="0"/>
          <w:iCs/>
        </w:rPr>
        <w:instrText>评</w:instrText>
      </w:r>
      <w:r>
        <w:rPr>
          <w:i w:val="0"/>
          <w:iCs/>
        </w:rPr>
        <w:instrText>估小胶</w:instrText>
      </w:r>
      <w:r>
        <w:rPr>
          <w:rFonts w:eastAsia="微软雅黑"/>
          <w:i w:val="0"/>
          <w:iCs/>
        </w:rPr>
        <w:instrText>质细</w:instrText>
      </w:r>
      <w:r>
        <w:rPr>
          <w:i w:val="0"/>
          <w:iCs/>
        </w:rPr>
        <w:instrText>胞活化和海</w:instrText>
      </w:r>
      <w:r>
        <w:rPr>
          <w:rFonts w:eastAsia="微软雅黑"/>
          <w:i w:val="0"/>
          <w:iCs/>
        </w:rPr>
        <w:instrText>马</w:instrText>
      </w:r>
      <w:r>
        <w:rPr>
          <w:i w:val="0"/>
          <w:iCs/>
        </w:rPr>
        <w:instrText>神</w:instrText>
      </w:r>
      <w:r>
        <w:rPr>
          <w:rFonts w:eastAsia="微软雅黑"/>
          <w:i w:val="0"/>
          <w:iCs/>
        </w:rPr>
        <w:instrText>经</w:instrText>
      </w:r>
      <w:r>
        <w:rPr>
          <w:i w:val="0"/>
          <w:iCs/>
        </w:rPr>
        <w:instrText>元凋亡。与</w:instrText>
      </w:r>
      <w:r>
        <w:rPr>
          <w:i w:val="0"/>
          <w:iCs/>
        </w:rPr>
        <w:instrText>C57</w:instrText>
      </w:r>
      <w:r>
        <w:rPr>
          <w:rFonts w:eastAsia="微软雅黑"/>
          <w:i w:val="0"/>
          <w:iCs/>
        </w:rPr>
        <w:instrText>对</w:instrText>
      </w:r>
      <w:r>
        <w:rPr>
          <w:i w:val="0"/>
          <w:iCs/>
        </w:rPr>
        <w:instrText>照小鼠相比，</w:instrText>
      </w:r>
      <w:r>
        <w:rPr>
          <w:i w:val="0"/>
          <w:iCs/>
        </w:rPr>
        <w:instrText>KK-Ay</w:instrText>
      </w:r>
      <w:r>
        <w:rPr>
          <w:rFonts w:eastAsia="微软雅黑"/>
          <w:i w:val="0"/>
          <w:iCs/>
        </w:rPr>
        <w:instrText>对</w:instrText>
      </w:r>
      <w:r>
        <w:rPr>
          <w:i w:val="0"/>
          <w:iCs/>
        </w:rPr>
        <w:instrText>照小鼠表</w:instrText>
      </w:r>
      <w:r>
        <w:rPr>
          <w:rFonts w:eastAsia="微软雅黑"/>
          <w:i w:val="0"/>
          <w:iCs/>
        </w:rPr>
        <w:instrText>现</w:instrText>
      </w:r>
      <w:r>
        <w:rPr>
          <w:i w:val="0"/>
          <w:iCs/>
        </w:rPr>
        <w:instrText>出增加的</w:instrText>
      </w:r>
      <w:r>
        <w:rPr>
          <w:rFonts w:eastAsia="微软雅黑"/>
          <w:i w:val="0"/>
          <w:iCs/>
        </w:rPr>
        <w:instrText>认</w:instrText>
      </w:r>
      <w:r>
        <w:rPr>
          <w:i w:val="0"/>
          <w:iCs/>
        </w:rPr>
        <w:instrText>知功能障碍，小胶</w:instrText>
      </w:r>
      <w:r>
        <w:rPr>
          <w:rFonts w:eastAsia="微软雅黑"/>
          <w:i w:val="0"/>
          <w:iCs/>
        </w:rPr>
        <w:instrText>质细</w:instrText>
      </w:r>
      <w:r>
        <w:rPr>
          <w:i w:val="0"/>
          <w:iCs/>
        </w:rPr>
        <w:instrText>胞活化和海</w:instrText>
      </w:r>
      <w:r>
        <w:rPr>
          <w:rFonts w:eastAsia="微软雅黑"/>
          <w:i w:val="0"/>
          <w:iCs/>
        </w:rPr>
        <w:instrText>马</w:instrText>
      </w:r>
      <w:r>
        <w:rPr>
          <w:i w:val="0"/>
          <w:iCs/>
        </w:rPr>
        <w:instrText>神</w:instrText>
      </w:r>
      <w:r>
        <w:rPr>
          <w:rFonts w:eastAsia="微软雅黑"/>
          <w:i w:val="0"/>
          <w:iCs/>
        </w:rPr>
        <w:instrText>经</w:instrText>
      </w:r>
      <w:r>
        <w:rPr>
          <w:i w:val="0"/>
          <w:iCs/>
        </w:rPr>
        <w:instrText>元凋亡。未</w:instrText>
      </w:r>
      <w:r>
        <w:rPr>
          <w:rFonts w:eastAsia="微软雅黑"/>
          <w:i w:val="0"/>
          <w:iCs/>
        </w:rPr>
        <w:instrText>处</w:instrText>
      </w:r>
      <w:r>
        <w:rPr>
          <w:i w:val="0"/>
          <w:iCs/>
        </w:rPr>
        <w:instrText>理的</w:instrText>
      </w:r>
      <w:r>
        <w:rPr>
          <w:i w:val="0"/>
          <w:iCs/>
        </w:rPr>
        <w:instrText>KK-Ay</w:instrText>
      </w:r>
      <w:r>
        <w:rPr>
          <w:rFonts w:eastAsia="微软雅黑"/>
          <w:i w:val="0"/>
          <w:iCs/>
        </w:rPr>
        <w:instrText>对</w:instrText>
      </w:r>
      <w:r>
        <w:rPr>
          <w:i w:val="0"/>
          <w:iCs/>
        </w:rPr>
        <w:instrText>照小鼠和暴露于</w:instrText>
      </w:r>
      <w:r>
        <w:rPr>
          <w:i w:val="0"/>
          <w:iCs/>
        </w:rPr>
        <w:instrText>IH</w:instrText>
      </w:r>
      <w:r>
        <w:rPr>
          <w:i w:val="0"/>
          <w:iCs/>
        </w:rPr>
        <w:instrText>的</w:instrText>
      </w:r>
      <w:r>
        <w:rPr>
          <w:i w:val="0"/>
          <w:iCs/>
        </w:rPr>
        <w:instrText>C57</w:instrText>
      </w:r>
      <w:r>
        <w:rPr>
          <w:i w:val="0"/>
          <w:iCs/>
        </w:rPr>
        <w:instrText>小鼠之</w:instrText>
      </w:r>
      <w:r>
        <w:rPr>
          <w:rFonts w:eastAsia="微软雅黑"/>
          <w:i w:val="0"/>
          <w:iCs/>
        </w:rPr>
        <w:instrText>间</w:instrText>
      </w:r>
      <w:r>
        <w:rPr>
          <w:i w:val="0"/>
          <w:iCs/>
        </w:rPr>
        <w:instrText>没有差异。体外</w:instrText>
      </w:r>
      <w:r>
        <w:rPr>
          <w:rFonts w:eastAsia="微软雅黑"/>
          <w:i w:val="0"/>
          <w:iCs/>
        </w:rPr>
        <w:instrText>细</w:instrText>
      </w:r>
      <w:r>
        <w:rPr>
          <w:i w:val="0"/>
          <w:iCs/>
        </w:rPr>
        <w:instrText>胞共培养</w:instrText>
      </w:r>
      <w:r>
        <w:rPr>
          <w:rFonts w:eastAsia="微软雅黑"/>
          <w:i w:val="0"/>
          <w:iCs/>
        </w:rPr>
        <w:instrText>实验</w:instrText>
      </w:r>
      <w:r>
        <w:rPr>
          <w:i w:val="0"/>
          <w:iCs/>
        </w:rPr>
        <w:instrText>表明，</w:instrText>
      </w:r>
      <w:r>
        <w:rPr>
          <w:i w:val="0"/>
          <w:iCs/>
        </w:rPr>
        <w:instrText>HG</w:instrText>
      </w:r>
      <w:r>
        <w:rPr>
          <w:rFonts w:eastAsia="微软雅黑"/>
          <w:i w:val="0"/>
          <w:iCs/>
        </w:rPr>
        <w:instrText>联</w:instrText>
      </w:r>
      <w:r>
        <w:rPr>
          <w:i w:val="0"/>
          <w:iCs/>
        </w:rPr>
        <w:instrText>合</w:instrText>
      </w:r>
      <w:r>
        <w:rPr>
          <w:i w:val="0"/>
          <w:iCs/>
        </w:rPr>
        <w:instrText>IH</w:instrText>
      </w:r>
      <w:r>
        <w:rPr>
          <w:i w:val="0"/>
          <w:iCs/>
        </w:rPr>
        <w:instrText>可激活</w:instrText>
      </w:r>
      <w:r>
        <w:rPr>
          <w:i w:val="0"/>
          <w:iCs/>
        </w:rPr>
        <w:instrText>BV 2</w:instrText>
      </w:r>
      <w:r>
        <w:rPr>
          <w:i w:val="0"/>
          <w:iCs/>
        </w:rPr>
        <w:instrText>小胶</w:instrText>
      </w:r>
      <w:r>
        <w:rPr>
          <w:rFonts w:eastAsia="微软雅黑"/>
          <w:i w:val="0"/>
          <w:iCs/>
        </w:rPr>
        <w:instrText>质细</w:instrText>
      </w:r>
      <w:r>
        <w:rPr>
          <w:i w:val="0"/>
          <w:iCs/>
        </w:rPr>
        <w:instrText>胞，</w:instrText>
      </w:r>
      <w:r>
        <w:rPr>
          <w:rFonts w:eastAsia="微软雅黑"/>
          <w:i w:val="0"/>
          <w:iCs/>
        </w:rPr>
        <w:instrText>导</w:instrText>
      </w:r>
      <w:r>
        <w:rPr>
          <w:i w:val="0"/>
          <w:iCs/>
        </w:rPr>
        <w:instrText>致神</w:instrText>
      </w:r>
      <w:r>
        <w:rPr>
          <w:rFonts w:eastAsia="微软雅黑"/>
          <w:i w:val="0"/>
          <w:iCs/>
        </w:rPr>
        <w:instrText>经</w:instrText>
      </w:r>
      <w:r>
        <w:rPr>
          <w:i w:val="0"/>
          <w:iCs/>
        </w:rPr>
        <w:instrText>炎性因子的</w:instrText>
      </w:r>
      <w:r>
        <w:rPr>
          <w:rFonts w:eastAsia="微软雅黑"/>
          <w:i w:val="0"/>
          <w:iCs/>
        </w:rPr>
        <w:instrText>释</w:instrText>
      </w:r>
      <w:r>
        <w:rPr>
          <w:i w:val="0"/>
          <w:iCs/>
        </w:rPr>
        <w:instrText>放</w:instrText>
      </w:r>
      <w:r>
        <w:rPr>
          <w:i w:val="0"/>
          <w:iCs/>
        </w:rPr>
        <w:instrText>IL-1β</w:instrText>
      </w:r>
      <w:r>
        <w:rPr>
          <w:i w:val="0"/>
          <w:iCs/>
        </w:rPr>
        <w:instrText>、</w:instrText>
      </w:r>
      <w:r>
        <w:rPr>
          <w:i w:val="0"/>
          <w:iCs/>
        </w:rPr>
        <w:instrText>TNF-α</w:instrText>
      </w:r>
      <w:r>
        <w:rPr>
          <w:i w:val="0"/>
          <w:iCs/>
        </w:rPr>
        <w:instrText>、</w:instrText>
      </w:r>
      <w:r>
        <w:rPr>
          <w:i w:val="0"/>
          <w:iCs/>
        </w:rPr>
        <w:instrText>ROS</w:instrText>
      </w:r>
      <w:r>
        <w:rPr>
          <w:i w:val="0"/>
          <w:iCs/>
        </w:rPr>
        <w:instrText>等多种</w:instrText>
      </w:r>
      <w:r>
        <w:rPr>
          <w:rFonts w:eastAsia="微软雅黑"/>
          <w:i w:val="0"/>
          <w:iCs/>
        </w:rPr>
        <w:instrText>细</w:instrText>
      </w:r>
      <w:r>
        <w:rPr>
          <w:i w:val="0"/>
          <w:iCs/>
        </w:rPr>
        <w:instrText>胞因子的作用，并通</w:instrText>
      </w:r>
      <w:r>
        <w:rPr>
          <w:rFonts w:eastAsia="微软雅黑"/>
          <w:i w:val="0"/>
          <w:iCs/>
        </w:rPr>
        <w:instrText>过</w:instrText>
      </w:r>
      <w:r>
        <w:rPr>
          <w:i w:val="0"/>
          <w:iCs/>
        </w:rPr>
        <w:instrText>PI 3 K/Akt/GSK-3β</w:instrText>
      </w:r>
      <w:r>
        <w:rPr>
          <w:i w:val="0"/>
          <w:iCs/>
        </w:rPr>
        <w:instrText>信号通路介</w:instrText>
      </w:r>
      <w:r>
        <w:rPr>
          <w:rFonts w:eastAsia="微软雅黑"/>
          <w:i w:val="0"/>
          <w:iCs/>
        </w:rPr>
        <w:instrText>导</w:instrText>
      </w:r>
      <w:r>
        <w:rPr>
          <w:i w:val="0"/>
          <w:iCs/>
        </w:rPr>
        <w:instrText>HT-22</w:instrText>
      </w:r>
      <w:r>
        <w:rPr>
          <w:rFonts w:eastAsia="微软雅黑"/>
          <w:i w:val="0"/>
          <w:iCs/>
        </w:rPr>
        <w:instrText>细</w:instrText>
      </w:r>
      <w:r>
        <w:rPr>
          <w:i w:val="0"/>
          <w:iCs/>
        </w:rPr>
        <w:instrText>胞凋亡。</w:instrText>
      </w:r>
      <w:r>
        <w:rPr>
          <w:i w:val="0"/>
          <w:iCs/>
        </w:rPr>
        <w:instrText>HMGB 1</w:instrText>
      </w:r>
      <w:r>
        <w:rPr>
          <w:i w:val="0"/>
          <w:iCs/>
        </w:rPr>
        <w:instrText>由活化的</w:instrText>
      </w:r>
      <w:r>
        <w:rPr>
          <w:i w:val="0"/>
          <w:iCs/>
        </w:rPr>
        <w:instrText>BV 2</w:instrText>
      </w:r>
      <w:r>
        <w:rPr>
          <w:i w:val="0"/>
          <w:iCs/>
        </w:rPr>
        <w:instrText>小胶</w:instrText>
      </w:r>
      <w:r>
        <w:rPr>
          <w:rFonts w:eastAsia="微软雅黑"/>
          <w:i w:val="0"/>
          <w:iCs/>
        </w:rPr>
        <w:instrText>质细</w:instrText>
      </w:r>
      <w:r>
        <w:rPr>
          <w:i w:val="0"/>
          <w:iCs/>
        </w:rPr>
        <w:instrText>胞主</w:instrText>
      </w:r>
      <w:r>
        <w:rPr>
          <w:rFonts w:eastAsia="微软雅黑"/>
          <w:i w:val="0"/>
          <w:iCs/>
        </w:rPr>
        <w:instrText>动</w:instrText>
      </w:r>
      <w:r>
        <w:rPr>
          <w:i w:val="0"/>
          <w:iCs/>
        </w:rPr>
        <w:instrText>分泌到</w:instrText>
      </w:r>
      <w:r>
        <w:rPr>
          <w:rFonts w:eastAsia="微软雅黑"/>
          <w:i w:val="0"/>
          <w:iCs/>
        </w:rPr>
        <w:instrText>细</w:instrText>
      </w:r>
      <w:r>
        <w:rPr>
          <w:i w:val="0"/>
          <w:iCs/>
        </w:rPr>
        <w:instrText>胞外</w:instrText>
      </w:r>
      <w:r>
        <w:rPr>
          <w:rFonts w:eastAsia="微软雅黑"/>
          <w:i w:val="0"/>
          <w:iCs/>
        </w:rPr>
        <w:instrText>环</w:instrText>
      </w:r>
      <w:r>
        <w:rPr>
          <w:i w:val="0"/>
          <w:iCs/>
        </w:rPr>
        <w:instrText>境中，作</w:instrText>
      </w:r>
      <w:r>
        <w:rPr>
          <w:rFonts w:eastAsia="微软雅黑"/>
          <w:i w:val="0"/>
          <w:iCs/>
        </w:rPr>
        <w:instrText>为</w:instrText>
      </w:r>
      <w:r>
        <w:rPr>
          <w:i w:val="0"/>
          <w:iCs/>
        </w:rPr>
        <w:instrText>一种促炎因子，它能</w:instrText>
      </w:r>
      <w:r>
        <w:rPr>
          <w:rFonts w:eastAsia="微软雅黑"/>
          <w:i w:val="0"/>
          <w:iCs/>
        </w:rPr>
        <w:instrText>够</w:instrText>
      </w:r>
      <w:r>
        <w:rPr>
          <w:i w:val="0"/>
          <w:iCs/>
        </w:rPr>
        <w:instrText>通</w:instrText>
      </w:r>
      <w:r>
        <w:rPr>
          <w:rFonts w:eastAsia="微软雅黑"/>
          <w:i w:val="0"/>
          <w:iCs/>
        </w:rPr>
        <w:instrText>过</w:instrText>
      </w:r>
      <w:r>
        <w:rPr>
          <w:i w:val="0"/>
          <w:iCs/>
        </w:rPr>
        <w:instrText>直接作用于小胶</w:instrText>
      </w:r>
      <w:r>
        <w:rPr>
          <w:rFonts w:eastAsia="微软雅黑"/>
          <w:i w:val="0"/>
          <w:iCs/>
        </w:rPr>
        <w:instrText>质细</w:instrText>
      </w:r>
      <w:r>
        <w:rPr>
          <w:i w:val="0"/>
          <w:iCs/>
        </w:rPr>
        <w:instrText>胞来</w:instrText>
      </w:r>
      <w:r>
        <w:rPr>
          <w:rFonts w:eastAsia="微软雅黑"/>
          <w:i w:val="0"/>
          <w:iCs/>
        </w:rPr>
        <w:instrText>维</w:instrText>
      </w:r>
      <w:r>
        <w:rPr>
          <w:i w:val="0"/>
          <w:iCs/>
        </w:rPr>
        <w:instrText>持小胶</w:instrText>
      </w:r>
      <w:r>
        <w:rPr>
          <w:rFonts w:eastAsia="微软雅黑"/>
          <w:i w:val="0"/>
          <w:iCs/>
        </w:rPr>
        <w:instrText>质细</w:instrText>
      </w:r>
      <w:r>
        <w:rPr>
          <w:i w:val="0"/>
          <w:iCs/>
        </w:rPr>
        <w:instrText>胞的激活，</w:instrText>
      </w:r>
      <w:r>
        <w:rPr>
          <w:rFonts w:eastAsia="微软雅黑"/>
          <w:i w:val="0"/>
          <w:iCs/>
        </w:rPr>
        <w:instrText>这</w:instrText>
      </w:r>
      <w:r>
        <w:rPr>
          <w:i w:val="0"/>
          <w:iCs/>
        </w:rPr>
        <w:instrText>种激活促</w:instrText>
      </w:r>
      <w:r>
        <w:rPr>
          <w:rFonts w:eastAsia="微软雅黑"/>
          <w:i w:val="0"/>
          <w:iCs/>
        </w:rPr>
        <w:instrText>进</w:instrText>
      </w:r>
      <w:r>
        <w:rPr>
          <w:i w:val="0"/>
          <w:iCs/>
        </w:rPr>
        <w:instrText>了正反</w:instrText>
      </w:r>
      <w:r>
        <w:rPr>
          <w:rFonts w:eastAsia="微软雅黑"/>
          <w:i w:val="0"/>
          <w:iCs/>
        </w:rPr>
        <w:instrText>馈</w:instrText>
      </w:r>
      <w:r>
        <w:rPr>
          <w:i w:val="0"/>
          <w:iCs/>
        </w:rPr>
        <w:instrText>，加重了神</w:instrText>
      </w:r>
      <w:r>
        <w:rPr>
          <w:rFonts w:eastAsia="微软雅黑"/>
          <w:i w:val="0"/>
          <w:iCs/>
        </w:rPr>
        <w:instrText>经</w:instrText>
      </w:r>
      <w:r>
        <w:rPr>
          <w:i w:val="0"/>
          <w:iCs/>
        </w:rPr>
        <w:instrText>元</w:instrText>
      </w:r>
      <w:r>
        <w:rPr>
          <w:rFonts w:eastAsia="微软雅黑"/>
          <w:i w:val="0"/>
          <w:iCs/>
        </w:rPr>
        <w:instrText>损伤</w:instrText>
      </w:r>
      <w:r>
        <w:rPr>
          <w:i w:val="0"/>
          <w:iCs/>
        </w:rPr>
        <w:instrText>在</w:instrText>
      </w:r>
      <w:r>
        <w:rPr>
          <w:rFonts w:eastAsia="微软雅黑"/>
          <w:i w:val="0"/>
          <w:iCs/>
        </w:rPr>
        <w:instrText>细</w:instrText>
      </w:r>
      <w:r>
        <w:rPr>
          <w:i w:val="0"/>
          <w:iCs/>
        </w:rPr>
        <w:instrText>胞</w:instrText>
      </w:r>
      <w:r>
        <w:rPr>
          <w:rFonts w:eastAsia="微软雅黑"/>
          <w:i w:val="0"/>
          <w:iCs/>
        </w:rPr>
        <w:instrText>单</w:instrText>
      </w:r>
      <w:r>
        <w:rPr>
          <w:i w:val="0"/>
          <w:iCs/>
        </w:rPr>
        <w:instrText>培养或共培养体系中，</w:instrText>
      </w:r>
      <w:r>
        <w:rPr>
          <w:i w:val="0"/>
          <w:iCs/>
        </w:rPr>
        <w:instrText>HMGB 1 siRNA</w:instrText>
      </w:r>
      <w:r>
        <w:rPr>
          <w:i w:val="0"/>
          <w:iCs/>
        </w:rPr>
        <w:instrText>能</w:instrText>
      </w:r>
      <w:r>
        <w:rPr>
          <w:rFonts w:eastAsia="微软雅黑"/>
          <w:i w:val="0"/>
          <w:iCs/>
        </w:rPr>
        <w:instrText>够</w:instrText>
      </w:r>
      <w:r>
        <w:rPr>
          <w:i w:val="0"/>
          <w:iCs/>
        </w:rPr>
        <w:instrText>减</w:instrText>
      </w:r>
      <w:r>
        <w:rPr>
          <w:rFonts w:eastAsia="微软雅黑"/>
          <w:i w:val="0"/>
          <w:iCs/>
        </w:rPr>
        <w:instrText>轻</w:instrText>
      </w:r>
      <w:r>
        <w:rPr>
          <w:i w:val="0"/>
          <w:iCs/>
        </w:rPr>
        <w:instrText>HG</w:instrText>
      </w:r>
      <w:r>
        <w:rPr>
          <w:rFonts w:eastAsia="微软雅黑"/>
          <w:i w:val="0"/>
          <w:iCs/>
        </w:rPr>
        <w:instrText>联</w:instrText>
      </w:r>
      <w:r>
        <w:rPr>
          <w:i w:val="0"/>
          <w:iCs/>
        </w:rPr>
        <w:instrText>合</w:instrText>
      </w:r>
      <w:r>
        <w:rPr>
          <w:i w:val="0"/>
          <w:iCs/>
        </w:rPr>
        <w:instrText>IH</w:instrText>
      </w:r>
      <w:r>
        <w:rPr>
          <w:rFonts w:eastAsia="微软雅黑"/>
          <w:i w:val="0"/>
          <w:iCs/>
        </w:rPr>
        <w:instrText>诱导</w:instrText>
      </w:r>
      <w:r>
        <w:rPr>
          <w:i w:val="0"/>
          <w:iCs/>
        </w:rPr>
        <w:instrText>的</w:instrText>
      </w:r>
      <w:r>
        <w:rPr>
          <w:i w:val="0"/>
          <w:iCs/>
        </w:rPr>
        <w:instrText>BV 2</w:instrText>
      </w:r>
      <w:r>
        <w:rPr>
          <w:rFonts w:eastAsia="微软雅黑"/>
          <w:i w:val="0"/>
          <w:iCs/>
        </w:rPr>
        <w:instrText>细</w:instrText>
      </w:r>
      <w:r>
        <w:rPr>
          <w:i w:val="0"/>
          <w:iCs/>
        </w:rPr>
        <w:instrText>胞活化和</w:instrText>
      </w:r>
      <w:r>
        <w:rPr>
          <w:i w:val="0"/>
          <w:iCs/>
        </w:rPr>
        <w:instrText>HT 22</w:instrText>
      </w:r>
      <w:r>
        <w:rPr>
          <w:rFonts w:eastAsia="微软雅黑"/>
          <w:i w:val="0"/>
          <w:iCs/>
        </w:rPr>
        <w:instrText>细</w:instrText>
      </w:r>
      <w:r>
        <w:rPr>
          <w:i w:val="0"/>
          <w:iCs/>
        </w:rPr>
        <w:instrText>胞凋亡。我</w:instrText>
      </w:r>
      <w:r>
        <w:rPr>
          <w:rFonts w:eastAsia="微软雅黑"/>
          <w:i w:val="0"/>
          <w:iCs/>
        </w:rPr>
        <w:instrText>们</w:instrText>
      </w:r>
      <w:r>
        <w:rPr>
          <w:i w:val="0"/>
          <w:iCs/>
        </w:rPr>
        <w:instrText>的目的是表明抑制</w:instrText>
      </w:r>
      <w:r>
        <w:rPr>
          <w:i w:val="0"/>
          <w:iCs/>
        </w:rPr>
        <w:instrText>HMGB 1</w:instrText>
      </w:r>
      <w:r>
        <w:rPr>
          <w:i w:val="0"/>
          <w:iCs/>
        </w:rPr>
        <w:instrText>可能打破</w:instrText>
      </w:r>
      <w:r>
        <w:rPr>
          <w:rFonts w:eastAsia="微软雅黑"/>
          <w:i w:val="0"/>
          <w:iCs/>
        </w:rPr>
        <w:instrText>恶</w:instrText>
      </w:r>
      <w:r>
        <w:rPr>
          <w:i w:val="0"/>
          <w:iCs/>
        </w:rPr>
        <w:instrText>性循</w:instrText>
      </w:r>
      <w:r>
        <w:rPr>
          <w:rFonts w:eastAsia="微软雅黑"/>
          <w:i w:val="0"/>
          <w:iCs/>
        </w:rPr>
        <w:instrText>环</w:instrText>
      </w:r>
      <w:r>
        <w:rPr>
          <w:i w:val="0"/>
          <w:iCs/>
        </w:rPr>
        <w:instrText>，从而</w:instrText>
      </w:r>
      <w:r>
        <w:rPr>
          <w:rFonts w:eastAsia="微软雅黑"/>
          <w:i w:val="0"/>
          <w:iCs/>
        </w:rPr>
        <w:instrText>预</w:instrText>
      </w:r>
      <w:r>
        <w:rPr>
          <w:i w:val="0"/>
          <w:iCs/>
        </w:rPr>
        <w:instrText>防或治</w:instrText>
      </w:r>
      <w:r>
        <w:rPr>
          <w:rFonts w:eastAsia="微软雅黑"/>
          <w:i w:val="0"/>
          <w:iCs/>
        </w:rPr>
        <w:instrText>疗</w:instrText>
      </w:r>
      <w:r>
        <w:rPr>
          <w:i w:val="0"/>
          <w:iCs/>
        </w:rPr>
        <w:instrText>2</w:instrText>
      </w:r>
      <w:r>
        <w:rPr>
          <w:i w:val="0"/>
          <w:iCs/>
        </w:rPr>
        <w:instrText>型糖尿病合并</w:instrText>
      </w:r>
      <w:r>
        <w:rPr>
          <w:i w:val="0"/>
          <w:iCs/>
        </w:rPr>
        <w:instrText>OSA</w:instrText>
      </w:r>
      <w:r>
        <w:rPr>
          <w:i w:val="0"/>
          <w:iCs/>
        </w:rPr>
        <w:instrText>引起的神</w:instrText>
      </w:r>
      <w:r>
        <w:rPr>
          <w:rFonts w:eastAsia="微软雅黑"/>
          <w:i w:val="0"/>
          <w:iCs/>
        </w:rPr>
        <w:instrText>经</w:instrText>
      </w:r>
      <w:r>
        <w:rPr>
          <w:i w:val="0"/>
          <w:iCs/>
        </w:rPr>
        <w:instrText>炎症和海</w:instrText>
      </w:r>
      <w:r>
        <w:rPr>
          <w:rFonts w:eastAsia="微软雅黑"/>
          <w:i w:val="0"/>
          <w:iCs/>
        </w:rPr>
        <w:instrText>马</w:instrText>
      </w:r>
      <w:r>
        <w:rPr>
          <w:i w:val="0"/>
          <w:iCs/>
        </w:rPr>
        <w:instrText>神</w:instrText>
      </w:r>
      <w:r>
        <w:rPr>
          <w:rFonts w:eastAsia="微软雅黑"/>
          <w:i w:val="0"/>
          <w:iCs/>
        </w:rPr>
        <w:instrText>经</w:instrText>
      </w:r>
      <w:r>
        <w:rPr>
          <w:i w:val="0"/>
          <w:iCs/>
        </w:rPr>
        <w:instrText>元凋亡。</w:instrText>
      </w:r>
      <w:r>
        <w:rPr>
          <w:i w:val="0"/>
          <w:iCs/>
        </w:rPr>
        <w:instrText xml:space="preserve">","call-number":"1","container-title":"Brain, Behavior, and Immunity","DOI":"10.1016/j.bbi.2018.06.012","ISSN":"0889-1591","journalAbbreviation":"Brain, Behavior, and Immunity","language":"en","note":"titleTranslation: </w:instrText>
      </w:r>
      <w:r>
        <w:rPr>
          <w:i w:val="0"/>
          <w:iCs/>
        </w:rPr>
        <w:instrText>活化小胶</w:instrText>
      </w:r>
      <w:r>
        <w:rPr>
          <w:rFonts w:eastAsia="微软雅黑"/>
          <w:i w:val="0"/>
          <w:iCs/>
        </w:rPr>
        <w:instrText>质细</w:instrText>
      </w:r>
      <w:r>
        <w:rPr>
          <w:i w:val="0"/>
          <w:iCs/>
        </w:rPr>
        <w:instrText>胞</w:instrText>
      </w:r>
      <w:r>
        <w:rPr>
          <w:i w:val="0"/>
          <w:iCs/>
        </w:rPr>
        <w:instrText>DNA</w:instrText>
      </w:r>
      <w:r>
        <w:rPr>
          <w:rFonts w:eastAsia="微软雅黑"/>
          <w:i w:val="0"/>
          <w:iCs/>
        </w:rPr>
        <w:instrText>结</w:instrText>
      </w:r>
      <w:r>
        <w:rPr>
          <w:i w:val="0"/>
          <w:iCs/>
        </w:rPr>
        <w:instrText>合蛋白</w:instrText>
      </w:r>
      <w:r>
        <w:rPr>
          <w:i w:val="0"/>
          <w:iCs/>
        </w:rPr>
        <w:instrText>HMGB1</w:instrText>
      </w:r>
      <w:r>
        <w:rPr>
          <w:i w:val="0"/>
          <w:iCs/>
        </w:rPr>
        <w:instrText>促</w:instrText>
      </w:r>
      <w:r>
        <w:rPr>
          <w:rFonts w:eastAsia="微软雅黑"/>
          <w:i w:val="0"/>
          <w:iCs/>
        </w:rPr>
        <w:instrText>进</w:instrText>
      </w:r>
      <w:r>
        <w:rPr>
          <w:i w:val="0"/>
          <w:iCs/>
        </w:rPr>
        <w:instrText>糖尿病合并</w:instrText>
      </w:r>
      <w:r>
        <w:rPr>
          <w:i w:val="0"/>
          <w:iCs/>
        </w:rPr>
        <w:instrText>OSA</w:instrText>
      </w:r>
      <w:r>
        <w:rPr>
          <w:i w:val="0"/>
          <w:iCs/>
        </w:rPr>
        <w:instrText>海</w:instrText>
      </w:r>
      <w:r>
        <w:rPr>
          <w:rFonts w:eastAsia="微软雅黑"/>
          <w:i w:val="0"/>
          <w:iCs/>
        </w:rPr>
        <w:instrText>马</w:instrText>
      </w:r>
      <w:r>
        <w:rPr>
          <w:i w:val="0"/>
          <w:iCs/>
        </w:rPr>
        <w:instrText>神</w:instrText>
      </w:r>
      <w:r>
        <w:rPr>
          <w:rFonts w:eastAsia="微软雅黑"/>
          <w:i w:val="0"/>
          <w:iCs/>
        </w:rPr>
        <w:instrText>经</w:instrText>
      </w:r>
      <w:r>
        <w:rPr>
          <w:i w:val="0"/>
          <w:iCs/>
        </w:rPr>
        <w:instrText>元凋亡</w:instrText>
      </w:r>
      <w:r>
        <w:rPr>
          <w:i w:val="0"/>
          <w:iCs/>
        </w:rPr>
        <w:instrText>\nTLDR: It is shown that inhibition of HMGB1 may break the vicious cycle to prevent or treat neuroinflammation and hippocampal neuronal apoptosis caused by T2DM complicated with OSA.","page":"482-492","PMID":"29920330","source":"8.8 (Q1)","title":"DNA binding protein HMGB1 secreted by activated microglia promotes the apoptosis of hippocampal neurons in diabetes complicated with OSA","title-short":"</w:instrText>
      </w:r>
      <w:r>
        <w:rPr>
          <w:i w:val="0"/>
          <w:iCs/>
        </w:rPr>
        <w:instrText>活化小胶</w:instrText>
      </w:r>
      <w:r>
        <w:rPr>
          <w:rFonts w:eastAsia="微软雅黑"/>
          <w:i w:val="0"/>
          <w:iCs/>
        </w:rPr>
        <w:instrText>质细</w:instrText>
      </w:r>
      <w:r>
        <w:rPr>
          <w:i w:val="0"/>
          <w:iCs/>
        </w:rPr>
        <w:instrText>胞分泌的</w:instrText>
      </w:r>
      <w:r>
        <w:rPr>
          <w:i w:val="0"/>
          <w:iCs/>
        </w:rPr>
        <w:instrText xml:space="preserve"> DNA </w:instrText>
      </w:r>
      <w:r>
        <w:rPr>
          <w:rFonts w:eastAsia="微软雅黑"/>
          <w:i w:val="0"/>
          <w:iCs/>
        </w:rPr>
        <w:instrText>结</w:instrText>
      </w:r>
      <w:r>
        <w:rPr>
          <w:i w:val="0"/>
          <w:iCs/>
        </w:rPr>
        <w:instrText>合蛋白</w:instrText>
      </w:r>
      <w:r>
        <w:rPr>
          <w:i w:val="0"/>
          <w:iCs/>
        </w:rPr>
        <w:instrText xml:space="preserve"> HMGB1</w:instrText>
      </w:r>
      <w:r>
        <w:rPr>
          <w:i w:val="0"/>
          <w:iCs/>
        </w:rPr>
        <w:instrText>促</w:instrText>
      </w:r>
      <w:r>
        <w:rPr>
          <w:rFonts w:eastAsia="微软雅黑"/>
          <w:i w:val="0"/>
          <w:iCs/>
        </w:rPr>
        <w:instrText>进</w:instrText>
      </w:r>
      <w:r>
        <w:rPr>
          <w:i w:val="0"/>
          <w:iCs/>
        </w:rPr>
        <w:instrText>糖尿病合并阻塞性睡眠呼吸</w:instrText>
      </w:r>
      <w:r>
        <w:rPr>
          <w:rFonts w:eastAsia="微软雅黑"/>
          <w:i w:val="0"/>
          <w:iCs/>
        </w:rPr>
        <w:instrText>暂</w:instrText>
      </w:r>
      <w:r>
        <w:rPr>
          <w:i w:val="0"/>
          <w:iCs/>
        </w:rPr>
        <w:instrText>停</w:instrText>
      </w:r>
      <w:r>
        <w:rPr>
          <w:rFonts w:eastAsia="微软雅黑"/>
          <w:i w:val="0"/>
          <w:iCs/>
        </w:rPr>
        <w:instrText>综</w:instrText>
      </w:r>
      <w:r>
        <w:rPr>
          <w:i w:val="0"/>
          <w:iCs/>
        </w:rPr>
        <w:instrText>合征海</w:instrText>
      </w:r>
      <w:r>
        <w:rPr>
          <w:rFonts w:eastAsia="微软雅黑"/>
          <w:i w:val="0"/>
          <w:iCs/>
        </w:rPr>
        <w:instrText>马</w:instrText>
      </w:r>
      <w:r>
        <w:rPr>
          <w:i w:val="0"/>
          <w:iCs/>
        </w:rPr>
        <w:instrText>神</w:instrText>
      </w:r>
      <w:r>
        <w:rPr>
          <w:rFonts w:eastAsia="微软雅黑"/>
          <w:i w:val="0"/>
          <w:iCs/>
        </w:rPr>
        <w:instrText>经</w:instrText>
      </w:r>
      <w:r>
        <w:rPr>
          <w:i w:val="0"/>
          <w:iCs/>
        </w:rPr>
        <w:instrText>元凋亡</w:instrText>
      </w:r>
      <w:r>
        <w:rPr>
          <w:i w:val="0"/>
          <w:iCs/>
        </w:rPr>
        <w:instrText xml:space="preserve">","volume":"73","author":[{"family":"Shi","given":"Yu"},{"family":"Guo","given":"Xiangyu"},{"family":"Zhang","given":"Jie"},{"family":"Zhou","given":"Hanchi"},{"family":"Sun","given":"Bei"},{"family":"Feng","given":"Jing"}],"issued":{"date-parts":[["2018",10]]}}}],"schema":"https://github.com/citation-style-language/schema/raw/master/csl-citation.json"} </w:instrText>
      </w:r>
      <w:r>
        <w:rPr>
          <w:rFonts w:eastAsia="宋体"/>
          <w:i w:val="0"/>
          <w:iCs/>
        </w:rPr>
        <w:fldChar w:fldCharType="separate"/>
      </w:r>
      <w:r>
        <w:rPr>
          <w:i w:val="0"/>
          <w:iCs/>
        </w:rPr>
        <w:t>[4]</w:t>
      </w:r>
      <w:r>
        <w:rPr>
          <w:rFonts w:eastAsia="Times New Roman"/>
          <w:i w:val="0"/>
          <w:iCs/>
        </w:rPr>
        <w:fldChar w:fldCharType="end"/>
      </w:r>
      <w:r>
        <w:rPr>
          <w:rFonts w:eastAsia="Times New Roman"/>
          <w:i w:val="0"/>
          <w:iCs/>
        </w:rPr>
        <w:t>.</w:t>
      </w:r>
    </w:p>
    <w:p w14:paraId="2F86DA8F" w14:textId="77777777" w:rsidR="00210785" w:rsidRDefault="00000000">
      <w:pPr>
        <w:spacing w:after="0" w:line="480" w:lineRule="auto"/>
        <w:jc w:val="both"/>
        <w:rPr>
          <w:rFonts w:ascii="Times New Roman" w:eastAsia="宋体" w:hAnsi="Times New Roman" w:cs="Times New Roman"/>
          <w:b/>
          <w:bCs/>
          <w:iCs/>
        </w:rPr>
      </w:pPr>
      <w:r>
        <w:rPr>
          <w:rFonts w:ascii="Times New Roman" w:eastAsia="等线" w:hAnsi="Times New Roman" w:cs="Times New Roman"/>
          <w:iCs/>
          <w:kern w:val="0"/>
          <w:lang w:eastAsia="zh-CN"/>
          <w14:ligatures w14:val="none"/>
        </w:rPr>
        <w:t>References:</w:t>
      </w:r>
    </w:p>
    <w:p w14:paraId="637B6DDF" w14:textId="291DD31B" w:rsidR="00210785" w:rsidRDefault="00000000">
      <w:pPr>
        <w:pStyle w:val="14"/>
        <w:spacing w:after="0" w:line="480" w:lineRule="auto"/>
        <w:jc w:val="both"/>
        <w:rPr>
          <w:rFonts w:ascii="Times New Roman" w:hAnsi="Times New Roman" w:cs="Times New Roman"/>
        </w:rPr>
      </w:pPr>
      <w:r>
        <w:rPr>
          <w:rFonts w:ascii="Times New Roman" w:eastAsia="宋体" w:hAnsi="Times New Roman" w:cs="Times New Roman"/>
          <w:b/>
          <w:bCs/>
        </w:rPr>
        <w:fldChar w:fldCharType="begin"/>
      </w:r>
      <w:r>
        <w:rPr>
          <w:rFonts w:ascii="Times New Roman" w:eastAsia="宋体" w:hAnsi="Times New Roman" w:cs="Times New Roman"/>
          <w:b/>
          <w:bCs/>
        </w:rPr>
        <w:instrText xml:space="preserve"> ADDIN ZOTERO_BIBL {"uncited":[],"omitted":[],"custom":[]} CSL_BIBLIOGRAPHY </w:instrText>
      </w:r>
      <w:r>
        <w:rPr>
          <w:rFonts w:ascii="Times New Roman" w:eastAsia="宋体" w:hAnsi="Times New Roman" w:cs="Times New Roman"/>
          <w:b/>
          <w:bCs/>
        </w:rPr>
        <w:fldChar w:fldCharType="separate"/>
      </w:r>
      <w:r>
        <w:rPr>
          <w:rFonts w:ascii="Times New Roman" w:hAnsi="Times New Roman" w:cs="Times New Roman"/>
        </w:rPr>
        <w:t>1.</w:t>
      </w:r>
      <w:r>
        <w:rPr>
          <w:rFonts w:ascii="Times New Roman" w:hAnsi="Times New Roman" w:cs="Times New Roman"/>
        </w:rPr>
        <w:tab/>
      </w:r>
      <w:r w:rsidR="001C3E0F" w:rsidRPr="001C3E0F">
        <w:rPr>
          <w:rFonts w:ascii="Times New Roman" w:hAnsi="Times New Roman" w:cs="Times New Roman"/>
        </w:rPr>
        <w:t>Gao C, Jiang J, Tan Y, Chen S (2023) Microglia in neurodegenerative diseases: mechanism and potential therapeutic targets. Signal Transduct Target Ther 8:359. doi.10.1038/s41392-023-01588-0</w:t>
      </w:r>
    </w:p>
    <w:p w14:paraId="1133009F" w14:textId="4AAC20C2" w:rsidR="00210785" w:rsidRDefault="00000000">
      <w:pPr>
        <w:pStyle w:val="14"/>
        <w:spacing w:after="0" w:line="48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Fernández-Arjona MdM, Grondona JM, Granados-Durán P, et al (2017) Microglia morphological categorization in a rat model of neuroinflammation by hierarchical cluster and principal components analysis</w:t>
      </w:r>
      <w:r w:rsidR="001C3E0F" w:rsidRPr="001C3E0F">
        <w:rPr>
          <w:rFonts w:ascii="Times New Roman" w:hAnsi="Times New Roman" w:cs="Times New Roman"/>
        </w:rPr>
        <w:t>. Front Cell Neurosci 11:235. doi:10.3389/fncel.2017.00235</w:t>
      </w:r>
    </w:p>
    <w:p w14:paraId="6CAB89DC" w14:textId="3C5CAED6" w:rsidR="00210785" w:rsidRDefault="00000000">
      <w:pPr>
        <w:pStyle w:val="14"/>
        <w:spacing w:after="0" w:line="48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Liu M, Xu Z, Wang L, et al (2020) Cottonseed oil alleviates ischemic stroke injury by inhibiting the inflammatory activation of microglia and astrocyte</w:t>
      </w:r>
      <w:r w:rsidR="001C3E0F" w:rsidRPr="001C3E0F">
        <w:rPr>
          <w:rFonts w:ascii="Times New Roman" w:hAnsi="Times New Roman" w:cs="Times New Roman"/>
        </w:rPr>
        <w:t>. J Neuroinflammation 17:270. doi:10.1186/s12974-020-01946-7</w:t>
      </w:r>
    </w:p>
    <w:p w14:paraId="0BD49C4F" w14:textId="23743687" w:rsidR="00210785" w:rsidRDefault="00000000">
      <w:pPr>
        <w:pStyle w:val="14"/>
        <w:spacing w:after="0" w:line="48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Shi Y, Guo X, Zhang J, et al (2018) DNA binding protein HMGB1 secreted by activated microglia promotes the apoptosis of hippocampal neurons in diabetes complicated with OSA.</w:t>
      </w:r>
      <w:r w:rsidR="001C3E0F" w:rsidRPr="001C3E0F">
        <w:rPr>
          <w:rFonts w:ascii="Times New Roman" w:hAnsi="Times New Roman" w:cs="Times New Roman"/>
        </w:rPr>
        <w:t xml:space="preserve"> Brain Behav Immun 73:482–492. doi:10.1016/j.bbi.2018.06.012</w:t>
      </w:r>
    </w:p>
    <w:p w14:paraId="767D3F03" w14:textId="77777777" w:rsidR="00210785" w:rsidRDefault="00000000">
      <w:pPr>
        <w:pStyle w:val="AuthorsFull"/>
        <w:spacing w:line="480" w:lineRule="auto"/>
        <w:jc w:val="both"/>
        <w:rPr>
          <w:rFonts w:eastAsia="等线"/>
          <w:i w:val="0"/>
          <w:iCs/>
          <w:lang w:eastAsia="zh-CN"/>
        </w:rPr>
      </w:pPr>
      <w:r>
        <w:rPr>
          <w:rFonts w:eastAsia="宋体"/>
          <w:b/>
          <w:bCs/>
        </w:rPr>
        <w:fldChar w:fldCharType="end"/>
      </w:r>
    </w:p>
    <w:p w14:paraId="3DE75EC2" w14:textId="77777777" w:rsidR="00210785" w:rsidRDefault="00000000">
      <w:pPr>
        <w:spacing w:after="0" w:line="240" w:lineRule="auto"/>
        <w:rPr>
          <w:rFonts w:ascii="Times New Roman" w:eastAsia="等线" w:hAnsi="Times New Roman" w:cs="Times New Roman"/>
          <w:b/>
          <w:bCs/>
          <w:iCs/>
          <w:kern w:val="0"/>
          <w:lang w:eastAsia="zh-CN"/>
          <w14:ligatures w14:val="none"/>
        </w:rPr>
      </w:pPr>
      <w:r>
        <w:rPr>
          <w:rFonts w:eastAsia="等线"/>
          <w:b/>
          <w:bCs/>
          <w:i/>
          <w:iCs/>
          <w:lang w:eastAsia="zh-CN"/>
        </w:rPr>
        <w:br w:type="page"/>
      </w:r>
    </w:p>
    <w:p w14:paraId="702B1E4D" w14:textId="77777777" w:rsidR="00210785" w:rsidRDefault="00000000">
      <w:pPr>
        <w:pStyle w:val="AuthorsFull"/>
        <w:spacing w:line="480" w:lineRule="auto"/>
        <w:jc w:val="both"/>
        <w:rPr>
          <w:rFonts w:eastAsia="等线"/>
          <w:i w:val="0"/>
          <w:iCs/>
          <w:lang w:eastAsia="zh-CN"/>
        </w:rPr>
      </w:pPr>
      <w:r>
        <w:rPr>
          <w:rFonts w:eastAsia="等线"/>
          <w:b/>
          <w:bCs/>
          <w:i w:val="0"/>
          <w:iCs/>
          <w:lang w:eastAsia="zh-CN"/>
        </w:rPr>
        <w:lastRenderedPageBreak/>
        <w:t>Supplementary Notes 2.</w:t>
      </w:r>
      <w:r>
        <w:rPr>
          <w:rFonts w:eastAsia="等线" w:hint="eastAsia"/>
          <w:b/>
          <w:bCs/>
          <w:i w:val="0"/>
          <w:iCs/>
          <w:lang w:eastAsia="zh-CN"/>
        </w:rPr>
        <w:t>2</w:t>
      </w:r>
      <w:r>
        <w:rPr>
          <w:rFonts w:eastAsia="等线"/>
          <w:b/>
          <w:bCs/>
          <w:i w:val="0"/>
          <w:iCs/>
          <w:lang w:eastAsia="zh-CN"/>
        </w:rPr>
        <w:t>:</w:t>
      </w:r>
      <w:r>
        <w:t xml:space="preserve"> </w:t>
      </w:r>
      <w:r>
        <w:rPr>
          <w:rFonts w:eastAsia="等线"/>
          <w:i w:val="0"/>
          <w:iCs/>
          <w:lang w:eastAsia="zh-CN"/>
        </w:rPr>
        <w:t>Detailed Metabolomic sequencing analysis</w:t>
      </w:r>
    </w:p>
    <w:p w14:paraId="6882F3B5" w14:textId="77777777" w:rsidR="002B4EF6" w:rsidRDefault="002B4EF6" w:rsidP="002B4EF6">
      <w:pPr>
        <w:pStyle w:val="AuthorsFull"/>
        <w:jc w:val="both"/>
        <w:rPr>
          <w:rFonts w:eastAsia="等线"/>
          <w:b/>
          <w:bCs/>
          <w:i w:val="0"/>
          <w:iCs/>
          <w:lang w:eastAsia="zh-CN"/>
        </w:rPr>
      </w:pPr>
    </w:p>
    <w:p w14:paraId="41366A68" w14:textId="77777777" w:rsidR="00210785" w:rsidRDefault="00000000">
      <w:pPr>
        <w:pStyle w:val="AuthorsFull"/>
        <w:spacing w:line="480" w:lineRule="auto"/>
        <w:jc w:val="both"/>
        <w:rPr>
          <w:rFonts w:eastAsia="等线"/>
          <w:b/>
          <w:bCs/>
          <w:i w:val="0"/>
          <w:iCs/>
          <w:lang w:eastAsia="zh-CN"/>
        </w:rPr>
      </w:pPr>
      <w:r>
        <w:rPr>
          <w:rFonts w:eastAsia="Times New Roman"/>
          <w:i w:val="0"/>
          <w:iCs/>
        </w:rPr>
        <w:t xml:space="preserve">Metabolomic sequencing was performed to investigate hippocampal metabolic alterations. Partial least squares-discriminant analysis revealed a clear separation between the Sham and dION-CCI groups, indicating distinct metabolic profiles </w:t>
      </w:r>
      <w:r w:rsidRPr="00044F27">
        <w:rPr>
          <w:rFonts w:eastAsia="Times New Roman"/>
          <w:bCs/>
          <w:i w:val="0"/>
          <w:iCs/>
        </w:rPr>
        <w:t>(Figure 2a)</w:t>
      </w:r>
      <w:r>
        <w:rPr>
          <w:rFonts w:eastAsia="Times New Roman"/>
          <w:i w:val="0"/>
          <w:iCs/>
        </w:rPr>
        <w:t xml:space="preserve">. Twelve metabolites were upregulated, and 12 were downregulated in the hippocampus of TN rats </w:t>
      </w:r>
      <w:r w:rsidRPr="00044F27">
        <w:rPr>
          <w:rFonts w:eastAsia="Times New Roman"/>
          <w:bCs/>
          <w:i w:val="0"/>
          <w:iCs/>
        </w:rPr>
        <w:t>(Figure 2b)</w:t>
      </w:r>
      <w:r>
        <w:rPr>
          <w:rFonts w:eastAsia="Times New Roman"/>
          <w:i w:val="0"/>
          <w:iCs/>
        </w:rPr>
        <w:t xml:space="preserve">. KEGG pathway enrichment analysis revealed significant involvement of autophagy, the phosphatidylinositol signaling system, and LTP pathways </w:t>
      </w:r>
      <w:r w:rsidRPr="00044F27">
        <w:rPr>
          <w:rFonts w:eastAsia="Times New Roman"/>
          <w:bCs/>
          <w:i w:val="0"/>
          <w:iCs/>
        </w:rPr>
        <w:t>(Figure 2c-d)</w:t>
      </w:r>
      <w:r>
        <w:rPr>
          <w:rFonts w:eastAsia="Times New Roman"/>
          <w:i w:val="0"/>
          <w:iCs/>
        </w:rPr>
        <w:t>.</w:t>
      </w:r>
    </w:p>
    <w:p w14:paraId="5F9CEA20" w14:textId="77777777" w:rsidR="00210785" w:rsidRDefault="00000000">
      <w:pPr>
        <w:spacing w:after="0" w:line="240" w:lineRule="auto"/>
        <w:rPr>
          <w:rFonts w:ascii="Times New Roman" w:eastAsia="等线" w:hAnsi="Times New Roman" w:cs="Times New Roman"/>
          <w:b/>
          <w:bCs/>
          <w:iCs/>
          <w:kern w:val="0"/>
          <w:lang w:eastAsia="zh-CN"/>
          <w14:ligatures w14:val="none"/>
        </w:rPr>
      </w:pPr>
      <w:r>
        <w:rPr>
          <w:rFonts w:eastAsia="等线"/>
          <w:b/>
          <w:bCs/>
          <w:i/>
          <w:iCs/>
          <w:lang w:eastAsia="zh-CN"/>
        </w:rPr>
        <w:br w:type="page"/>
      </w:r>
    </w:p>
    <w:p w14:paraId="21CEBF5E" w14:textId="77777777" w:rsidR="00210785" w:rsidRDefault="00000000">
      <w:pPr>
        <w:pStyle w:val="AuthorsFull"/>
        <w:spacing w:line="480" w:lineRule="auto"/>
        <w:jc w:val="both"/>
        <w:rPr>
          <w:rFonts w:eastAsia="等线"/>
          <w:i w:val="0"/>
          <w:iCs/>
          <w:lang w:eastAsia="zh-CN"/>
        </w:rPr>
      </w:pPr>
      <w:r>
        <w:rPr>
          <w:rFonts w:eastAsia="等线"/>
          <w:b/>
          <w:bCs/>
          <w:i w:val="0"/>
          <w:iCs/>
          <w:lang w:eastAsia="zh-CN"/>
        </w:rPr>
        <w:lastRenderedPageBreak/>
        <w:t>Supplementary Notes 2.</w:t>
      </w:r>
      <w:r>
        <w:rPr>
          <w:rFonts w:eastAsia="等线" w:hint="eastAsia"/>
          <w:b/>
          <w:bCs/>
          <w:i w:val="0"/>
          <w:iCs/>
          <w:lang w:eastAsia="zh-CN"/>
        </w:rPr>
        <w:t>3</w:t>
      </w:r>
      <w:r>
        <w:rPr>
          <w:rFonts w:eastAsia="等线"/>
          <w:b/>
          <w:bCs/>
          <w:i w:val="0"/>
          <w:iCs/>
          <w:lang w:eastAsia="zh-CN"/>
        </w:rPr>
        <w:t>:</w:t>
      </w:r>
      <w:r>
        <w:t xml:space="preserve"> </w:t>
      </w:r>
      <w:r>
        <w:rPr>
          <w:rFonts w:eastAsia="等线"/>
          <w:i w:val="0"/>
          <w:iCs/>
          <w:lang w:eastAsia="zh-CN"/>
        </w:rPr>
        <w:t xml:space="preserve">Detailed protocols for </w:t>
      </w:r>
      <w:r w:rsidRPr="00044F27">
        <w:rPr>
          <w:rFonts w:eastAsia="等线"/>
          <w:i w:val="0"/>
          <w:iCs/>
          <w:lang w:eastAsia="zh-CN"/>
        </w:rPr>
        <w:t xml:space="preserve">in vitro </w:t>
      </w:r>
      <w:r>
        <w:rPr>
          <w:rFonts w:eastAsia="等线"/>
          <w:i w:val="0"/>
          <w:iCs/>
          <w:lang w:eastAsia="zh-CN"/>
        </w:rPr>
        <w:t>model establishment and extended validation data</w:t>
      </w:r>
    </w:p>
    <w:p w14:paraId="139048A7" w14:textId="77777777" w:rsidR="00210785" w:rsidRDefault="00210785" w:rsidP="002B4EF6">
      <w:pPr>
        <w:pStyle w:val="AuthorsFull"/>
        <w:jc w:val="both"/>
        <w:rPr>
          <w:rFonts w:eastAsia="等线"/>
          <w:b/>
          <w:bCs/>
          <w:i w:val="0"/>
          <w:iCs/>
          <w:lang w:eastAsia="zh-CN"/>
        </w:rPr>
      </w:pPr>
    </w:p>
    <w:p w14:paraId="213FD76E" w14:textId="43EC2C56" w:rsidR="00210785" w:rsidRDefault="00000000" w:rsidP="00044F27">
      <w:pPr>
        <w:tabs>
          <w:tab w:val="left" w:pos="993"/>
        </w:tabs>
        <w:spacing w:after="0" w:line="480" w:lineRule="auto"/>
        <w:jc w:val="both"/>
        <w:rPr>
          <w:rFonts w:ascii="Times New Roman" w:eastAsia="Times New Roman" w:hAnsi="Times New Roman" w:cs="Times New Roman"/>
          <w:kern w:val="0"/>
          <w:lang w:eastAsia="zh-CN"/>
          <w14:ligatures w14:val="none"/>
        </w:rPr>
      </w:pPr>
      <w:r>
        <w:rPr>
          <w:rFonts w:ascii="Times New Roman" w:eastAsia="Times New Roman" w:hAnsi="Times New Roman" w:cs="Times New Roman"/>
          <w:kern w:val="0"/>
          <w:lang w:eastAsia="zh-CN"/>
          <w14:ligatures w14:val="none"/>
        </w:rPr>
        <w:t xml:space="preserve">Based on previous studies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{"citationID":"TyTc3XGE","properties":{"formattedCitation":"[1]","plainCitation":"[1]","noteIndex":0},"citationItems":[{"id":16103,"uris":["http://zotero.org/users/9311172/items/W2UQ8L56"],"itemData":{"id":16103,"type":"article-journal","abstract":"BACKGROUND: Gastrodia elata (Orchidaceae) is a medicinal plant used in traditional Chinese medicine. The rhizomes contain numerous active components, of which Gastrodin (p-hydroxymethylphenyl-B-D-glucopyranoside) forms the basis of the traditional medicine Gastrodiae Rhizoma. Gastrodin is also found in other medicinal plants and has neuroprotective, antioxidant, and anti-inflammatory effects. Neuroinflammation plays a crucial role in neurodegeneration. Research indicates that consuming meals and drinks containing Gastrodiaelata can enhance cognitive functioning and memory in elderly patients. The mechanisms relevant to the problem have not been completely understood.\nPURPOSE: The aim was to examine the in vivo and in vitro anti-neuroinflammatory effects of Gastrodin.\nSTUDY DESIGN: The neuroprotective effects of Gastrodin on the TLR4/TRAF6/NF-κB pathway and Stat3 phosphorylation in LPS-treated C57BL/6 mice and BV-2 cells were investigated.\nMETHODS: 1. C57BL/6 mice were assigned to model, gastrodin, donepezil, and control groups (n = 10 per group). The Gastrodin group received 100 mg/kg/d for five days, and the Dopenezil group 1.3 mg/kg/d. A neuroinflammation model was established by administering intraperitoneal injections of 2 mg/kg LPS to all groups, excluding the control. To induce microglial activation in Gastrodin-treated mouse microglial BV-2 cells, 1 µg/ml LPS was introduced for 24 h Morris water mazes were utilized to evaluate learning and spatial memory. Expression and subcellular localization of TLR4/TRAF6/NF-κB axis-related proteins and p-Stat3, Iba-1, GFAP, iNOS, and CD206 were assessed by immunofluorescence, western blots, and ELISA. qRT-PCR was performed to determine and measure IL-1β, TNF-α, cell migration, and phagocytosis. Overexpression of TRAF6 was induced by transfection, and the effect of Gastrodin on IL-1β and p-NF-κB p65 levels was assessed.\nRESULTS: 1. In mice, gastrodin treatment mitigated LPS-induced deficits in learning and spatial memory, as well as reducing neuroinflammation in the hippocampus, expression of TLR4/TRAF6/NF-κB pathway proteins, activation of microglia and astrocytes, and phosphorylation of Stat3. 2. Gastrodin pretreatment improved LPS-induced inflammation in vitro, reducing expression of TLR4/TRAF6/NF-κB-associated proteins and p-Stat3, inducing microglial transformation from M1 to M2, and inhibiting migration and phagocytosis. Overexpression of TRAF6 inhibited the Gastrodin-induced effects.\nCONCLUSION: Gastrodin suppresses neuroinflammation and microglial activation by modifying the TLR4/TRAF6/NF-κB pathway and Stat3 phosphorylation.\n\n</w:instrText>
      </w:r>
      <w:r>
        <w:rPr>
          <w:rFonts w:ascii="Times New Roman" w:eastAsia="宋体" w:hAnsi="Times New Roman" w:cs="Times New Roman"/>
          <w:kern w:val="0"/>
          <w14:ligatures w14:val="none"/>
        </w:rPr>
        <w:instrText>【摘要翻译】背景：兰科植物</w:instrText>
      </w:r>
      <w:r>
        <w:rPr>
          <w:rFonts w:ascii="Times New Roman" w:eastAsia="宋体" w:hAnsi="Times New Roman" w:cs="Times New Roman"/>
          <w:kern w:val="0"/>
          <w14:ligatures w14:val="none"/>
        </w:rPr>
        <w:instrText xml:space="preserve"> (Gastrodia elata) </w:instrText>
      </w:r>
      <w:r>
        <w:rPr>
          <w:rFonts w:ascii="Times New Roman" w:eastAsia="宋体" w:hAnsi="Times New Roman" w:cs="Times New Roman"/>
          <w:kern w:val="0"/>
          <w14:ligatures w14:val="none"/>
        </w:rPr>
        <w:instrText>是一种用于中药的药用植物。其根茎含有许多活性成分，其中</w:instrText>
      </w:r>
      <w:r>
        <w:rPr>
          <w:rFonts w:ascii="Times New Roman" w:eastAsia="宋体" w:hAnsi="Times New Roman" w:cs="Times New Roman"/>
          <w:kern w:val="0"/>
          <w14:ligatures w14:val="none"/>
        </w:rPr>
        <w:instrText xml:space="preserve"> Gastrodin (</w:instrText>
      </w:r>
      <w:r>
        <w:rPr>
          <w:rFonts w:ascii="Times New Roman" w:eastAsia="宋体" w:hAnsi="Times New Roman" w:cs="Times New Roman"/>
          <w:kern w:val="0"/>
          <w14:ligatures w14:val="none"/>
        </w:rPr>
        <w:instrText>对羟甲基苯基</w:instrText>
      </w:r>
      <w:r>
        <w:rPr>
          <w:rFonts w:ascii="Times New Roman" w:eastAsia="宋体" w:hAnsi="Times New Roman" w:cs="Times New Roman"/>
          <w:kern w:val="0"/>
          <w14:ligatures w14:val="none"/>
        </w:rPr>
        <w:instrText xml:space="preserve"> - B-D - </w:instrText>
      </w:r>
      <w:r>
        <w:rPr>
          <w:rFonts w:ascii="Times New Roman" w:eastAsia="宋体" w:hAnsi="Times New Roman" w:cs="Times New Roman"/>
          <w:kern w:val="0"/>
          <w14:ligatures w14:val="none"/>
        </w:rPr>
        <w:instrText>葡萄糖醛</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构成中药</w:instrText>
      </w:r>
      <w:r>
        <w:rPr>
          <w:rFonts w:ascii="Times New Roman" w:eastAsia="宋体" w:hAnsi="Times New Roman" w:cs="Times New Roman"/>
          <w:kern w:val="0"/>
          <w14:ligatures w14:val="none"/>
        </w:rPr>
        <w:instrText xml:space="preserve"> Gastrodiae Rhizoma </w:instrText>
      </w:r>
      <w:r>
        <w:rPr>
          <w:rFonts w:ascii="Times New Roman" w:eastAsia="宋体" w:hAnsi="Times New Roman" w:cs="Times New Roman"/>
          <w:kern w:val="0"/>
          <w14:ligatures w14:val="none"/>
        </w:rPr>
        <w:instrText>的基础。</w:instrText>
      </w:r>
      <w:r>
        <w:rPr>
          <w:rFonts w:ascii="Times New Roman" w:eastAsia="宋体" w:hAnsi="Times New Roman" w:cs="Times New Roman"/>
          <w:kern w:val="0"/>
          <w14:ligatures w14:val="none"/>
        </w:rPr>
        <w:instrText xml:space="preserve">Gastrodin </w:instrText>
      </w:r>
      <w:r>
        <w:rPr>
          <w:rFonts w:ascii="Times New Roman" w:eastAsia="宋体" w:hAnsi="Times New Roman" w:cs="Times New Roman"/>
          <w:kern w:val="0"/>
          <w14:ligatures w14:val="none"/>
        </w:rPr>
        <w:instrText>也存在于其他药用植物中，具有神经保护、抗氧化和抗炎作用。神经炎症在神经退行性疾病中起关键作用。研究表明，食用含有</w:instrText>
      </w:r>
      <w:r>
        <w:rPr>
          <w:rFonts w:ascii="Times New Roman" w:eastAsia="宋体" w:hAnsi="Times New Roman" w:cs="Times New Roman"/>
          <w:kern w:val="0"/>
          <w14:ligatures w14:val="none"/>
        </w:rPr>
        <w:instrText xml:space="preserve"> Gastrodiaelata </w:instrText>
      </w:r>
      <w:r>
        <w:rPr>
          <w:rFonts w:ascii="Times New Roman" w:eastAsia="宋体" w:hAnsi="Times New Roman" w:cs="Times New Roman"/>
          <w:kern w:val="0"/>
          <w14:ligatures w14:val="none"/>
        </w:rPr>
        <w:instrText>的膳食和饮料可以增强老年患者的认知功能和记忆力。相关机制尚未完全理解。</w:instrText>
      </w:r>
      <w:r>
        <w:rPr>
          <w:rFonts w:ascii="Times New Roman" w:eastAsia="宋体" w:hAnsi="Times New Roman" w:cs="Times New Roman"/>
          <w:kern w:val="0"/>
          <w14:ligatures w14:val="none"/>
        </w:rPr>
        <w:instrText>\n</w:instrText>
      </w:r>
      <w:r>
        <w:rPr>
          <w:rFonts w:ascii="Times New Roman" w:eastAsia="宋体" w:hAnsi="Times New Roman" w:cs="Times New Roman"/>
          <w:kern w:val="0"/>
          <w14:ligatures w14:val="none"/>
        </w:rPr>
        <w:instrText>目的：目的是研究</w:instrText>
      </w:r>
      <w:r>
        <w:rPr>
          <w:rFonts w:ascii="Times New Roman" w:eastAsia="宋体" w:hAnsi="Times New Roman" w:cs="Times New Roman"/>
          <w:kern w:val="0"/>
          <w14:ligatures w14:val="none"/>
        </w:rPr>
        <w:instrText xml:space="preserve"> Gastrodin </w:instrText>
      </w:r>
      <w:r>
        <w:rPr>
          <w:rFonts w:ascii="Times New Roman" w:eastAsia="宋体" w:hAnsi="Times New Roman" w:cs="Times New Roman"/>
          <w:kern w:val="0"/>
          <w14:ligatures w14:val="none"/>
        </w:rPr>
        <w:instrText>在体内和体外的抗神经炎作用。</w:instrText>
      </w:r>
      <w:r>
        <w:rPr>
          <w:rFonts w:ascii="Times New Roman" w:eastAsia="宋体" w:hAnsi="Times New Roman" w:cs="Times New Roman"/>
          <w:kern w:val="0"/>
          <w14:ligatures w14:val="none"/>
        </w:rPr>
        <w:instrText>\n</w:instrText>
      </w:r>
      <w:r>
        <w:rPr>
          <w:rFonts w:ascii="Times New Roman" w:eastAsia="宋体" w:hAnsi="Times New Roman" w:cs="Times New Roman"/>
          <w:kern w:val="0"/>
          <w14:ligatures w14:val="none"/>
        </w:rPr>
        <w:instrText>研究设计：研究了</w:instrText>
      </w:r>
      <w:r>
        <w:rPr>
          <w:rFonts w:ascii="Times New Roman" w:eastAsia="宋体" w:hAnsi="Times New Roman" w:cs="Times New Roman"/>
          <w:kern w:val="0"/>
          <w14:ligatures w14:val="none"/>
        </w:rPr>
        <w:instrText xml:space="preserve"> Gastrodin </w:instrText>
      </w:r>
      <w:r>
        <w:rPr>
          <w:rFonts w:ascii="Times New Roman" w:eastAsia="宋体" w:hAnsi="Times New Roman" w:cs="Times New Roman"/>
          <w:kern w:val="0"/>
          <w14:ligatures w14:val="none"/>
        </w:rPr>
        <w:instrText>对</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处理的</w:instrText>
      </w:r>
      <w:r>
        <w:rPr>
          <w:rFonts w:ascii="Times New Roman" w:eastAsia="宋体" w:hAnsi="Times New Roman" w:cs="Times New Roman"/>
          <w:kern w:val="0"/>
          <w14:ligatures w14:val="none"/>
        </w:rPr>
        <w:instrText xml:space="preserve"> C57BL/6 </w:instrText>
      </w:r>
      <w:r>
        <w:rPr>
          <w:rFonts w:ascii="Times New Roman" w:eastAsia="宋体" w:hAnsi="Times New Roman" w:cs="Times New Roman"/>
          <w:kern w:val="0"/>
          <w14:ligatures w14:val="none"/>
        </w:rPr>
        <w:instrText>小鼠和</w:instrText>
      </w:r>
      <w:r>
        <w:rPr>
          <w:rFonts w:ascii="Times New Roman" w:eastAsia="宋体" w:hAnsi="Times New Roman" w:cs="Times New Roman"/>
          <w:kern w:val="0"/>
          <w14:ligatures w14:val="none"/>
        </w:rPr>
        <w:instrText xml:space="preserve"> BV-2 </w:instrText>
      </w:r>
      <w:r>
        <w:rPr>
          <w:rFonts w:ascii="Times New Roman" w:eastAsia="宋体" w:hAnsi="Times New Roman" w:cs="Times New Roman"/>
          <w:kern w:val="0"/>
          <w14:ligatures w14:val="none"/>
        </w:rPr>
        <w:instrText>细胞中</w:instrText>
      </w:r>
      <w:r>
        <w:rPr>
          <w:rFonts w:ascii="Times New Roman" w:eastAsia="宋体" w:hAnsi="Times New Roman" w:cs="Times New Roman"/>
          <w:kern w:val="0"/>
          <w14:ligatures w14:val="none"/>
        </w:rPr>
        <w:instrText xml:space="preserve"> TLR4/TRAF6/NF-κB </w:instrText>
      </w:r>
      <w:r>
        <w:rPr>
          <w:rFonts w:ascii="Times New Roman" w:eastAsia="宋体" w:hAnsi="Times New Roman" w:cs="Times New Roman"/>
          <w:kern w:val="0"/>
          <w14:ligatures w14:val="none"/>
        </w:rPr>
        <w:instrText>途径和</w:instrText>
      </w:r>
      <w:r>
        <w:rPr>
          <w:rFonts w:ascii="Times New Roman" w:eastAsia="宋体" w:hAnsi="Times New Roman" w:cs="Times New Roman"/>
          <w:kern w:val="0"/>
          <w14:ligatures w14:val="none"/>
        </w:rPr>
        <w:instrText xml:space="preserve"> Stat3 </w:instrText>
      </w:r>
      <w:r>
        <w:rPr>
          <w:rFonts w:ascii="Times New Roman" w:eastAsia="宋体" w:hAnsi="Times New Roman" w:cs="Times New Roman"/>
          <w:kern w:val="0"/>
          <w14:ligatures w14:val="none"/>
        </w:rPr>
        <w:instrText>磷酸化的神经保护作用。</w:instrText>
      </w:r>
      <w:r>
        <w:rPr>
          <w:rFonts w:ascii="Times New Roman" w:eastAsia="宋体" w:hAnsi="Times New Roman" w:cs="Times New Roman"/>
          <w:kern w:val="0"/>
          <w14:ligatures w14:val="none"/>
        </w:rPr>
        <w:instrText>\n</w:instrText>
      </w:r>
      <w:r>
        <w:rPr>
          <w:rFonts w:ascii="Times New Roman" w:eastAsia="宋体" w:hAnsi="Times New Roman" w:cs="Times New Roman"/>
          <w:kern w:val="0"/>
          <w14:ligatures w14:val="none"/>
        </w:rPr>
        <w:instrText>方法：</w:instrText>
      </w:r>
      <w:r>
        <w:rPr>
          <w:rFonts w:ascii="Times New Roman" w:eastAsia="宋体" w:hAnsi="Times New Roman" w:cs="Times New Roman"/>
          <w:kern w:val="0"/>
          <w14:ligatures w14:val="none"/>
        </w:rPr>
        <w:instrText xml:space="preserve">1. </w:instrText>
      </w:r>
      <w:r>
        <w:rPr>
          <w:rFonts w:ascii="Times New Roman" w:eastAsia="宋体" w:hAnsi="Times New Roman" w:cs="Times New Roman"/>
          <w:kern w:val="0"/>
          <w14:ligatures w14:val="none"/>
        </w:rPr>
        <w:instrText>将</w:instrText>
      </w:r>
      <w:r>
        <w:rPr>
          <w:rFonts w:ascii="Times New Roman" w:eastAsia="宋体" w:hAnsi="Times New Roman" w:cs="Times New Roman"/>
          <w:kern w:val="0"/>
          <w14:ligatures w14:val="none"/>
        </w:rPr>
        <w:instrText xml:space="preserve"> C57BL/6 </w:instrText>
      </w:r>
      <w:r>
        <w:rPr>
          <w:rFonts w:ascii="Times New Roman" w:eastAsia="宋体" w:hAnsi="Times New Roman" w:cs="Times New Roman"/>
          <w:kern w:val="0"/>
          <w14:ligatures w14:val="none"/>
        </w:rPr>
        <w:instrText>小鼠分配到模型组、</w:instrText>
      </w:r>
      <w:r>
        <w:rPr>
          <w:rFonts w:ascii="Times New Roman" w:eastAsia="宋体" w:hAnsi="Times New Roman" w:cs="Times New Roman"/>
          <w:kern w:val="0"/>
          <w14:ligatures w14:val="none"/>
        </w:rPr>
        <w:instrText xml:space="preserve">Gastrodin </w:instrText>
      </w:r>
      <w:r>
        <w:rPr>
          <w:rFonts w:ascii="Times New Roman" w:eastAsia="宋体" w:hAnsi="Times New Roman" w:cs="Times New Roman"/>
          <w:kern w:val="0"/>
          <w14:ligatures w14:val="none"/>
        </w:rPr>
        <w:instrText>组、多奈哌齐组和对照组</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每组</w:instrText>
      </w:r>
      <w:r>
        <w:rPr>
          <w:rFonts w:ascii="Times New Roman" w:eastAsia="宋体" w:hAnsi="Times New Roman" w:cs="Times New Roman"/>
          <w:kern w:val="0"/>
          <w14:ligatures w14:val="none"/>
        </w:rPr>
        <w:instrText xml:space="preserve"> n = 10 </w:instrText>
      </w:r>
      <w:r>
        <w:rPr>
          <w:rFonts w:ascii="Times New Roman" w:eastAsia="宋体" w:hAnsi="Times New Roman" w:cs="Times New Roman"/>
          <w:kern w:val="0"/>
          <w14:ligatures w14:val="none"/>
        </w:rPr>
        <w:instrText>只</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Gastrodin </w:instrText>
      </w:r>
      <w:r>
        <w:rPr>
          <w:rFonts w:ascii="Times New Roman" w:eastAsia="宋体" w:hAnsi="Times New Roman" w:cs="Times New Roman"/>
          <w:kern w:val="0"/>
          <w14:ligatures w14:val="none"/>
        </w:rPr>
        <w:instrText>组接受</w:instrText>
      </w:r>
      <w:r>
        <w:rPr>
          <w:rFonts w:ascii="Times New Roman" w:eastAsia="宋体" w:hAnsi="Times New Roman" w:cs="Times New Roman"/>
          <w:kern w:val="0"/>
          <w14:ligatures w14:val="none"/>
        </w:rPr>
        <w:instrText xml:space="preserve"> 100 mg/kg/d </w:instrText>
      </w:r>
      <w:r>
        <w:rPr>
          <w:rFonts w:ascii="Times New Roman" w:eastAsia="宋体" w:hAnsi="Times New Roman" w:cs="Times New Roman"/>
          <w:kern w:val="0"/>
          <w14:ligatures w14:val="none"/>
        </w:rPr>
        <w:instrText>治疗</w:instrText>
      </w:r>
      <w:r>
        <w:rPr>
          <w:rFonts w:ascii="Times New Roman" w:eastAsia="宋体" w:hAnsi="Times New Roman" w:cs="Times New Roman"/>
          <w:kern w:val="0"/>
          <w14:ligatures w14:val="none"/>
        </w:rPr>
        <w:instrText xml:space="preserve"> 5 </w:instrText>
      </w:r>
      <w:r>
        <w:rPr>
          <w:rFonts w:ascii="Times New Roman" w:eastAsia="宋体" w:hAnsi="Times New Roman" w:cs="Times New Roman"/>
          <w:kern w:val="0"/>
          <w14:ligatures w14:val="none"/>
        </w:rPr>
        <w:instrText>天，多佩尼西尔组</w:instrText>
      </w:r>
      <w:r>
        <w:rPr>
          <w:rFonts w:ascii="Times New Roman" w:eastAsia="宋体" w:hAnsi="Times New Roman" w:cs="Times New Roman"/>
          <w:kern w:val="0"/>
          <w14:ligatures w14:val="none"/>
        </w:rPr>
        <w:instrText xml:space="preserve"> 1.3 mg/kg/d</w:instrText>
      </w:r>
      <w:r>
        <w:rPr>
          <w:rFonts w:ascii="Times New Roman" w:eastAsia="宋体" w:hAnsi="Times New Roman" w:cs="Times New Roman"/>
          <w:kern w:val="0"/>
          <w14:ligatures w14:val="none"/>
        </w:rPr>
        <w:instrText>。通过给予所有组腹腔注射</w:instrText>
      </w:r>
      <w:r>
        <w:rPr>
          <w:rFonts w:ascii="Times New Roman" w:eastAsia="宋体" w:hAnsi="Times New Roman" w:cs="Times New Roman"/>
          <w:kern w:val="0"/>
          <w14:ligatures w14:val="none"/>
        </w:rPr>
        <w:instrText xml:space="preserve"> 2 mg/kg </w:instrText>
      </w:r>
      <w:r>
        <w:rPr>
          <w:rFonts w:ascii="Times New Roman" w:eastAsia="宋体" w:hAnsi="Times New Roman" w:cs="Times New Roman"/>
          <w:kern w:val="0"/>
          <w14:ligatures w14:val="none"/>
        </w:rPr>
        <w:instrText>脂多糖</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建立神经经炎症模型，对照组除外。为了诱导</w:instrText>
      </w:r>
      <w:r>
        <w:rPr>
          <w:rFonts w:ascii="Times New Roman" w:eastAsia="宋体" w:hAnsi="Times New Roman" w:cs="Times New Roman"/>
          <w:kern w:val="0"/>
          <w14:ligatures w14:val="none"/>
        </w:rPr>
        <w:instrText xml:space="preserve"> Gastrodin </w:instrText>
      </w:r>
      <w:r>
        <w:rPr>
          <w:rFonts w:ascii="Times New Roman" w:eastAsia="宋体" w:hAnsi="Times New Roman" w:cs="Times New Roman"/>
          <w:kern w:val="0"/>
          <w14:ligatures w14:val="none"/>
        </w:rPr>
        <w:instrText>处理的小鼠小胶质细胞</w:instrText>
      </w:r>
      <w:r>
        <w:rPr>
          <w:rFonts w:ascii="Times New Roman" w:eastAsia="宋体" w:hAnsi="Times New Roman" w:cs="Times New Roman"/>
          <w:kern w:val="0"/>
          <w14:ligatures w14:val="none"/>
        </w:rPr>
        <w:instrText xml:space="preserve"> BV-2 </w:instrText>
      </w:r>
      <w:r>
        <w:rPr>
          <w:rFonts w:ascii="Times New Roman" w:eastAsia="宋体" w:hAnsi="Times New Roman" w:cs="Times New Roman"/>
          <w:kern w:val="0"/>
          <w14:ligatures w14:val="none"/>
        </w:rPr>
        <w:instrText>细胞的小胶质细胞活化，引入</w:instrText>
      </w:r>
      <w:r>
        <w:rPr>
          <w:rFonts w:ascii="Times New Roman" w:eastAsia="宋体" w:hAnsi="Times New Roman" w:cs="Times New Roman"/>
          <w:kern w:val="0"/>
          <w14:ligatures w14:val="none"/>
        </w:rPr>
        <w:instrText xml:space="preserve"> 1 μg/ml </w:instrText>
      </w:r>
      <w:r>
        <w:rPr>
          <w:rFonts w:ascii="Times New Roman" w:eastAsia="宋体" w:hAnsi="Times New Roman" w:cs="Times New Roman"/>
          <w:kern w:val="0"/>
          <w14:ligatures w14:val="none"/>
        </w:rPr>
        <w:instrText>脂多糖</w:instrText>
      </w:r>
      <w:r>
        <w:rPr>
          <w:rFonts w:ascii="Times New Roman" w:eastAsia="宋体" w:hAnsi="Times New Roman" w:cs="Times New Roman"/>
          <w:kern w:val="0"/>
          <w14:ligatures w14:val="none"/>
        </w:rPr>
        <w:instrText xml:space="preserve"> 24 </w:instrText>
      </w:r>
      <w:r>
        <w:rPr>
          <w:rFonts w:ascii="Times New Roman" w:eastAsia="宋体" w:hAnsi="Times New Roman" w:cs="Times New Roman"/>
          <w:kern w:val="0"/>
          <w14:ligatures w14:val="none"/>
        </w:rPr>
        <w:instrText>小时，利用</w:instrText>
      </w:r>
      <w:r>
        <w:rPr>
          <w:rFonts w:ascii="Times New Roman" w:eastAsia="宋体" w:hAnsi="Times New Roman" w:cs="Times New Roman"/>
          <w:kern w:val="0"/>
          <w14:ligatures w14:val="none"/>
        </w:rPr>
        <w:instrText xml:space="preserve"> Morris </w:instrText>
      </w:r>
      <w:r>
        <w:rPr>
          <w:rFonts w:ascii="Times New Roman" w:eastAsia="宋体" w:hAnsi="Times New Roman" w:cs="Times New Roman"/>
          <w:kern w:val="0"/>
          <w14:ligatures w14:val="none"/>
        </w:rPr>
        <w:instrText>水迷宫评估学习和空间记忆。通过免疫荧光、蛋白质印迹和</w:instrText>
      </w:r>
      <w:r>
        <w:rPr>
          <w:rFonts w:ascii="Times New Roman" w:eastAsia="宋体" w:hAnsi="Times New Roman" w:cs="Times New Roman"/>
          <w:kern w:val="0"/>
          <w14:ligatures w14:val="none"/>
        </w:rPr>
        <w:instrText xml:space="preserve"> ELISA </w:instrText>
      </w:r>
      <w:r>
        <w:rPr>
          <w:rFonts w:ascii="Times New Roman" w:eastAsia="宋体" w:hAnsi="Times New Roman" w:cs="Times New Roman"/>
          <w:kern w:val="0"/>
          <w14:ligatures w14:val="none"/>
        </w:rPr>
        <w:instrText>评估</w:instrText>
      </w:r>
      <w:r>
        <w:rPr>
          <w:rFonts w:ascii="Times New Roman" w:eastAsia="宋体" w:hAnsi="Times New Roman" w:cs="Times New Roman"/>
          <w:kern w:val="0"/>
          <w14:ligatures w14:val="none"/>
        </w:rPr>
        <w:instrText xml:space="preserve"> TLR4/TRAF6/NF-κB </w:instrText>
      </w:r>
      <w:r>
        <w:rPr>
          <w:rFonts w:ascii="Times New Roman" w:eastAsia="宋体" w:hAnsi="Times New Roman" w:cs="Times New Roman"/>
          <w:kern w:val="0"/>
          <w14:ligatures w14:val="none"/>
        </w:rPr>
        <w:instrText>轴相关蛋白以及</w:instrText>
      </w:r>
      <w:r>
        <w:rPr>
          <w:rFonts w:ascii="Times New Roman" w:eastAsia="宋体" w:hAnsi="Times New Roman" w:cs="Times New Roman"/>
          <w:kern w:val="0"/>
          <w14:ligatures w14:val="none"/>
        </w:rPr>
        <w:instrText xml:space="preserve"> p-Stat3</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Iba-1</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GFAP</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 xml:space="preserve">iNOS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CD206 </w:instrText>
      </w:r>
      <w:r>
        <w:rPr>
          <w:rFonts w:ascii="Times New Roman" w:eastAsia="宋体" w:hAnsi="Times New Roman" w:cs="Times New Roman"/>
          <w:kern w:val="0"/>
          <w14:ligatures w14:val="none"/>
        </w:rPr>
        <w:instrText>的表达和亚细胞定位。进行</w:instrText>
      </w:r>
      <w:r>
        <w:rPr>
          <w:rFonts w:ascii="Times New Roman" w:eastAsia="宋体" w:hAnsi="Times New Roman" w:cs="Times New Roman"/>
          <w:kern w:val="0"/>
          <w14:ligatures w14:val="none"/>
        </w:rPr>
        <w:instrText xml:space="preserve"> qRT-PCR </w:instrText>
      </w:r>
      <w:r>
        <w:rPr>
          <w:rFonts w:ascii="Times New Roman" w:eastAsia="宋体" w:hAnsi="Times New Roman" w:cs="Times New Roman"/>
          <w:kern w:val="0"/>
          <w14:ligatures w14:val="none"/>
        </w:rPr>
        <w:instrText>以测定和测量</w:instrText>
      </w:r>
      <w:r>
        <w:rPr>
          <w:rFonts w:ascii="Times New Roman" w:eastAsia="宋体" w:hAnsi="Times New Roman" w:cs="Times New Roman"/>
          <w:kern w:val="0"/>
          <w14:ligatures w14:val="none"/>
        </w:rPr>
        <w:instrText xml:space="preserve"> IL-1β</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TNF-α</w:instrText>
      </w:r>
      <w:r>
        <w:rPr>
          <w:rFonts w:ascii="Times New Roman" w:eastAsia="宋体" w:hAnsi="Times New Roman" w:cs="Times New Roman"/>
          <w:kern w:val="0"/>
          <w14:ligatures w14:val="none"/>
        </w:rPr>
        <w:instrText>、细胞迁移和吞噬作用。转染诱导</w:instrText>
      </w:r>
      <w:r>
        <w:rPr>
          <w:rFonts w:ascii="Times New Roman" w:eastAsia="宋体" w:hAnsi="Times New Roman" w:cs="Times New Roman"/>
          <w:kern w:val="0"/>
          <w14:ligatures w14:val="none"/>
        </w:rPr>
        <w:instrText xml:space="preserve"> TRAF6 </w:instrText>
      </w:r>
      <w:r>
        <w:rPr>
          <w:rFonts w:ascii="Times New Roman" w:eastAsia="宋体" w:hAnsi="Times New Roman" w:cs="Times New Roman"/>
          <w:kern w:val="0"/>
          <w14:ligatures w14:val="none"/>
        </w:rPr>
        <w:instrText>过表达，并评估</w:instrText>
      </w:r>
      <w:r>
        <w:rPr>
          <w:rFonts w:ascii="Times New Roman" w:eastAsia="宋体" w:hAnsi="Times New Roman" w:cs="Times New Roman"/>
          <w:kern w:val="0"/>
          <w14:ligatures w14:val="none"/>
        </w:rPr>
        <w:instrText xml:space="preserve"> Gastrodin </w:instrText>
      </w:r>
      <w:r>
        <w:rPr>
          <w:rFonts w:ascii="Times New Roman" w:eastAsia="宋体" w:hAnsi="Times New Roman" w:cs="Times New Roman"/>
          <w:kern w:val="0"/>
          <w14:ligatures w14:val="none"/>
        </w:rPr>
        <w:instrText>对</w:instrText>
      </w:r>
      <w:r>
        <w:rPr>
          <w:rFonts w:ascii="Times New Roman" w:eastAsia="宋体" w:hAnsi="Times New Roman" w:cs="Times New Roman"/>
          <w:kern w:val="0"/>
          <w14:ligatures w14:val="none"/>
        </w:rPr>
        <w:instrText xml:space="preserve"> IL-1β </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p-NF-κB p65 </w:instrText>
      </w:r>
      <w:r>
        <w:rPr>
          <w:rFonts w:ascii="Times New Roman" w:eastAsia="宋体" w:hAnsi="Times New Roman" w:cs="Times New Roman"/>
          <w:kern w:val="0"/>
          <w14:ligatures w14:val="none"/>
        </w:rPr>
        <w:instrText>水平的影响。</w:instrText>
      </w:r>
      <w:r>
        <w:rPr>
          <w:rFonts w:ascii="Times New Roman" w:eastAsia="宋体" w:hAnsi="Times New Roman" w:cs="Times New Roman"/>
          <w:kern w:val="0"/>
          <w14:ligatures w14:val="none"/>
        </w:rPr>
        <w:instrText>\n</w:instrText>
      </w:r>
      <w:r>
        <w:rPr>
          <w:rFonts w:ascii="Times New Roman" w:eastAsia="宋体" w:hAnsi="Times New Roman" w:cs="Times New Roman"/>
          <w:kern w:val="0"/>
          <w14:ligatures w14:val="none"/>
        </w:rPr>
        <w:instrText>结果：</w:instrText>
      </w:r>
      <w:r>
        <w:rPr>
          <w:rFonts w:ascii="Times New Roman" w:eastAsia="宋体" w:hAnsi="Times New Roman" w:cs="Times New Roman"/>
          <w:kern w:val="0"/>
          <w14:ligatures w14:val="none"/>
        </w:rPr>
        <w:instrText xml:space="preserve">1. </w:instrText>
      </w:r>
      <w:r>
        <w:rPr>
          <w:rFonts w:ascii="Times New Roman" w:eastAsia="宋体" w:hAnsi="Times New Roman" w:cs="Times New Roman"/>
          <w:kern w:val="0"/>
          <w14:ligatures w14:val="none"/>
        </w:rPr>
        <w:instrText>在小鼠中，</w:instrText>
      </w:r>
      <w:r>
        <w:rPr>
          <w:rFonts w:ascii="Times New Roman" w:eastAsia="宋体" w:hAnsi="Times New Roman" w:cs="Times New Roman"/>
          <w:kern w:val="0"/>
          <w14:ligatures w14:val="none"/>
        </w:rPr>
        <w:instrText xml:space="preserve">Gastrodin </w:instrText>
      </w:r>
      <w:r>
        <w:rPr>
          <w:rFonts w:ascii="Times New Roman" w:eastAsia="宋体" w:hAnsi="Times New Roman" w:cs="Times New Roman"/>
          <w:kern w:val="0"/>
          <w14:ligatures w14:val="none"/>
        </w:rPr>
        <w:instrText>治疗缓解了</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诱导的学习和空间记忆缺陷，并减少了海马神经炎症、</w:instrText>
      </w:r>
      <w:r>
        <w:rPr>
          <w:rFonts w:ascii="Times New Roman" w:eastAsia="宋体" w:hAnsi="Times New Roman" w:cs="Times New Roman"/>
          <w:kern w:val="0"/>
          <w14:ligatures w14:val="none"/>
        </w:rPr>
        <w:instrText xml:space="preserve">TLR4/TRAF6/NF-κ B </w:instrText>
      </w:r>
      <w:r>
        <w:rPr>
          <w:rFonts w:ascii="Times New Roman" w:eastAsia="宋体" w:hAnsi="Times New Roman" w:cs="Times New Roman"/>
          <w:kern w:val="0"/>
          <w14:ligatures w14:val="none"/>
        </w:rPr>
        <w:instrText>途径蛋白的表达、小胶质细胞和星形胶质细胞的活化以及</w:instrText>
      </w:r>
      <w:r>
        <w:rPr>
          <w:rFonts w:ascii="Times New Roman" w:eastAsia="宋体" w:hAnsi="Times New Roman" w:cs="Times New Roman"/>
          <w:kern w:val="0"/>
          <w14:ligatures w14:val="none"/>
        </w:rPr>
        <w:instrText xml:space="preserve"> Stat3 </w:instrText>
      </w:r>
      <w:r>
        <w:rPr>
          <w:rFonts w:ascii="Times New Roman" w:eastAsia="宋体" w:hAnsi="Times New Roman" w:cs="Times New Roman"/>
          <w:kern w:val="0"/>
          <w14:ligatures w14:val="none"/>
        </w:rPr>
        <w:instrText>的磷酸化。</w:instrText>
      </w:r>
      <w:r>
        <w:rPr>
          <w:rFonts w:ascii="Times New Roman" w:eastAsia="宋体" w:hAnsi="Times New Roman" w:cs="Times New Roman"/>
          <w:kern w:val="0"/>
          <w14:ligatures w14:val="none"/>
        </w:rPr>
        <w:instrText xml:space="preserve">2. </w:instrText>
      </w:r>
      <w:r>
        <w:rPr>
          <w:rFonts w:ascii="Times New Roman" w:eastAsia="宋体" w:hAnsi="Times New Roman" w:cs="Times New Roman"/>
          <w:kern w:val="0"/>
          <w14:ligatures w14:val="none"/>
        </w:rPr>
        <w:instrText>胃甾汀预处理改善体外脂多糖诱导的神经炎症，降低</w:instrText>
      </w:r>
      <w:r>
        <w:rPr>
          <w:rFonts w:ascii="Times New Roman" w:eastAsia="宋体" w:hAnsi="Times New Roman" w:cs="Times New Roman"/>
          <w:kern w:val="0"/>
          <w14:ligatures w14:val="none"/>
        </w:rPr>
        <w:instrText xml:space="preserve"> TLR4/TRAF6/NF-κB </w:instrText>
      </w:r>
      <w:r>
        <w:rPr>
          <w:rFonts w:ascii="Times New Roman" w:eastAsia="宋体" w:hAnsi="Times New Roman" w:cs="Times New Roman"/>
          <w:kern w:val="0"/>
          <w14:ligatures w14:val="none"/>
        </w:rPr>
        <w:instrText>相关蛋白和</w:instrText>
      </w:r>
      <w:r>
        <w:rPr>
          <w:rFonts w:ascii="Times New Roman" w:eastAsia="宋体" w:hAnsi="Times New Roman" w:cs="Times New Roman"/>
          <w:kern w:val="0"/>
          <w14:ligatures w14:val="none"/>
        </w:rPr>
        <w:instrText xml:space="preserve"> p-Stat3 </w:instrText>
      </w:r>
      <w:r>
        <w:rPr>
          <w:rFonts w:ascii="Times New Roman" w:eastAsia="宋体" w:hAnsi="Times New Roman" w:cs="Times New Roman"/>
          <w:kern w:val="0"/>
          <w14:ligatures w14:val="none"/>
        </w:rPr>
        <w:instrText>的表达，诱导小胶质细胞从</w:instrText>
      </w:r>
      <w:r>
        <w:rPr>
          <w:rFonts w:ascii="Times New Roman" w:eastAsia="宋体" w:hAnsi="Times New Roman" w:cs="Times New Roman"/>
          <w:kern w:val="0"/>
          <w14:ligatures w14:val="none"/>
        </w:rPr>
        <w:instrText xml:space="preserve"> M1 </w:instrText>
      </w:r>
      <w:r>
        <w:rPr>
          <w:rFonts w:ascii="Times New Roman" w:eastAsia="宋体" w:hAnsi="Times New Roman" w:cs="Times New Roman"/>
          <w:kern w:val="0"/>
          <w14:ligatures w14:val="none"/>
        </w:rPr>
        <w:instrText>转化为</w:instrText>
      </w:r>
      <w:r>
        <w:rPr>
          <w:rFonts w:ascii="Times New Roman" w:eastAsia="宋体" w:hAnsi="Times New Roman" w:cs="Times New Roman"/>
          <w:kern w:val="0"/>
          <w14:ligatures w14:val="none"/>
        </w:rPr>
        <w:instrText xml:space="preserve"> M2, </w:instrText>
      </w:r>
      <w:r>
        <w:rPr>
          <w:rFonts w:ascii="Times New Roman" w:eastAsia="宋体" w:hAnsi="Times New Roman" w:cs="Times New Roman"/>
          <w:kern w:val="0"/>
          <w14:ligatures w14:val="none"/>
        </w:rPr>
        <w:instrText>并抑制迁移和吞噬作用。</w:instrText>
      </w:r>
      <w:r>
        <w:rPr>
          <w:rFonts w:ascii="Times New Roman" w:eastAsia="宋体" w:hAnsi="Times New Roman" w:cs="Times New Roman"/>
          <w:kern w:val="0"/>
          <w14:ligatures w14:val="none"/>
        </w:rPr>
        <w:instrText xml:space="preserve">TRAF6 </w:instrText>
      </w:r>
      <w:r>
        <w:rPr>
          <w:rFonts w:ascii="Times New Roman" w:eastAsia="宋体" w:hAnsi="Times New Roman" w:cs="Times New Roman"/>
          <w:kern w:val="0"/>
          <w14:ligatures w14:val="none"/>
        </w:rPr>
        <w:instrText>的过表达抑制胃甾汀诱导的作用。</w:instrText>
      </w:r>
      <w:r>
        <w:rPr>
          <w:rFonts w:ascii="Times New Roman" w:eastAsia="宋体" w:hAnsi="Times New Roman" w:cs="Times New Roman"/>
          <w:kern w:val="0"/>
          <w14:ligatures w14:val="none"/>
        </w:rPr>
        <w:instrText>\n</w:instrText>
      </w:r>
      <w:r>
        <w:rPr>
          <w:rFonts w:ascii="Times New Roman" w:eastAsia="宋体" w:hAnsi="Times New Roman" w:cs="Times New Roman"/>
          <w:kern w:val="0"/>
          <w14:ligatures w14:val="none"/>
        </w:rPr>
        <w:instrText>结论：胃甾汀通过修饰</w:instrText>
      </w:r>
      <w:r>
        <w:rPr>
          <w:rFonts w:ascii="Times New Roman" w:eastAsia="宋体" w:hAnsi="Times New Roman" w:cs="Times New Roman"/>
          <w:kern w:val="0"/>
          <w14:ligatures w14:val="none"/>
        </w:rPr>
        <w:instrText xml:space="preserve"> TLR4/TRAF6/NF-κ B </w:instrText>
      </w:r>
      <w:r>
        <w:rPr>
          <w:rFonts w:ascii="Times New Roman" w:eastAsia="宋体" w:hAnsi="Times New Roman" w:cs="Times New Roman"/>
          <w:kern w:val="0"/>
          <w14:ligatures w14:val="none"/>
        </w:rPr>
        <w:instrText>途径和</w:instrText>
      </w:r>
      <w:r>
        <w:rPr>
          <w:rFonts w:ascii="Times New Roman" w:eastAsia="宋体" w:hAnsi="Times New Roman" w:cs="Times New Roman"/>
          <w:kern w:val="0"/>
          <w14:ligatures w14:val="none"/>
        </w:rPr>
        <w:instrText xml:space="preserve"> Stat3 </w:instrText>
      </w:r>
      <w:r>
        <w:rPr>
          <w:rFonts w:ascii="Times New Roman" w:eastAsia="宋体" w:hAnsi="Times New Roman" w:cs="Times New Roman"/>
          <w:kern w:val="0"/>
          <w14:ligatures w14:val="none"/>
        </w:rPr>
        <w:instrText>磷酸化来抑制神经炎症和小胶质细胞活化。</w:instrText>
      </w:r>
      <w:r>
        <w:rPr>
          <w:rFonts w:ascii="Times New Roman" w:eastAsia="宋体" w:hAnsi="Times New Roman" w:cs="Times New Roman"/>
          <w:kern w:val="0"/>
          <w14:ligatures w14:val="none"/>
        </w:rPr>
        <w:instrText>","call-number":"1","container-title":"Phytomedicine","DOI":"10.1016/j.phymed.2024.155518","ISSN":"0944-7113","journalAbbreviation":"Phytomedicine","language":"en","license":"1 µg/ml LPS 24 h","note":"TLDR: In mice, gastrodin treatment mitigated LPS-induced deficits in learning and spatial memory, as well as reducing neuroinflammation in the hippocampus, expression of TLR4/TRAF6/NF-κB pathway proteins, activation of microglia and astrocytes, and phosphorylation of Stat3.","page":"155518","PMID":"38552431","source":"6.7 (Q1)","title":"Gastrodin regulates the TLR4/TRAF6/NF-κB pathway to reduce neuroinflammation and microglial activation in an AD model","title-short":"</w:instrText>
      </w:r>
      <w:r>
        <w:rPr>
          <w:rFonts w:ascii="Times New Roman" w:eastAsia="宋体" w:hAnsi="Times New Roman" w:cs="Times New Roman"/>
          <w:kern w:val="0"/>
          <w14:ligatures w14:val="none"/>
        </w:rPr>
        <w:instrText>胃素调节</w:instrText>
      </w:r>
      <w:r>
        <w:rPr>
          <w:rFonts w:ascii="Times New Roman" w:eastAsia="宋体" w:hAnsi="Times New Roman" w:cs="Times New Roman"/>
          <w:kern w:val="0"/>
          <w14:ligatures w14:val="none"/>
        </w:rPr>
        <w:instrText xml:space="preserve"> TLR4/TRAF6/NF-κB </w:instrText>
      </w:r>
      <w:r>
        <w:rPr>
          <w:rFonts w:ascii="Times New Roman" w:eastAsia="宋体" w:hAnsi="Times New Roman" w:cs="Times New Roman"/>
          <w:kern w:val="0"/>
          <w14:ligatures w14:val="none"/>
        </w:rPr>
        <w:instrText>途径，以减少</w:instrText>
      </w:r>
      <w:r>
        <w:rPr>
          <w:rFonts w:ascii="Times New Roman" w:eastAsia="宋体" w:hAnsi="Times New Roman" w:cs="Times New Roman"/>
          <w:kern w:val="0"/>
          <w14:ligatures w14:val="none"/>
        </w:rPr>
        <w:instrText xml:space="preserve"> AD </w:instrText>
      </w:r>
      <w:r>
        <w:rPr>
          <w:rFonts w:ascii="Times New Roman" w:eastAsia="宋体" w:hAnsi="Times New Roman" w:cs="Times New Roman"/>
          <w:kern w:val="0"/>
          <w14:ligatures w14:val="none"/>
        </w:rPr>
        <w:instrText>模型中的神经炎症和小胶质细胞活化。</w:instrText>
      </w:r>
      <w:r>
        <w:rPr>
          <w:rFonts w:ascii="Times New Roman" w:eastAsia="宋体" w:hAnsi="Times New Roman" w:cs="Times New Roman"/>
          <w:kern w:val="0"/>
          <w14:ligatures w14:val="none"/>
        </w:rPr>
        <w:instrText xml:space="preserve">","volume":"128","author":[{"family":"Wang","given":"Wensheng"},{"family":"Wang","given":"Yu"},{"family":"Wang","given":"Fengjie"},{"family":"Xie","given":"Guangjing"},{"family":"Liu","given":"Shangzhi"},{"family":"Li","given":"Zefei"},{"family":"Wang","given":"Ping"},{"family":"Liu","given":"Junfeng"},{"family":"Lin","given":"Li"}],"issued":{"date-parts":[["2024",6]]}}}],"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rPr>
        <w:t>[1]</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xml:space="preserve">, an </w:t>
      </w:r>
      <w:r w:rsidRPr="00044F27">
        <w:rPr>
          <w:rFonts w:ascii="Times New Roman" w:eastAsia="Times New Roman" w:hAnsi="Times New Roman" w:cs="Times New Roman"/>
          <w:iCs/>
          <w:kern w:val="0"/>
          <w:lang w:eastAsia="zh-CN"/>
          <w14:ligatures w14:val="none"/>
        </w:rPr>
        <w:t>in vitro</w:t>
      </w:r>
      <w:r>
        <w:rPr>
          <w:rFonts w:ascii="Times New Roman" w:eastAsia="Times New Roman" w:hAnsi="Times New Roman" w:cs="Times New Roman"/>
          <w:kern w:val="0"/>
          <w:lang w:eastAsia="zh-CN"/>
          <w14:ligatures w14:val="none"/>
        </w:rPr>
        <w:t xml:space="preserve"> inflammatory model was established in BV2 cells using LPS. First, we transfected BV2 cells with the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-overexpressing lentivirus at different MOI. Subsequently, the optimal puromycin concentration was determined</w:t>
      </w:r>
      <w:r w:rsidRPr="00044F27">
        <w:rPr>
          <w:rFonts w:ascii="Times New Roman" w:eastAsia="Times New Roman" w:hAnsi="Times New Roman" w:cs="Times New Roman"/>
          <w:bCs/>
          <w:kern w:val="0"/>
          <w:lang w:eastAsia="zh-CN"/>
          <w14:ligatures w14:val="none"/>
        </w:rPr>
        <w:t xml:space="preserve"> (Figure S</w:t>
      </w:r>
      <w:r w:rsidRPr="00044F27">
        <w:rPr>
          <w:rFonts w:ascii="Times New Roman" w:eastAsia="等线" w:hAnsi="Times New Roman" w:cs="Times New Roman"/>
          <w:bCs/>
          <w:kern w:val="0"/>
          <w:lang w:eastAsia="zh-CN"/>
          <w14:ligatures w14:val="none"/>
        </w:rPr>
        <w:t>7</w:t>
      </w:r>
      <w:r w:rsidRPr="00044F27">
        <w:rPr>
          <w:rFonts w:ascii="Times New Roman" w:eastAsia="Times New Roman" w:hAnsi="Times New Roman" w:cs="Times New Roman"/>
          <w:bCs/>
          <w:kern w:val="0"/>
          <w:lang w:eastAsia="zh-CN"/>
          <w14:ligatures w14:val="none"/>
        </w:rPr>
        <w:t>a-b)</w:t>
      </w:r>
      <w:r>
        <w:rPr>
          <w:rFonts w:ascii="Times New Roman" w:eastAsia="Times New Roman" w:hAnsi="Times New Roman" w:cs="Times New Roman"/>
          <w:kern w:val="0"/>
          <w:lang w:eastAsia="zh-CN"/>
          <w14:ligatures w14:val="none"/>
        </w:rPr>
        <w:t>. Next, stable LV-Nr4a1</w:t>
      </w:r>
      <w:r>
        <w:rPr>
          <w:rFonts w:ascii="Times New Roman" w:eastAsia="Times New Roman" w:hAnsi="Times New Roman" w:cs="Times New Roman"/>
          <w:kern w:val="0"/>
          <w:vertAlign w:val="superscript"/>
          <w:lang w:eastAsia="zh-CN"/>
          <w14:ligatures w14:val="none"/>
        </w:rPr>
        <w:t>OE</w:t>
      </w:r>
      <w:r>
        <w:rPr>
          <w:rFonts w:ascii="Times New Roman" w:eastAsia="Times New Roman" w:hAnsi="Times New Roman" w:cs="Times New Roman"/>
          <w:kern w:val="0"/>
          <w:lang w:eastAsia="zh-CN"/>
          <w14:ligatures w14:val="none"/>
        </w:rPr>
        <w:t xml:space="preserve"> cells were selected using an MOI of 50 and 4 μg/mL puromycin, and the transfection efficiency was confirmed through immunofluorescence and western blotting</w:t>
      </w:r>
      <w:r w:rsidRPr="00044F27">
        <w:rPr>
          <w:rFonts w:ascii="Times New Roman" w:eastAsia="Times New Roman" w:hAnsi="Times New Roman" w:cs="Times New Roman"/>
          <w:bCs/>
          <w:kern w:val="0"/>
          <w:lang w:eastAsia="zh-CN"/>
          <w14:ligatures w14:val="none"/>
        </w:rPr>
        <w:t xml:space="preserve"> (Figure S</w:t>
      </w:r>
      <w:r w:rsidRPr="00044F27">
        <w:rPr>
          <w:rFonts w:ascii="Times New Roman" w:eastAsia="等线" w:hAnsi="Times New Roman" w:cs="Times New Roman"/>
          <w:bCs/>
          <w:kern w:val="0"/>
          <w:lang w:eastAsia="zh-CN"/>
          <w14:ligatures w14:val="none"/>
        </w:rPr>
        <w:t>7</w:t>
      </w:r>
      <w:r w:rsidRPr="00044F27">
        <w:rPr>
          <w:rFonts w:ascii="Times New Roman" w:eastAsia="Times New Roman" w:hAnsi="Times New Roman" w:cs="Times New Roman"/>
          <w:bCs/>
          <w:kern w:val="0"/>
          <w:lang w:eastAsia="zh-CN"/>
          <w14:ligatures w14:val="none"/>
        </w:rPr>
        <w:t>c, g)</w:t>
      </w:r>
      <w:r>
        <w:rPr>
          <w:rFonts w:ascii="Times New Roman" w:eastAsia="Times New Roman" w:hAnsi="Times New Roman" w:cs="Times New Roman"/>
          <w:kern w:val="0"/>
          <w:lang w:eastAsia="zh-CN"/>
          <w14:ligatures w14:val="none"/>
        </w:rPr>
        <w:t xml:space="preserve">. Treatment with 1 μg/mL LPS, based on our experimental and previous findings </w:t>
      </w:r>
      <w:r>
        <w:rPr>
          <w:rFonts w:ascii="Times New Roman" w:eastAsia="宋体" w:hAnsi="Times New Roman" w:cs="Times New Roman"/>
          <w:kern w:val="0"/>
          <w:lang w:eastAsia="zh-CN"/>
          <w14:ligatures w14:val="none"/>
        </w:rPr>
        <w:fldChar w:fldCharType="begin"/>
      </w:r>
      <w:r>
        <w:rPr>
          <w:rFonts w:ascii="Times New Roman" w:eastAsia="宋体" w:hAnsi="Times New Roman" w:cs="Times New Roman"/>
          <w:kern w:val="0"/>
          <w14:ligatures w14:val="none"/>
        </w:rPr>
        <w:instrText xml:space="preserve"> ADDIN ZOTERO_ITEM CSL_CITATION {"citationID":"dQRfpl8t","properties":{"formattedCitation":"[2]","plainCitation":"[2]","noteIndex":0},"citationItems":[{"id":11352,"uris":["http://zotero.org/users/9311172/items/A6Q8JEQJ"],"itemData":{"id":11352,"type":"article-journal","abstract":"BACKGROUND: Baicalin, which is isolated from Radix Scutellariae, possesses strong biological activities including an anti-inflammation property. Recent studies have shown that the anti-inflammatory effect of baicalin is linked to toll-like receptor 4 (TLR4), which participates in pathological changes of central nervous system diseases such as depression. In this study, we explored whether baicalin could produce antidepressant effects via regulation of TLR4 signaling in mice and attempted to elucidate the underlying mechanisms.\nMETHODS: A chronic unpredictable mild stress (CUMS) mice model was performed to explore whether baicalin could produce antidepressant effects via the inhibition of neuroinflammation. To clarify the role of TLR4 in the anti-neuroinflammatory efficacy of baicalin, a lipopolysaccharide (LPS) was employed in mice to specially activate TLR4 and the behavioral changes were determined. Furthermore, we used LY294002 to examine the molecular mechanisms of baicalin in regulating the expression of TLR4 in vivo and in vitro using western blot, ELISA kits, and immunostaining. In the in vitro tests, the BV2 microglia cell lines and primary microglia cultures were pretreated with baicalin and LY292002 for 1 h and then stimulated 24 h with LPS. The primary microglial cells were transfected with the forkhead transcription factor forkhead box protein O 1 (FoxO1)-specific siRNA for 5 h and then co-stimulated with baicalin and LPS to investigate whether FoxO1 participated in the effect of baicalin on TLR4 expression.\nRESULTS: The administration of baicalin (especially 60 mg/kg) dramatically ameliorated CUMS-induced depressive-like symptoms; substantially decreased the levels of interleukin-1 beta (IL-1β), interleukin-6 (IL-6), and tumor necrosis factor alpha (TNF-α) in the hippocampus; and significantly decreased the expression of TLR4. The activation of TLR4 by the LPS triggered neuroinflammation and evoked depressive-like behaviors in mice, which were also alleviated by the treatment with baicalin (60 mg/kg). Furthermore, the application of baicalin significantly increased the phosphorylation of phosphatidylinositol 3-kinase (PI3K), protein kinase B (AKT), and FoxO1. The application of baicalin also promoted FoxO1 nuclear exclusion and contributed to the inhibition of the FoxO1 transactivation potential, which led to the downregulation of the expression of TLR4 in CUMS mice or LPS-treated BV2 cells and primary microglia cells. However, prophylactic treatment of LY294002 abolished the above effects of baicalin. In addition, we found that FoxO1 played a vital role in baicalin by regulating the TLR4 and TLR4-mediating neuroinflammation triggered by the LPS via knocking down the expression of FoxO1 in the primary microglia.\nCONCLUSION: Collectively, these results demonstrate that baicalin ameliorated neuroinflammation-induced depressive-like behaviors through the inhibition of TLR4 expression via the PI3K/AKT/FoxO1 pathway.\n\n</w:instrText>
      </w:r>
      <w:r>
        <w:rPr>
          <w:rFonts w:ascii="Times New Roman" w:eastAsia="宋体" w:hAnsi="Times New Roman" w:cs="Times New Roman"/>
          <w:kern w:val="0"/>
          <w14:ligatures w14:val="none"/>
        </w:rPr>
        <w:instrText>【摘要翻译】背景</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从黄芩中分离得到的黄芩苷具有较强的抗炎活性。最近的研究表明，黄芩苷的抗炎作用与</w:instrText>
      </w:r>
      <w:r>
        <w:rPr>
          <w:rFonts w:ascii="Times New Roman" w:eastAsia="宋体" w:hAnsi="Times New Roman" w:cs="Times New Roman"/>
          <w:kern w:val="0"/>
          <w14:ligatures w14:val="none"/>
        </w:rPr>
        <w:instrText xml:space="preserve"> 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4(tLR4)</w:instrText>
      </w:r>
      <w:r>
        <w:rPr>
          <w:rFonts w:ascii="Times New Roman" w:eastAsia="宋体" w:hAnsi="Times New Roman" w:cs="Times New Roman"/>
          <w:kern w:val="0"/>
          <w14:ligatures w14:val="none"/>
        </w:rPr>
        <w:instrText>有关，它参与了中枢神经系统疾病的病理变化，如抑郁症。在这项研究中，我们探讨了黄芩苷是否可以通过调节小鼠</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信号传导产生抗抑郁作用，并试图阐明其潜在的机制。方法</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采用慢性不可预测轻度应激</w:instrText>
      </w:r>
      <w:r>
        <w:rPr>
          <w:rFonts w:ascii="Times New Roman" w:eastAsia="宋体" w:hAnsi="Times New Roman" w:cs="Times New Roman"/>
          <w:kern w:val="0"/>
          <w14:ligatures w14:val="none"/>
        </w:rPr>
        <w:instrText>(CUMS)</w:instrText>
      </w:r>
      <w:r>
        <w:rPr>
          <w:rFonts w:ascii="Times New Roman" w:eastAsia="宋体" w:hAnsi="Times New Roman" w:cs="Times New Roman"/>
          <w:kern w:val="0"/>
          <w14:ligatures w14:val="none"/>
        </w:rPr>
        <w:instrText>小鼠模型，研究黄芩苷是否通过抑制神经炎症产生抗抑郁作用。为了阐明</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在黄芩苷抗神经炎症功效中的作用，我们在小鼠身上使用了一种脂多糖</w:instrText>
      </w:r>
      <w:r>
        <w:rPr>
          <w:rFonts w:ascii="Times New Roman" w:eastAsia="宋体" w:hAnsi="Times New Roman" w:cs="Times New Roman"/>
          <w:kern w:val="0"/>
          <w14:ligatures w14:val="none"/>
        </w:rPr>
        <w:instrText>(LPS)</w:instrText>
      </w:r>
      <w:r>
        <w:rPr>
          <w:rFonts w:ascii="Times New Roman" w:eastAsia="宋体" w:hAnsi="Times New Roman" w:cs="Times New Roman"/>
          <w:kern w:val="0"/>
          <w14:ligatures w14:val="none"/>
        </w:rPr>
        <w:instrText>来特别激活</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，并测定其行为变化。此外，我们使用</w:instrText>
      </w:r>
      <w:r>
        <w:rPr>
          <w:rFonts w:ascii="Times New Roman" w:eastAsia="宋体" w:hAnsi="Times New Roman" w:cs="Times New Roman"/>
          <w:kern w:val="0"/>
          <w14:ligatures w14:val="none"/>
        </w:rPr>
        <w:instrText xml:space="preserve"> LY294002</w:instrText>
      </w:r>
      <w:r>
        <w:rPr>
          <w:rFonts w:ascii="Times New Roman" w:eastAsia="宋体" w:hAnsi="Times New Roman" w:cs="Times New Roman"/>
          <w:kern w:val="0"/>
          <w14:ligatures w14:val="none"/>
        </w:rPr>
        <w:instrText>检测黄芩苷在体内和体外调节</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表达的分子机制，使用免疫印迹、</w:instrText>
      </w:r>
      <w:r>
        <w:rPr>
          <w:rFonts w:ascii="Times New Roman" w:eastAsia="宋体" w:hAnsi="Times New Roman" w:cs="Times New Roman"/>
          <w:kern w:val="0"/>
          <w14:ligatures w14:val="none"/>
        </w:rPr>
        <w:instrText xml:space="preserve"> ELISA </w:instrText>
      </w:r>
      <w:r>
        <w:rPr>
          <w:rFonts w:ascii="Times New Roman" w:eastAsia="宋体" w:hAnsi="Times New Roman" w:cs="Times New Roman"/>
          <w:kern w:val="0"/>
          <w14:ligatures w14:val="none"/>
        </w:rPr>
        <w:instrText>试剂盒和免疫染色。在体外实验中，用黄芩苷和</w:instrText>
      </w:r>
      <w:r>
        <w:rPr>
          <w:rFonts w:ascii="Times New Roman" w:eastAsia="宋体" w:hAnsi="Times New Roman" w:cs="Times New Roman"/>
          <w:kern w:val="0"/>
          <w14:ligatures w14:val="none"/>
        </w:rPr>
        <w:instrText xml:space="preserve"> LY292002</w:instrText>
      </w:r>
      <w:r>
        <w:rPr>
          <w:rFonts w:ascii="Times New Roman" w:eastAsia="宋体" w:hAnsi="Times New Roman" w:cs="Times New Roman"/>
          <w:kern w:val="0"/>
          <w14:ligatures w14:val="none"/>
        </w:rPr>
        <w:instrText>预处理</w:instrText>
      </w:r>
      <w:r>
        <w:rPr>
          <w:rFonts w:ascii="Times New Roman" w:eastAsia="宋体" w:hAnsi="Times New Roman" w:cs="Times New Roman"/>
          <w:kern w:val="0"/>
          <w14:ligatures w14:val="none"/>
        </w:rPr>
        <w:instrText xml:space="preserve"> BV2</w:instrText>
      </w:r>
      <w:r>
        <w:rPr>
          <w:rFonts w:ascii="Times New Roman" w:eastAsia="宋体" w:hAnsi="Times New Roman" w:cs="Times New Roman"/>
          <w:kern w:val="0"/>
          <w14:ligatures w14:val="none"/>
        </w:rPr>
        <w:instrText>小胶质细胞系和原代小胶质细胞培养物</w:instrText>
      </w:r>
      <w:r>
        <w:rPr>
          <w:rFonts w:ascii="Times New Roman" w:eastAsia="宋体" w:hAnsi="Times New Roman" w:cs="Times New Roman"/>
          <w:kern w:val="0"/>
          <w14:ligatures w14:val="none"/>
        </w:rPr>
        <w:instrText>1h</w:instrText>
      </w:r>
      <w:r>
        <w:rPr>
          <w:rFonts w:ascii="Times New Roman" w:eastAsia="宋体" w:hAnsi="Times New Roman" w:cs="Times New Roman"/>
          <w:kern w:val="0"/>
          <w14:ligatures w14:val="none"/>
        </w:rPr>
        <w:instrText>，然后用</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刺激</w:instrText>
      </w:r>
      <w:r>
        <w:rPr>
          <w:rFonts w:ascii="Times New Roman" w:eastAsia="宋体" w:hAnsi="Times New Roman" w:cs="Times New Roman"/>
          <w:kern w:val="0"/>
          <w14:ligatures w14:val="none"/>
        </w:rPr>
        <w:instrText>24h</w:instrText>
      </w:r>
      <w:r>
        <w:rPr>
          <w:rFonts w:ascii="Times New Roman" w:eastAsia="宋体" w:hAnsi="Times New Roman" w:cs="Times New Roman"/>
          <w:kern w:val="0"/>
          <w14:ligatures w14:val="none"/>
        </w:rPr>
        <w:instrText>。将原代小胶质细胞用叉头转录因子叉头盒蛋白</w:instrText>
      </w:r>
      <w:r>
        <w:rPr>
          <w:rFonts w:ascii="Times New Roman" w:eastAsia="宋体" w:hAnsi="Times New Roman" w:cs="Times New Roman"/>
          <w:kern w:val="0"/>
          <w14:ligatures w14:val="none"/>
        </w:rPr>
        <w:instrText xml:space="preserve"> O1(FoxO1)</w:instrText>
      </w:r>
      <w:r>
        <w:rPr>
          <w:rFonts w:ascii="Times New Roman" w:eastAsia="宋体" w:hAnsi="Times New Roman" w:cs="Times New Roman"/>
          <w:kern w:val="0"/>
          <w14:ligatures w14:val="none"/>
        </w:rPr>
        <w:instrText>特异性</w:instrText>
      </w:r>
      <w:r>
        <w:rPr>
          <w:rFonts w:ascii="Times New Roman" w:eastAsia="宋体" w:hAnsi="Times New Roman" w:cs="Times New Roman"/>
          <w:kern w:val="0"/>
          <w14:ligatures w14:val="none"/>
        </w:rPr>
        <w:instrText xml:space="preserve"> siRNA </w:instrText>
      </w:r>
      <w:r>
        <w:rPr>
          <w:rFonts w:ascii="Times New Roman" w:eastAsia="宋体" w:hAnsi="Times New Roman" w:cs="Times New Roman"/>
          <w:kern w:val="0"/>
          <w14:ligatures w14:val="none"/>
        </w:rPr>
        <w:instrText>转染</w:instrText>
      </w:r>
      <w:r>
        <w:rPr>
          <w:rFonts w:ascii="Times New Roman" w:eastAsia="宋体" w:hAnsi="Times New Roman" w:cs="Times New Roman"/>
          <w:kern w:val="0"/>
          <w14:ligatures w14:val="none"/>
        </w:rPr>
        <w:instrText>5</w:instrText>
      </w:r>
      <w:r>
        <w:rPr>
          <w:rFonts w:ascii="Times New Roman" w:eastAsia="宋体" w:hAnsi="Times New Roman" w:cs="Times New Roman"/>
          <w:kern w:val="0"/>
          <w14:ligatures w14:val="none"/>
        </w:rPr>
        <w:instrText>小时，然后与黄芩苷和</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共刺激，以研究</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是否参与了黄芩苷对</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表达的影响。结果</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黄芩苷</w:instrText>
      </w:r>
      <w:r>
        <w:rPr>
          <w:rFonts w:ascii="Times New Roman" w:eastAsia="宋体" w:hAnsi="Times New Roman" w:cs="Times New Roman"/>
          <w:kern w:val="0"/>
          <w14:ligatures w14:val="none"/>
        </w:rPr>
        <w:instrText>(</w:instrText>
      </w:r>
      <w:r>
        <w:rPr>
          <w:rFonts w:ascii="Times New Roman" w:eastAsia="宋体" w:hAnsi="Times New Roman" w:cs="Times New Roman"/>
          <w:kern w:val="0"/>
          <w14:ligatures w14:val="none"/>
        </w:rPr>
        <w:instrText>特别是</w:instrText>
      </w:r>
      <w:r>
        <w:rPr>
          <w:rFonts w:ascii="Times New Roman" w:eastAsia="宋体" w:hAnsi="Times New Roman" w:cs="Times New Roman"/>
          <w:kern w:val="0"/>
          <w14:ligatures w14:val="none"/>
        </w:rPr>
        <w:instrText>60mg/kg)</w:instrText>
      </w:r>
      <w:r>
        <w:rPr>
          <w:rFonts w:ascii="Times New Roman" w:eastAsia="宋体" w:hAnsi="Times New Roman" w:cs="Times New Roman"/>
          <w:kern w:val="0"/>
          <w14:ligatures w14:val="none"/>
        </w:rPr>
        <w:instrText>能显著改善</w:instrText>
      </w:r>
      <w:r>
        <w:rPr>
          <w:rFonts w:ascii="Times New Roman" w:eastAsia="宋体" w:hAnsi="Times New Roman" w:cs="Times New Roman"/>
          <w:kern w:val="0"/>
          <w14:ligatures w14:val="none"/>
        </w:rPr>
        <w:instrText xml:space="preserve"> CUMS </w:instrText>
      </w:r>
      <w:r>
        <w:rPr>
          <w:rFonts w:ascii="Times New Roman" w:eastAsia="宋体" w:hAnsi="Times New Roman" w:cs="Times New Roman"/>
          <w:kern w:val="0"/>
          <w14:ligatures w14:val="none"/>
        </w:rPr>
        <w:instrText>诱导的抑郁样症状，显著降低海马白细胞介素</w:instrText>
      </w:r>
      <w:r>
        <w:rPr>
          <w:rFonts w:ascii="Times New Roman" w:eastAsia="宋体" w:hAnsi="Times New Roman" w:cs="Times New Roman"/>
          <w:kern w:val="0"/>
          <w14:ligatures w14:val="none"/>
        </w:rPr>
        <w:instrText xml:space="preserve"> -1β (IL-1β)</w:instrText>
      </w:r>
      <w:r>
        <w:rPr>
          <w:rFonts w:ascii="Times New Roman" w:eastAsia="宋体" w:hAnsi="Times New Roman" w:cs="Times New Roman"/>
          <w:kern w:val="0"/>
          <w14:ligatures w14:val="none"/>
        </w:rPr>
        <w:instrText>、白细胞介素</w:instrText>
      </w:r>
      <w:r>
        <w:rPr>
          <w:rFonts w:ascii="Times New Roman" w:eastAsia="宋体" w:hAnsi="Times New Roman" w:cs="Times New Roman"/>
          <w:kern w:val="0"/>
          <w14:ligatures w14:val="none"/>
        </w:rPr>
        <w:instrText xml:space="preserve"> -6(IL-6)</w:instrText>
      </w:r>
      <w:r>
        <w:rPr>
          <w:rFonts w:ascii="Times New Roman" w:eastAsia="宋体" w:hAnsi="Times New Roman" w:cs="Times New Roman"/>
          <w:kern w:val="0"/>
          <w14:ligatures w14:val="none"/>
        </w:rPr>
        <w:instrText>和肿瘤坏死因子</w:instrText>
      </w:r>
      <w:r>
        <w:rPr>
          <w:rFonts w:ascii="Times New Roman" w:eastAsia="宋体" w:hAnsi="Times New Roman" w:cs="Times New Roman"/>
          <w:kern w:val="0"/>
          <w14:ligatures w14:val="none"/>
        </w:rPr>
        <w:instrText>-α α (TNF-α)</w:instrText>
      </w:r>
      <w:r>
        <w:rPr>
          <w:rFonts w:ascii="Times New Roman" w:eastAsia="宋体" w:hAnsi="Times New Roman" w:cs="Times New Roman"/>
          <w:kern w:val="0"/>
          <w14:ligatures w14:val="none"/>
        </w:rPr>
        <w:instrText>的水平，并显著降低</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的表达。内毒素激活的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在小鼠中引发神经炎症和诱发抑郁样行为，黄芩苷</w:instrText>
      </w:r>
      <w:r>
        <w:rPr>
          <w:rFonts w:ascii="Times New Roman" w:eastAsia="宋体" w:hAnsi="Times New Roman" w:cs="Times New Roman"/>
          <w:kern w:val="0"/>
          <w14:ligatures w14:val="none"/>
        </w:rPr>
        <w:instrText>(60mg/kg)</w:instrText>
      </w:r>
      <w:r>
        <w:rPr>
          <w:rFonts w:ascii="Times New Roman" w:eastAsia="宋体" w:hAnsi="Times New Roman" w:cs="Times New Roman"/>
          <w:kern w:val="0"/>
          <w14:ligatures w14:val="none"/>
        </w:rPr>
        <w:instrText>的治疗也减轻了这种行为。此外，黄芩苷的应用显着增加了磷脂酰肌醇</w:instrText>
      </w:r>
      <w:r>
        <w:rPr>
          <w:rFonts w:ascii="Times New Roman" w:eastAsia="宋体" w:hAnsi="Times New Roman" w:cs="Times New Roman"/>
          <w:kern w:val="0"/>
          <w14:ligatures w14:val="none"/>
        </w:rPr>
        <w:instrText>3-</w:instrText>
      </w:r>
      <w:r>
        <w:rPr>
          <w:rFonts w:ascii="Times New Roman" w:eastAsia="宋体" w:hAnsi="Times New Roman" w:cs="Times New Roman"/>
          <w:kern w:val="0"/>
          <w14:ligatures w14:val="none"/>
        </w:rPr>
        <w:instrText>激酶</w:instrText>
      </w:r>
      <w:r>
        <w:rPr>
          <w:rFonts w:ascii="Times New Roman" w:eastAsia="宋体" w:hAnsi="Times New Roman" w:cs="Times New Roman"/>
          <w:kern w:val="0"/>
          <w14:ligatures w14:val="none"/>
        </w:rPr>
        <w:instrText xml:space="preserve">(PI3K) </w:instrText>
      </w:r>
      <w:r>
        <w:rPr>
          <w:rFonts w:ascii="Times New Roman" w:eastAsia="宋体" w:hAnsi="Times New Roman" w:cs="Times New Roman"/>
          <w:kern w:val="0"/>
          <w14:ligatures w14:val="none"/>
        </w:rPr>
        <w:instrText>，蛋白激酶</w:instrText>
      </w:r>
      <w:r>
        <w:rPr>
          <w:rFonts w:ascii="Times New Roman" w:eastAsia="宋体" w:hAnsi="Times New Roman" w:cs="Times New Roman"/>
          <w:kern w:val="0"/>
          <w14:ligatures w14:val="none"/>
        </w:rPr>
        <w:instrText xml:space="preserve"> B (AKT)</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的磷酸化。黄芩苷的应用也促进了</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核排斥，并有助于抑制</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反式激活潜能，这导致</w:instrText>
      </w:r>
      <w:r>
        <w:rPr>
          <w:rFonts w:ascii="Times New Roman" w:eastAsia="宋体" w:hAnsi="Times New Roman" w:cs="Times New Roman"/>
          <w:kern w:val="0"/>
          <w14:ligatures w14:val="none"/>
        </w:rPr>
        <w:instrText xml:space="preserve"> CUMS </w:instrText>
      </w:r>
      <w:r>
        <w:rPr>
          <w:rFonts w:ascii="Times New Roman" w:eastAsia="宋体" w:hAnsi="Times New Roman" w:cs="Times New Roman"/>
          <w:kern w:val="0"/>
          <w14:ligatures w14:val="none"/>
        </w:rPr>
        <w:instrText>小鼠或</w:instrText>
      </w:r>
      <w:r>
        <w:rPr>
          <w:rFonts w:ascii="Times New Roman" w:eastAsia="宋体" w:hAnsi="Times New Roman" w:cs="Times New Roman"/>
          <w:kern w:val="0"/>
          <w14:ligatures w14:val="none"/>
        </w:rPr>
        <w:instrText xml:space="preserve"> LPS </w:instrText>
      </w:r>
      <w:r>
        <w:rPr>
          <w:rFonts w:ascii="Times New Roman" w:eastAsia="宋体" w:hAnsi="Times New Roman" w:cs="Times New Roman"/>
          <w:kern w:val="0"/>
          <w14:ligatures w14:val="none"/>
        </w:rPr>
        <w:instrText>处理的</w:instrText>
      </w:r>
      <w:r>
        <w:rPr>
          <w:rFonts w:ascii="Times New Roman" w:eastAsia="宋体" w:hAnsi="Times New Roman" w:cs="Times New Roman"/>
          <w:kern w:val="0"/>
          <w14:ligatures w14:val="none"/>
        </w:rPr>
        <w:instrText xml:space="preserve"> BV2</w:instrText>
      </w:r>
      <w:r>
        <w:rPr>
          <w:rFonts w:ascii="Times New Roman" w:eastAsia="宋体" w:hAnsi="Times New Roman" w:cs="Times New Roman"/>
          <w:kern w:val="0"/>
          <w14:ligatures w14:val="none"/>
        </w:rPr>
        <w:instrText>细胞和原代小胶质细胞中</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的表达下调。然而，</w:instrText>
      </w:r>
      <w:r>
        <w:rPr>
          <w:rFonts w:ascii="Times New Roman" w:eastAsia="宋体" w:hAnsi="Times New Roman" w:cs="Times New Roman"/>
          <w:kern w:val="0"/>
          <w14:ligatures w14:val="none"/>
        </w:rPr>
        <w:instrText>LY294002</w:instrText>
      </w:r>
      <w:r>
        <w:rPr>
          <w:rFonts w:ascii="Times New Roman" w:eastAsia="宋体" w:hAnsi="Times New Roman" w:cs="Times New Roman"/>
          <w:kern w:val="0"/>
          <w14:ligatures w14:val="none"/>
        </w:rPr>
        <w:instrText>的预防性治疗消除了黄芩苷的上述作用。此外，我们发现</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通过调节由内毒素触发的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和</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介导的神经炎症，通过敲低原代小胶质细胞中</w:instrText>
      </w:r>
      <w:r>
        <w:rPr>
          <w:rFonts w:ascii="Times New Roman" w:eastAsia="宋体" w:hAnsi="Times New Roman" w:cs="Times New Roman"/>
          <w:kern w:val="0"/>
          <w14:ligatures w14:val="none"/>
        </w:rPr>
        <w:instrText xml:space="preserve"> FoxO1</w:instrText>
      </w:r>
      <w:r>
        <w:rPr>
          <w:rFonts w:ascii="Times New Roman" w:eastAsia="宋体" w:hAnsi="Times New Roman" w:cs="Times New Roman"/>
          <w:kern w:val="0"/>
          <w14:ligatures w14:val="none"/>
        </w:rPr>
        <w:instrText>的表达，在黄芩苷中发挥重要作用。结论</w:instrText>
      </w:r>
      <w:r>
        <w:rPr>
          <w:rFonts w:ascii="Times New Roman" w:eastAsia="宋体" w:hAnsi="Times New Roman" w:cs="Times New Roman"/>
          <w:kern w:val="0"/>
          <w14:ligatures w14:val="none"/>
        </w:rPr>
        <w:instrText xml:space="preserve">: </w:instrText>
      </w:r>
      <w:r>
        <w:rPr>
          <w:rFonts w:ascii="Times New Roman" w:eastAsia="宋体" w:hAnsi="Times New Roman" w:cs="Times New Roman"/>
          <w:kern w:val="0"/>
          <w14:ligatures w14:val="none"/>
        </w:rPr>
        <w:instrText>总的来说，这些结果表明黄芩苷通过抑制</w:instrText>
      </w:r>
      <w:r>
        <w:rPr>
          <w:rFonts w:ascii="Times New Roman" w:eastAsia="宋体" w:hAnsi="Times New Roman" w:cs="Times New Roman"/>
          <w:kern w:val="0"/>
          <w14:ligatures w14:val="none"/>
        </w:rPr>
        <w:instrText xml:space="preserve"> PI3K/AKT/FoxO1</w:instrText>
      </w:r>
      <w:r>
        <w:rPr>
          <w:rFonts w:ascii="Times New Roman" w:eastAsia="宋体" w:hAnsi="Times New Roman" w:cs="Times New Roman"/>
          <w:kern w:val="0"/>
          <w14:ligatures w14:val="none"/>
        </w:rPr>
        <w:instrText>途径的</w:instrText>
      </w:r>
      <w:r>
        <w:rPr>
          <w:rFonts w:ascii="Times New Roman" w:eastAsia="宋体" w:hAnsi="Times New Roman" w:cs="Times New Roman"/>
          <w:kern w:val="0"/>
          <w14:ligatures w14:val="none"/>
        </w:rPr>
        <w:instrText xml:space="preserve"> TLR4</w:instrText>
      </w:r>
      <w:r>
        <w:rPr>
          <w:rFonts w:ascii="Times New Roman" w:eastAsia="宋体" w:hAnsi="Times New Roman" w:cs="Times New Roman"/>
          <w:kern w:val="0"/>
          <w14:ligatures w14:val="none"/>
        </w:rPr>
        <w:instrText>表达来改善神经炎症诱导的抑郁样行为。</w:instrText>
      </w:r>
      <w:r>
        <w:rPr>
          <w:rFonts w:ascii="Times New Roman" w:eastAsia="宋体" w:hAnsi="Times New Roman" w:cs="Times New Roman"/>
          <w:kern w:val="0"/>
          <w14:ligatures w14:val="none"/>
        </w:rPr>
        <w:instrText>","archive_location":"235 citation(s)","call-number":"1","container-title":"Journal of Neuroinflammation","DOI":"10.1186/s12974-019-1474-8","ISSN":"1742-2094","issue":"1","journalAbbreviation":"J Neuroinflammation","language":"en","license":"LY</w:instrText>
      </w:r>
      <w:r>
        <w:rPr>
          <w:rFonts w:ascii="Times New Roman" w:eastAsia="宋体" w:hAnsi="Times New Roman" w:cs="Times New Roman"/>
          <w:kern w:val="0"/>
          <w14:ligatures w14:val="none"/>
        </w:rPr>
        <w:instrText>细胞干预（</w:instrText>
      </w:r>
      <w:r>
        <w:rPr>
          <w:rFonts w:ascii="Times New Roman" w:eastAsia="宋体" w:hAnsi="Times New Roman" w:cs="Times New Roman"/>
          <w:kern w:val="0"/>
          <w14:ligatures w14:val="none"/>
        </w:rPr>
        <w:instrText>10 μ M</w:instrText>
      </w:r>
      <w:r>
        <w:rPr>
          <w:rFonts w:ascii="Times New Roman" w:eastAsia="宋体" w:hAnsi="Times New Roman" w:cs="Times New Roman"/>
          <w:kern w:val="0"/>
          <w14:ligatures w14:val="none"/>
        </w:rPr>
        <w:instrText>）</w:instrText>
      </w:r>
      <w:r>
        <w:rPr>
          <w:rFonts w:ascii="Segoe UI Emoji" w:eastAsia="宋体" w:hAnsi="Segoe UI Emoji" w:cs="Segoe UI Emoji"/>
          <w:kern w:val="0"/>
          <w14:ligatures w14:val="none"/>
        </w:rPr>
        <w:instrText>⭐⭐⭐</w:instrText>
      </w:r>
      <w:r>
        <w:rPr>
          <w:rFonts w:ascii="Times New Roman" w:eastAsia="宋体" w:hAnsi="Times New Roman" w:cs="Times New Roman"/>
          <w:kern w:val="0"/>
          <w14:ligatures w14:val="none"/>
        </w:rPr>
        <w:instrText xml:space="preserve">","note":"titleTranslation: </w:instrText>
      </w:r>
      <w:r>
        <w:rPr>
          <w:rFonts w:ascii="Times New Roman" w:eastAsia="宋体" w:hAnsi="Times New Roman" w:cs="Times New Roman"/>
          <w:kern w:val="0"/>
          <w14:ligatures w14:val="none"/>
        </w:rPr>
        <w:instrText>黄芩苷通过</w:instrText>
      </w:r>
      <w:r>
        <w:rPr>
          <w:rFonts w:ascii="Times New Roman" w:eastAsia="宋体" w:hAnsi="Times New Roman" w:cs="Times New Roman"/>
          <w:kern w:val="0"/>
          <w14:ligatures w14:val="none"/>
        </w:rPr>
        <w:instrText>PI3K/AKT/FoxO1</w:instrText>
      </w:r>
      <w:r>
        <w:rPr>
          <w:rFonts w:ascii="Times New Roman" w:eastAsia="宋体" w:hAnsi="Times New Roman" w:cs="Times New Roman"/>
          <w:kern w:val="0"/>
          <w14:ligatures w14:val="none"/>
        </w:rPr>
        <w:instrText>途径抑制</w:instrText>
      </w:r>
      <w:r>
        <w:rPr>
          <w:rFonts w:ascii="Times New Roman" w:eastAsia="宋体" w:hAnsi="Times New Roman" w:cs="Times New Roman"/>
          <w:kern w:val="0"/>
          <w14:ligatures w14:val="none"/>
        </w:rPr>
        <w:instrText>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w:instrText>
      </w:r>
      <w:r>
        <w:rPr>
          <w:rFonts w:ascii="Times New Roman" w:eastAsia="宋体" w:hAnsi="Times New Roman" w:cs="Times New Roman"/>
          <w:kern w:val="0"/>
          <w14:ligatures w14:val="none"/>
        </w:rPr>
        <w:instrText>表达改善神经炎症诱导的抑郁样行为</w:instrText>
      </w:r>
      <w:r>
        <w:rPr>
          <w:rFonts w:ascii="Times New Roman" w:eastAsia="宋体" w:hAnsi="Times New Roman" w:cs="Times New Roman"/>
          <w:kern w:val="0"/>
          <w14:ligatures w14:val="none"/>
        </w:rPr>
        <w:instrText>\nTLDR: It is demonstrated that baicalin ameliorated neuroinflammation-induced depressive-like behaviors through the inhibition of TLR4 expression via the PI3K/AKT/FoxO1 pathway.","page":"95","PMID":"31068207","PMCID":"PMC6507025","source":"9.3 (Q1)","title":"Baicalin ameliorates neuroinflammation-induced depressive-like behavior through inhibition of toll-like receptor 4 expression via the PI3K/AKT/FoxO1 pathway","title-short":"</w:instrText>
      </w:r>
      <w:r>
        <w:rPr>
          <w:rFonts w:ascii="Times New Roman" w:eastAsia="宋体" w:hAnsi="Times New Roman" w:cs="Times New Roman"/>
          <w:kern w:val="0"/>
          <w14:ligatures w14:val="none"/>
        </w:rPr>
        <w:instrText>黄芩苷通过抑制</w:instrText>
      </w:r>
      <w:r>
        <w:rPr>
          <w:rFonts w:ascii="Times New Roman" w:eastAsia="宋体" w:hAnsi="Times New Roman" w:cs="Times New Roman"/>
          <w:kern w:val="0"/>
          <w14:ligatures w14:val="none"/>
        </w:rPr>
        <w:instrText xml:space="preserve"> PI3K/AKT/FoxO1</w:instrText>
      </w:r>
      <w:r>
        <w:rPr>
          <w:rFonts w:ascii="Times New Roman" w:eastAsia="宋体" w:hAnsi="Times New Roman" w:cs="Times New Roman"/>
          <w:kern w:val="0"/>
          <w14:ligatures w14:val="none"/>
        </w:rPr>
        <w:instrText>途径的</w:instrText>
      </w:r>
      <w:r>
        <w:rPr>
          <w:rFonts w:ascii="Times New Roman" w:eastAsia="宋体" w:hAnsi="Times New Roman" w:cs="Times New Roman"/>
          <w:kern w:val="0"/>
          <w14:ligatures w14:val="none"/>
        </w:rPr>
        <w:instrText xml:space="preserve"> Toll</w:instrText>
      </w:r>
      <w:r>
        <w:rPr>
          <w:rFonts w:ascii="Times New Roman" w:eastAsia="宋体" w:hAnsi="Times New Roman" w:cs="Times New Roman"/>
          <w:kern w:val="0"/>
          <w14:ligatures w14:val="none"/>
        </w:rPr>
        <w:instrText>样受体</w:instrText>
      </w:r>
      <w:r>
        <w:rPr>
          <w:rFonts w:ascii="Times New Roman" w:eastAsia="宋体" w:hAnsi="Times New Roman" w:cs="Times New Roman"/>
          <w:kern w:val="0"/>
          <w14:ligatures w14:val="none"/>
        </w:rPr>
        <w:instrText>4</w:instrText>
      </w:r>
      <w:r>
        <w:rPr>
          <w:rFonts w:ascii="Times New Roman" w:eastAsia="宋体" w:hAnsi="Times New Roman" w:cs="Times New Roman"/>
          <w:kern w:val="0"/>
          <w14:ligatures w14:val="none"/>
        </w:rPr>
        <w:instrText>表达来改善神经炎症诱导的抑郁样行为</w:instrText>
      </w:r>
      <w:r>
        <w:rPr>
          <w:rFonts w:ascii="Times New Roman" w:eastAsia="宋体" w:hAnsi="Times New Roman" w:cs="Times New Roman"/>
          <w:kern w:val="0"/>
          <w14:ligatures w14:val="none"/>
        </w:rPr>
        <w:instrText xml:space="preserve">","volume":"16","author":[{"family":"Guo","given":"Li-Ting"},{"family":"Wang","given":"Si-Qi"},{"family":"Su","given":"Jing"},{"family":"Xu","given":"Li-Xing"},{"family":"Ji","given":"Zhou-Ye"},{"family":"Zhang","given":"Ru-Yi"},{"family":"Zhao","given":"Qin-Wen"},{"family":"Ma","given":"Zhan-Qiang"},{"family":"Deng","given":"Xue-Yang"},{"family":"Ma","given":"Shi-Ping"}],"issued":{"date-parts":[["2019",12]]}}}],"schema":"https://github.com/citation-style-language/schema/raw/master/csl-citation.json"} </w:instrText>
      </w:r>
      <w:r>
        <w:rPr>
          <w:rFonts w:ascii="Times New Roman" w:eastAsia="宋体" w:hAnsi="Times New Roman" w:cs="Times New Roman"/>
          <w:kern w:val="0"/>
          <w:lang w:eastAsia="zh-CN"/>
          <w14:ligatures w14:val="none"/>
        </w:rPr>
        <w:fldChar w:fldCharType="separate"/>
      </w:r>
      <w:r>
        <w:rPr>
          <w:rFonts w:ascii="Times New Roman" w:hAnsi="Times New Roman" w:cs="Times New Roman"/>
        </w:rPr>
        <w:t>[2]</w:t>
      </w:r>
      <w:r>
        <w:rPr>
          <w:rFonts w:ascii="Times New Roman" w:eastAsia="Times New Roman" w:hAnsi="Times New Roman" w:cs="Times New Roman"/>
          <w:kern w:val="0"/>
          <w:lang w:eastAsia="zh-CN"/>
          <w14:ligatures w14:val="none"/>
        </w:rPr>
        <w:fldChar w:fldCharType="end"/>
      </w:r>
      <w:r>
        <w:rPr>
          <w:rFonts w:ascii="Times New Roman" w:eastAsia="Times New Roman" w:hAnsi="Times New Roman" w:cs="Times New Roman"/>
          <w:kern w:val="0"/>
          <w:lang w:eastAsia="zh-CN"/>
          <w14:ligatures w14:val="none"/>
        </w:rPr>
        <w:t xml:space="preserve">, did not affect BV2 cell viability but induced an amoeboid morphology in more cells and promoted a predominantly pro-inflammatory activation state </w:t>
      </w:r>
      <w:r w:rsidRPr="00044F27">
        <w:rPr>
          <w:rFonts w:ascii="Times New Roman" w:eastAsia="Times New Roman" w:hAnsi="Times New Roman" w:cs="Times New Roman"/>
          <w:bCs/>
          <w:kern w:val="0"/>
          <w:lang w:eastAsia="zh-CN"/>
          <w14:ligatures w14:val="none"/>
        </w:rPr>
        <w:t>(Figure S</w:t>
      </w:r>
      <w:r w:rsidRPr="00044F27">
        <w:rPr>
          <w:rFonts w:ascii="Times New Roman" w:eastAsia="等线" w:hAnsi="Times New Roman" w:cs="Times New Roman"/>
          <w:bCs/>
          <w:kern w:val="0"/>
          <w:lang w:eastAsia="zh-CN"/>
          <w14:ligatures w14:val="none"/>
        </w:rPr>
        <w:t>7</w:t>
      </w:r>
      <w:r w:rsidRPr="00044F27">
        <w:rPr>
          <w:rFonts w:ascii="Times New Roman" w:eastAsia="Times New Roman" w:hAnsi="Times New Roman" w:cs="Times New Roman"/>
          <w:bCs/>
          <w:kern w:val="0"/>
          <w:lang w:eastAsia="zh-CN"/>
          <w14:ligatures w14:val="none"/>
        </w:rPr>
        <w:t>d-f)</w:t>
      </w:r>
      <w:r>
        <w:rPr>
          <w:rFonts w:ascii="Times New Roman" w:eastAsia="Times New Roman" w:hAnsi="Times New Roman" w:cs="Times New Roman"/>
          <w:kern w:val="0"/>
          <w:lang w:eastAsia="zh-CN"/>
          <w14:ligatures w14:val="none"/>
        </w:rPr>
        <w:t xml:space="preserve">. Additionally, western blotting revealed that compared with the control group, the LPS group exhibited increased expression of pro-inflammatory cytokines (TNF-α, IL-6, and IL-1β) and decreased expression of anti-inflammatory cytokines (IL-4 and IL-10); however, </w:t>
      </w:r>
      <w:r>
        <w:rPr>
          <w:rFonts w:ascii="Times New Roman" w:eastAsia="Times New Roman" w:hAnsi="Times New Roman" w:cs="Times New Roman"/>
          <w:i/>
          <w:kern w:val="0"/>
          <w:lang w:eastAsia="zh-CN"/>
          <w14:ligatures w14:val="none"/>
        </w:rPr>
        <w:t>Nr4a1</w:t>
      </w:r>
      <w:r>
        <w:rPr>
          <w:rFonts w:ascii="Times New Roman" w:eastAsia="Times New Roman" w:hAnsi="Times New Roman" w:cs="Times New Roman"/>
          <w:kern w:val="0"/>
          <w:lang w:eastAsia="zh-CN"/>
          <w14:ligatures w14:val="none"/>
        </w:rPr>
        <w:t xml:space="preserve"> overexpression reversed these changes </w:t>
      </w:r>
      <w:r w:rsidRPr="00044F27">
        <w:rPr>
          <w:rFonts w:ascii="Times New Roman" w:eastAsia="Times New Roman" w:hAnsi="Times New Roman" w:cs="Times New Roman"/>
          <w:bCs/>
          <w:kern w:val="0"/>
          <w:lang w:eastAsia="zh-CN"/>
          <w14:ligatures w14:val="none"/>
        </w:rPr>
        <w:t>(Figure S</w:t>
      </w:r>
      <w:r w:rsidRPr="00044F27">
        <w:rPr>
          <w:rFonts w:ascii="Times New Roman" w:eastAsia="等线" w:hAnsi="Times New Roman" w:cs="Times New Roman"/>
          <w:bCs/>
          <w:kern w:val="0"/>
          <w:lang w:eastAsia="zh-CN"/>
          <w14:ligatures w14:val="none"/>
        </w:rPr>
        <w:t>7h</w:t>
      </w:r>
      <w:r w:rsidRPr="00044F27">
        <w:rPr>
          <w:rFonts w:ascii="Times New Roman" w:eastAsia="Times New Roman" w:hAnsi="Times New Roman" w:cs="Times New Roman"/>
          <w:bCs/>
          <w:kern w:val="0"/>
          <w:lang w:eastAsia="zh-CN"/>
          <w14:ligatures w14:val="none"/>
        </w:rPr>
        <w:t>-</w:t>
      </w:r>
      <w:r w:rsidRPr="00044F27">
        <w:rPr>
          <w:rFonts w:ascii="Times New Roman" w:eastAsia="等线" w:hAnsi="Times New Roman" w:cs="Times New Roman"/>
          <w:bCs/>
          <w:kern w:val="0"/>
          <w:lang w:eastAsia="zh-CN"/>
          <w14:ligatures w14:val="none"/>
        </w:rPr>
        <w:t>m</w:t>
      </w:r>
      <w:r w:rsidRPr="00044F27">
        <w:rPr>
          <w:rFonts w:ascii="Times New Roman" w:eastAsia="Times New Roman" w:hAnsi="Times New Roman" w:cs="Times New Roman"/>
          <w:bCs/>
          <w:kern w:val="0"/>
          <w:lang w:eastAsia="zh-CN"/>
          <w14:ligatures w14:val="none"/>
        </w:rPr>
        <w:t>)</w:t>
      </w:r>
      <w:r>
        <w:rPr>
          <w:rFonts w:ascii="Times New Roman" w:eastAsia="Times New Roman" w:hAnsi="Times New Roman" w:cs="Times New Roman"/>
          <w:kern w:val="0"/>
          <w:lang w:eastAsia="zh-CN"/>
          <w14:ligatures w14:val="none"/>
        </w:rPr>
        <w:t>.</w:t>
      </w:r>
    </w:p>
    <w:p w14:paraId="2938699C" w14:textId="77777777" w:rsidR="00210785" w:rsidRDefault="00000000">
      <w:pPr>
        <w:spacing w:after="0" w:line="480" w:lineRule="auto"/>
        <w:jc w:val="both"/>
        <w:rPr>
          <w:rFonts w:ascii="Times New Roman" w:eastAsia="宋体" w:hAnsi="Times New Roman" w:cs="Times New Roman"/>
          <w:b/>
          <w:bCs/>
        </w:rPr>
      </w:pPr>
      <w:r>
        <w:rPr>
          <w:rFonts w:ascii="Times New Roman" w:eastAsia="等线" w:hAnsi="Times New Roman" w:cs="Times New Roman"/>
          <w:iCs/>
          <w:kern w:val="0"/>
          <w:lang w:eastAsia="zh-CN"/>
          <w14:ligatures w14:val="none"/>
        </w:rPr>
        <w:t>References:</w:t>
      </w:r>
    </w:p>
    <w:p w14:paraId="7438468F" w14:textId="46067EFF" w:rsidR="00210785" w:rsidRDefault="00000000">
      <w:pPr>
        <w:pStyle w:val="14"/>
        <w:spacing w:after="0" w:line="480" w:lineRule="auto"/>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ZOTERO_BIBL {"uncited":[],"omitted":[],"custom":[]} CSL_BIBLIOGRAPHY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ab/>
      </w:r>
      <w:r w:rsidR="00195AA1" w:rsidRPr="00195AA1">
        <w:rPr>
          <w:rFonts w:ascii="Times New Roman" w:hAnsi="Times New Roman" w:cs="Times New Roman"/>
        </w:rPr>
        <w:t>Wang W, Wang Y, Wang F, Xie G, Liu S, Li Z, Wang P, Liu J, Lin L (2024) Gastrodin regulates the TLR4/TRAF6/NF-κB pathway to reduce neuroinflammation and microglial activation in an AD model. Phytomedicine 128:155518. doi.10.1016/j.phymed.2024.155518</w:t>
      </w:r>
    </w:p>
    <w:p w14:paraId="2DF7C154" w14:textId="7C34856E" w:rsidR="002B4EF6" w:rsidRDefault="00000000">
      <w:pPr>
        <w:pStyle w:val="14"/>
        <w:spacing w:after="0" w:line="48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195AA1" w:rsidRPr="00195AA1">
        <w:rPr>
          <w:rFonts w:ascii="Times New Roman" w:hAnsi="Times New Roman" w:cs="Times New Roman"/>
        </w:rPr>
        <w:t>Guo L-T, Wang S-Q, Su J, Xu L-X, Ji Z-Y, Zhang R-Y, Zhao Q-W, Ma Z-Q, Deng X-Y, Ma S-P (2019) Baicalin ameliorates neuroinflammation-induced depressive-like behavior through inhibition of toll-like receptor 4 expression via the PI3K/AKT/FoxO1 pathway. J Neuroinflammation 16:95. doi.10.1186/s12974-019-1474-8</w:t>
      </w:r>
    </w:p>
    <w:p w14:paraId="2C8B6F2B" w14:textId="5C4DEE0A" w:rsidR="008F0E1D" w:rsidRPr="002B4EF6" w:rsidRDefault="002B4EF6" w:rsidP="002B4EF6">
      <w:pPr>
        <w:spacing w:after="0" w:line="240" w:lineRule="auto"/>
        <w:rPr>
          <w:rFonts w:ascii="Times New Roman" w:eastAsia="等线" w:hAnsi="Times New Roman" w:cs="Times New Roman" w:hint="eastAsia"/>
          <w:lang w:eastAsia="zh-CN"/>
        </w:rPr>
      </w:pPr>
      <w:r>
        <w:rPr>
          <w:rFonts w:ascii="Times New Roman" w:hAnsi="Times New Roman" w:cs="Times New Roman"/>
        </w:rPr>
        <w:br w:type="page"/>
      </w:r>
    </w:p>
    <w:p w14:paraId="389CFD82" w14:textId="4FF07E60" w:rsidR="00210785" w:rsidRPr="008F0E1D" w:rsidRDefault="00000000" w:rsidP="008F0E1D">
      <w:pPr>
        <w:spacing w:after="0" w:line="480" w:lineRule="auto"/>
        <w:rPr>
          <w:rFonts w:ascii="Times New Roman" w:eastAsia="等线" w:hAnsi="Times New Roman" w:cs="Times New Roman"/>
          <w:b/>
          <w:bCs/>
          <w:iCs/>
          <w:kern w:val="0"/>
          <w:lang w:eastAsia="zh-CN"/>
          <w14:ligatures w14:val="none"/>
        </w:rPr>
      </w:pPr>
      <w:r>
        <w:rPr>
          <w:rFonts w:ascii="Times New Roman" w:hAnsi="Times New Roman" w:cs="Times New Roman"/>
        </w:rPr>
        <w:lastRenderedPageBreak/>
        <w:fldChar w:fldCharType="end"/>
      </w:r>
      <w:r w:rsidRPr="008F0E1D">
        <w:rPr>
          <w:rFonts w:ascii="Times New Roman" w:eastAsia="等线" w:hAnsi="Times New Roman" w:cs="Times New Roman"/>
          <w:b/>
          <w:bCs/>
          <w:iCs/>
          <w:lang w:eastAsia="zh-CN"/>
        </w:rPr>
        <w:t>Supplementary Notes 2.4:</w:t>
      </w:r>
      <w:r w:rsidRPr="008F0E1D">
        <w:rPr>
          <w:rFonts w:ascii="Times New Roman" w:eastAsia="等线" w:hAnsi="Times New Roman" w:cs="Times New Roman"/>
          <w:iCs/>
          <w:lang w:eastAsia="zh-CN"/>
        </w:rPr>
        <w:t xml:space="preserve"> Complete dataset descriptions for the PI3K/Akt2 pathway inhibition experiments</w:t>
      </w:r>
    </w:p>
    <w:p w14:paraId="79B641A9" w14:textId="77777777" w:rsidR="00210785" w:rsidRPr="002B4EF6" w:rsidRDefault="00210785" w:rsidP="002B4EF6">
      <w:pPr>
        <w:spacing w:after="0" w:line="240" w:lineRule="auto"/>
        <w:jc w:val="both"/>
        <w:rPr>
          <w:rFonts w:ascii="Times New Roman" w:eastAsia="等线" w:hAnsi="Times New Roman" w:cs="Times New Roman"/>
          <w:b/>
          <w:kern w:val="0"/>
          <w:szCs w:val="20"/>
          <w:lang w:eastAsia="zh-CN"/>
          <w14:ligatures w14:val="none"/>
        </w:rPr>
      </w:pPr>
    </w:p>
    <w:p w14:paraId="6001DDA3" w14:textId="21742630" w:rsidR="00210785" w:rsidRDefault="00000000">
      <w:pPr>
        <w:spacing w:after="0" w:line="480" w:lineRule="auto"/>
        <w:jc w:val="both"/>
        <w:rPr>
          <w:rFonts w:ascii="Times New Roman" w:eastAsia="等线" w:hAnsi="Times New Roman" w:cs="Times New Roman"/>
          <w:kern w:val="0"/>
          <w:szCs w:val="20"/>
          <w:lang w:eastAsia="zh-CN"/>
          <w14:ligatures w14:val="none"/>
        </w:rPr>
      </w:pPr>
      <w:bookmarkStart w:id="3" w:name="OLE_LINK5"/>
      <w:r>
        <w:rPr>
          <w:rFonts w:ascii="Times New Roman" w:eastAsia="Times New Roman" w:hAnsi="Times New Roman" w:cs="Times New Roman"/>
          <w:kern w:val="0"/>
          <w:szCs w:val="20"/>
          <w:lang w:eastAsia="zh-CN"/>
          <w14:ligatures w14:val="none"/>
        </w:rPr>
        <w:t xml:space="preserve">To investigate whether </w:t>
      </w:r>
      <w:r>
        <w:rPr>
          <w:rFonts w:ascii="Times New Roman" w:eastAsia="Times New Roman" w:hAnsi="Times New Roman" w:cs="Times New Roman"/>
          <w:i/>
          <w:kern w:val="0"/>
          <w:szCs w:val="20"/>
          <w:lang w:eastAsia="zh-CN"/>
          <w14:ligatures w14:val="none"/>
        </w:rPr>
        <w:t>Nr4a1</w:t>
      </w:r>
      <w:r>
        <w:rPr>
          <w:rFonts w:ascii="Times New Roman" w:eastAsia="Times New Roman" w:hAnsi="Times New Roman" w:cs="Times New Roman"/>
          <w:kern w:val="0"/>
          <w:szCs w:val="20"/>
          <w:lang w:eastAsia="zh-CN"/>
          <w14:ligatures w14:val="none"/>
        </w:rPr>
        <w:t xml:space="preserve"> can influence neuronal autophagy and synaptic plasticity in TN rats via the PI3K/Akt2 pathway, we conducted </w:t>
      </w:r>
      <w:r w:rsidRPr="00044F27">
        <w:rPr>
          <w:rFonts w:ascii="Times New Roman" w:eastAsia="Times New Roman" w:hAnsi="Times New Roman" w:cs="Times New Roman"/>
          <w:iCs/>
          <w:kern w:val="0"/>
          <w:szCs w:val="20"/>
          <w:lang w:eastAsia="zh-CN"/>
          <w14:ligatures w14:val="none"/>
        </w:rPr>
        <w:t>in vivo</w:t>
      </w:r>
      <w:r>
        <w:rPr>
          <w:rFonts w:ascii="Times New Roman" w:eastAsia="Times New Roman" w:hAnsi="Times New Roman" w:cs="Times New Roman"/>
          <w:kern w:val="0"/>
          <w:szCs w:val="20"/>
          <w:lang w:eastAsia="zh-CN"/>
          <w14:ligatures w14:val="none"/>
        </w:rPr>
        <w:t xml:space="preserve"> and </w:t>
      </w:r>
      <w:r w:rsidRPr="00044F27">
        <w:rPr>
          <w:rFonts w:ascii="Times New Roman" w:eastAsia="Times New Roman" w:hAnsi="Times New Roman" w:cs="Times New Roman"/>
          <w:iCs/>
          <w:kern w:val="0"/>
          <w:szCs w:val="20"/>
          <w:lang w:eastAsia="zh-CN"/>
          <w14:ligatures w14:val="none"/>
        </w:rPr>
        <w:t>in vitro</w:t>
      </w:r>
      <w:r>
        <w:rPr>
          <w:rFonts w:ascii="Times New Roman" w:eastAsia="Times New Roman" w:hAnsi="Times New Roman" w:cs="Times New Roman"/>
          <w:kern w:val="0"/>
          <w:szCs w:val="20"/>
          <w:lang w:eastAsia="zh-CN"/>
          <w14:ligatures w14:val="none"/>
        </w:rPr>
        <w:t xml:space="preserve"> experiments. TEM and western blotting showed that compared with the dION-CCI</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AAV⁺ group, the dION-CCI</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AAV⁺</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LY294002 and dION-CCI</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AAV⁺</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044F27">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 xml:space="preserve">MK-2206 groups exhibited increased autophagosomes and lysosomes, elevated LC3-II levels with reduced p62, and aggravated dilation of endoplasmic reticulum cisternae in the MK-2206 subgroup </w:t>
      </w:r>
      <w:r w:rsidRPr="00044F27">
        <w:rPr>
          <w:rFonts w:ascii="Times New Roman" w:eastAsia="Times New Roman" w:hAnsi="Times New Roman" w:cs="Times New Roman"/>
          <w:bCs/>
          <w:kern w:val="0"/>
          <w:szCs w:val="20"/>
          <w:lang w:eastAsia="zh-CN"/>
          <w14:ligatures w14:val="none"/>
        </w:rPr>
        <w:t>(Figure S</w:t>
      </w:r>
      <w:r w:rsidRPr="00044F27">
        <w:rPr>
          <w:rFonts w:ascii="Times New Roman" w:eastAsia="等线" w:hAnsi="Times New Roman" w:cs="Times New Roman"/>
          <w:bCs/>
          <w:kern w:val="0"/>
          <w:szCs w:val="20"/>
          <w:lang w:eastAsia="zh-CN"/>
          <w14:ligatures w14:val="none"/>
        </w:rPr>
        <w:t>12</w:t>
      </w:r>
      <w:r w:rsidRPr="00044F27">
        <w:rPr>
          <w:rFonts w:ascii="Times New Roman" w:eastAsia="Times New Roman" w:hAnsi="Times New Roman" w:cs="Times New Roman"/>
          <w:bCs/>
          <w:kern w:val="0"/>
          <w:szCs w:val="20"/>
          <w:lang w:eastAsia="zh-CN"/>
          <w14:ligatures w14:val="none"/>
        </w:rPr>
        <w:t>a-d).</w:t>
      </w:r>
      <w:r>
        <w:rPr>
          <w:rFonts w:ascii="Times New Roman" w:eastAsia="Times New Roman" w:hAnsi="Times New Roman" w:cs="Times New Roman"/>
          <w:kern w:val="0"/>
          <w:szCs w:val="20"/>
          <w:lang w:eastAsia="zh-CN"/>
          <w14:ligatures w14:val="none"/>
        </w:rPr>
        <w:t xml:space="preserve"> </w:t>
      </w:r>
      <w:bookmarkEnd w:id="3"/>
      <w:r>
        <w:rPr>
          <w:rFonts w:ascii="Times New Roman" w:eastAsia="Times New Roman" w:hAnsi="Times New Roman" w:cs="Times New Roman"/>
          <w:kern w:val="0"/>
          <w:szCs w:val="20"/>
          <w:lang w:eastAsia="zh-CN"/>
          <w14:ligatures w14:val="none"/>
        </w:rPr>
        <w:t xml:space="preserve">Furthermore, crucial synaptic plasticity proteins (BDNF, TrkB, SYN, and PSD95) were downregulated in the inhibitor-treated groups </w:t>
      </w:r>
      <w:r w:rsidRPr="00044F27">
        <w:rPr>
          <w:rFonts w:ascii="Times New Roman" w:eastAsia="Times New Roman" w:hAnsi="Times New Roman" w:cs="Times New Roman"/>
          <w:bCs/>
          <w:kern w:val="0"/>
          <w:szCs w:val="20"/>
          <w:lang w:eastAsia="zh-CN"/>
          <w14:ligatures w14:val="none"/>
        </w:rPr>
        <w:t>(Figure S</w:t>
      </w:r>
      <w:r w:rsidRPr="00044F27">
        <w:rPr>
          <w:rFonts w:ascii="Times New Roman" w:eastAsia="等线" w:hAnsi="Times New Roman" w:cs="Times New Roman"/>
          <w:bCs/>
          <w:kern w:val="0"/>
          <w:szCs w:val="20"/>
          <w:lang w:eastAsia="zh-CN"/>
          <w14:ligatures w14:val="none"/>
        </w:rPr>
        <w:t>12</w:t>
      </w:r>
      <w:r w:rsidRPr="00044F27">
        <w:rPr>
          <w:rFonts w:ascii="Times New Roman" w:eastAsia="Times New Roman" w:hAnsi="Times New Roman" w:cs="Times New Roman"/>
          <w:bCs/>
          <w:kern w:val="0"/>
          <w:szCs w:val="20"/>
          <w:lang w:eastAsia="zh-CN"/>
          <w14:ligatures w14:val="none"/>
        </w:rPr>
        <w:t>e-j)</w:t>
      </w:r>
      <w:r>
        <w:rPr>
          <w:rFonts w:ascii="Times New Roman" w:eastAsia="Times New Roman" w:hAnsi="Times New Roman" w:cs="Times New Roman"/>
          <w:kern w:val="0"/>
          <w:szCs w:val="20"/>
          <w:lang w:eastAsia="zh-CN"/>
          <w14:ligatures w14:val="none"/>
        </w:rPr>
        <w:t xml:space="preserve">. TEM revealed thinning of the PSD and disruption of synaptic structures </w:t>
      </w:r>
      <w:r w:rsidRPr="00044F27">
        <w:rPr>
          <w:rFonts w:ascii="Times New Roman" w:eastAsia="Times New Roman" w:hAnsi="Times New Roman" w:cs="Times New Roman"/>
          <w:bCs/>
          <w:kern w:val="0"/>
          <w:szCs w:val="20"/>
          <w:lang w:eastAsia="zh-CN"/>
          <w14:ligatures w14:val="none"/>
        </w:rPr>
        <w:t>(Figure S</w:t>
      </w:r>
      <w:r w:rsidRPr="00044F27">
        <w:rPr>
          <w:rFonts w:ascii="Times New Roman" w:eastAsia="等线" w:hAnsi="Times New Roman" w:cs="Times New Roman"/>
          <w:bCs/>
          <w:kern w:val="0"/>
          <w:szCs w:val="20"/>
          <w:lang w:eastAsia="zh-CN"/>
          <w14:ligatures w14:val="none"/>
        </w:rPr>
        <w:t>12</w:t>
      </w:r>
      <w:r w:rsidRPr="00044F27">
        <w:rPr>
          <w:rFonts w:ascii="Times New Roman" w:eastAsia="Times New Roman" w:hAnsi="Times New Roman" w:cs="Times New Roman"/>
          <w:bCs/>
          <w:kern w:val="0"/>
          <w:szCs w:val="20"/>
          <w:lang w:eastAsia="zh-CN"/>
          <w14:ligatures w14:val="none"/>
        </w:rPr>
        <w:t>k-n)</w:t>
      </w:r>
      <w:r>
        <w:rPr>
          <w:rFonts w:ascii="Times New Roman" w:eastAsia="Times New Roman" w:hAnsi="Times New Roman" w:cs="Times New Roman"/>
          <w:kern w:val="0"/>
          <w:szCs w:val="20"/>
          <w:lang w:eastAsia="zh-CN"/>
          <w14:ligatures w14:val="none"/>
        </w:rPr>
        <w:t xml:space="preserve">, and Golgi staining indicated reduced dendritic spine density, fewer mature spines, and more immature spines across hippocampal subregions in the inhibitor-treated groups </w:t>
      </w:r>
      <w:r w:rsidRPr="00044F27">
        <w:rPr>
          <w:rFonts w:ascii="Times New Roman" w:eastAsia="Times New Roman" w:hAnsi="Times New Roman" w:cs="Times New Roman"/>
          <w:bCs/>
          <w:kern w:val="0"/>
          <w:szCs w:val="20"/>
          <w:lang w:eastAsia="zh-CN"/>
          <w14:ligatures w14:val="none"/>
        </w:rPr>
        <w:t>(Figure S</w:t>
      </w:r>
      <w:r w:rsidRPr="00044F27">
        <w:rPr>
          <w:rFonts w:ascii="Times New Roman" w:eastAsia="等线" w:hAnsi="Times New Roman" w:cs="Times New Roman"/>
          <w:bCs/>
          <w:kern w:val="0"/>
          <w:szCs w:val="20"/>
          <w:lang w:eastAsia="zh-CN"/>
          <w14:ligatures w14:val="none"/>
        </w:rPr>
        <w:t>12</w:t>
      </w:r>
      <w:r w:rsidRPr="00044F27">
        <w:rPr>
          <w:rFonts w:ascii="Times New Roman" w:eastAsia="Times New Roman" w:hAnsi="Times New Roman" w:cs="Times New Roman"/>
          <w:bCs/>
          <w:kern w:val="0"/>
          <w:szCs w:val="20"/>
          <w:lang w:eastAsia="zh-CN"/>
          <w14:ligatures w14:val="none"/>
        </w:rPr>
        <w:t>o-x)</w:t>
      </w:r>
      <w:r>
        <w:rPr>
          <w:rFonts w:ascii="Times New Roman" w:eastAsia="Times New Roman" w:hAnsi="Times New Roman" w:cs="Times New Roman"/>
          <w:kern w:val="0"/>
          <w:szCs w:val="20"/>
          <w:lang w:eastAsia="zh-CN"/>
          <w14:ligatures w14:val="none"/>
        </w:rPr>
        <w:t xml:space="preserve">. These findings were confirmed </w:t>
      </w:r>
      <w:r w:rsidRPr="00044F27">
        <w:rPr>
          <w:rFonts w:ascii="Times New Roman" w:eastAsia="Times New Roman" w:hAnsi="Times New Roman" w:cs="Times New Roman"/>
          <w:iCs/>
          <w:kern w:val="0"/>
          <w:szCs w:val="20"/>
          <w:lang w:eastAsia="zh-CN"/>
          <w14:ligatures w14:val="none"/>
        </w:rPr>
        <w:t>in vitro</w:t>
      </w:r>
      <w:r>
        <w:rPr>
          <w:rFonts w:ascii="Times New Roman" w:eastAsia="Times New Roman" w:hAnsi="Times New Roman" w:cs="Times New Roman"/>
          <w:kern w:val="0"/>
          <w:szCs w:val="20"/>
          <w:lang w:eastAsia="zh-CN"/>
          <w14:ligatures w14:val="none"/>
        </w:rPr>
        <w:t xml:space="preserve"> using HT22 cells</w:t>
      </w:r>
      <w:r>
        <w:rPr>
          <w:rFonts w:ascii="Times New Roman" w:eastAsia="等线" w:hAnsi="Times New Roman" w:cs="Times New Roman"/>
          <w:kern w:val="0"/>
          <w:szCs w:val="20"/>
          <w:lang w:eastAsia="zh-CN"/>
          <w14:ligatures w14:val="none"/>
        </w:rPr>
        <w:t xml:space="preserve"> </w:t>
      </w:r>
      <w:r w:rsidRPr="00044F27">
        <w:rPr>
          <w:rFonts w:ascii="Times New Roman" w:eastAsia="Times New Roman" w:hAnsi="Times New Roman" w:cs="Times New Roman"/>
          <w:bCs/>
          <w:kern w:val="0"/>
          <w:szCs w:val="20"/>
          <w:lang w:eastAsia="zh-CN"/>
          <w14:ligatures w14:val="none"/>
        </w:rPr>
        <w:t>(Figure S1</w:t>
      </w:r>
      <w:r w:rsidRPr="00044F27">
        <w:rPr>
          <w:rFonts w:ascii="Times New Roman" w:eastAsia="等线" w:hAnsi="Times New Roman" w:cs="Times New Roman"/>
          <w:bCs/>
          <w:kern w:val="0"/>
          <w:szCs w:val="20"/>
          <w:lang w:eastAsia="zh-CN"/>
          <w14:ligatures w14:val="none"/>
        </w:rPr>
        <w:t>3a</w:t>
      </w:r>
      <w:r w:rsidRPr="00044F27">
        <w:rPr>
          <w:rFonts w:ascii="Times New Roman" w:eastAsia="Times New Roman" w:hAnsi="Times New Roman" w:cs="Times New Roman"/>
          <w:bCs/>
          <w:kern w:val="0"/>
          <w:szCs w:val="20"/>
          <w:lang w:eastAsia="zh-CN"/>
          <w14:ligatures w14:val="none"/>
        </w:rPr>
        <w:t>)</w:t>
      </w:r>
      <w:r>
        <w:rPr>
          <w:rFonts w:ascii="Times New Roman" w:eastAsia="Times New Roman" w:hAnsi="Times New Roman" w:cs="Times New Roman"/>
          <w:kern w:val="0"/>
          <w:szCs w:val="20"/>
          <w:lang w:eastAsia="zh-CN"/>
          <w14:ligatures w14:val="none"/>
        </w:rPr>
        <w:t xml:space="preserve">. Western blotting showed that, compared with the control and </w:t>
      </w:r>
      <w:r>
        <w:rPr>
          <w:rFonts w:ascii="Times New Roman" w:eastAsia="Times New Roman" w:hAnsi="Times New Roman" w:cs="Times New Roman"/>
          <w:i/>
          <w:iCs/>
          <w:kern w:val="0"/>
          <w:szCs w:val="20"/>
          <w:lang w:eastAsia="zh-CN"/>
          <w14:ligatures w14:val="none"/>
        </w:rPr>
        <w:t>Nr4a1</w:t>
      </w:r>
      <w:r>
        <w:rPr>
          <w:rFonts w:ascii="Times New Roman" w:eastAsia="Times New Roman" w:hAnsi="Times New Roman" w:cs="Times New Roman"/>
          <w:kern w:val="0"/>
          <w:szCs w:val="20"/>
          <w:lang w:eastAsia="zh-CN"/>
          <w14:ligatures w14:val="none"/>
        </w:rPr>
        <w:t xml:space="preserve"> overexpression groups, conditioned medium from BV2 cells subjected to LPS and inhibitor interventions led to increased LC3-II levels, decreased p62 expression, and significantly reduced protein levels of BDNF, TrkB, SYN, and PSD95 in HT22 cells. </w:t>
      </w:r>
      <w:r w:rsidRPr="00044F27">
        <w:rPr>
          <w:rFonts w:ascii="Times New Roman" w:eastAsia="Times New Roman" w:hAnsi="Times New Roman" w:cs="Times New Roman"/>
          <w:bCs/>
          <w:kern w:val="0"/>
          <w:szCs w:val="20"/>
          <w:lang w:eastAsia="zh-CN"/>
          <w14:ligatures w14:val="none"/>
        </w:rPr>
        <w:t>(Figure S1</w:t>
      </w:r>
      <w:r w:rsidRPr="00044F27">
        <w:rPr>
          <w:rFonts w:ascii="Times New Roman" w:eastAsia="等线" w:hAnsi="Times New Roman" w:cs="Times New Roman"/>
          <w:bCs/>
          <w:kern w:val="0"/>
          <w:szCs w:val="20"/>
          <w:lang w:eastAsia="zh-CN"/>
          <w14:ligatures w14:val="none"/>
        </w:rPr>
        <w:t>3</w:t>
      </w:r>
      <w:r w:rsidRPr="00044F27">
        <w:rPr>
          <w:rFonts w:ascii="Times New Roman" w:eastAsia="Times New Roman" w:hAnsi="Times New Roman" w:cs="Times New Roman"/>
          <w:bCs/>
          <w:kern w:val="0"/>
          <w:szCs w:val="20"/>
          <w:lang w:eastAsia="zh-CN"/>
          <w14:ligatures w14:val="none"/>
        </w:rPr>
        <w:t>b-j)</w:t>
      </w:r>
      <w:r>
        <w:rPr>
          <w:rFonts w:ascii="Times New Roman" w:eastAsia="Times New Roman" w:hAnsi="Times New Roman" w:cs="Times New Roman"/>
          <w:kern w:val="0"/>
          <w:szCs w:val="20"/>
          <w:lang w:eastAsia="zh-CN"/>
          <w14:ligatures w14:val="none"/>
        </w:rPr>
        <w:t xml:space="preserve">. Consistent protein-level decreases in PSD95 were confirmed through immunofluorescence </w:t>
      </w:r>
      <w:r w:rsidRPr="00044F27">
        <w:rPr>
          <w:rFonts w:ascii="Times New Roman" w:eastAsia="Times New Roman" w:hAnsi="Times New Roman" w:cs="Times New Roman"/>
          <w:bCs/>
          <w:kern w:val="0"/>
          <w:szCs w:val="20"/>
          <w:lang w:eastAsia="zh-CN"/>
          <w14:ligatures w14:val="none"/>
        </w:rPr>
        <w:t>(Figure S1</w:t>
      </w:r>
      <w:r w:rsidRPr="00044F27">
        <w:rPr>
          <w:rFonts w:ascii="Times New Roman" w:eastAsia="等线" w:hAnsi="Times New Roman" w:cs="Times New Roman"/>
          <w:bCs/>
          <w:kern w:val="0"/>
          <w:szCs w:val="20"/>
          <w:lang w:eastAsia="zh-CN"/>
          <w14:ligatures w14:val="none"/>
        </w:rPr>
        <w:t>3</w:t>
      </w:r>
      <w:r w:rsidRPr="00044F27">
        <w:rPr>
          <w:rFonts w:ascii="Times New Roman" w:eastAsia="Times New Roman" w:hAnsi="Times New Roman" w:cs="Times New Roman"/>
          <w:bCs/>
          <w:kern w:val="0"/>
          <w:szCs w:val="20"/>
          <w:lang w:eastAsia="zh-CN"/>
          <w14:ligatures w14:val="none"/>
        </w:rPr>
        <w:t>k-</w:t>
      </w:r>
      <w:r w:rsidRPr="00044F27">
        <w:rPr>
          <w:rFonts w:ascii="Times New Roman" w:eastAsia="等线" w:hAnsi="Times New Roman" w:cs="Times New Roman"/>
          <w:bCs/>
          <w:kern w:val="0"/>
          <w:szCs w:val="20"/>
          <w:lang w:eastAsia="zh-CN"/>
          <w14:ligatures w14:val="none"/>
        </w:rPr>
        <w:t>l</w:t>
      </w:r>
      <w:r w:rsidRPr="00044F27">
        <w:rPr>
          <w:rFonts w:ascii="Times New Roman" w:eastAsia="Times New Roman" w:hAnsi="Times New Roman" w:cs="Times New Roman"/>
          <w:bCs/>
          <w:kern w:val="0"/>
          <w:szCs w:val="20"/>
          <w:lang w:eastAsia="zh-CN"/>
          <w14:ligatures w14:val="none"/>
        </w:rPr>
        <w:t>).</w:t>
      </w:r>
      <w:r>
        <w:rPr>
          <w:rFonts w:ascii="Times New Roman" w:eastAsia="Times New Roman" w:hAnsi="Times New Roman" w:cs="Times New Roman"/>
          <w:kern w:val="0"/>
          <w:szCs w:val="20"/>
          <w:lang w:eastAsia="zh-CN"/>
          <w14:ligatures w14:val="none"/>
        </w:rPr>
        <w:t xml:space="preserve"> PI3K/Akt2 pathway inhibition compromised the beneficial effects on autophagy and synaptic plasticity previously observed following </w:t>
      </w:r>
      <w:r>
        <w:rPr>
          <w:rFonts w:ascii="Times New Roman" w:eastAsia="Times New Roman" w:hAnsi="Times New Roman" w:cs="Times New Roman"/>
          <w:i/>
          <w:iCs/>
          <w:kern w:val="0"/>
          <w:szCs w:val="20"/>
          <w:lang w:eastAsia="zh-CN"/>
          <w14:ligatures w14:val="none"/>
        </w:rPr>
        <w:t>Nr4a1</w:t>
      </w:r>
      <w:r>
        <w:rPr>
          <w:rFonts w:ascii="Times New Roman" w:eastAsia="Times New Roman" w:hAnsi="Times New Roman" w:cs="Times New Roman"/>
          <w:kern w:val="0"/>
          <w:szCs w:val="20"/>
          <w:lang w:eastAsia="zh-CN"/>
          <w14:ligatures w14:val="none"/>
        </w:rPr>
        <w:t xml:space="preserve"> overexpression in TN rat hippocampi.</w:t>
      </w:r>
    </w:p>
    <w:p w14:paraId="42A0B020" w14:textId="46F69458" w:rsidR="00210785" w:rsidRDefault="00000000">
      <w:pPr>
        <w:spacing w:after="0" w:line="480" w:lineRule="auto"/>
        <w:jc w:val="both"/>
        <w:rPr>
          <w:rFonts w:ascii="Times New Roman" w:eastAsia="等线" w:hAnsi="Times New Roman" w:cs="Times New Roman"/>
          <w:kern w:val="0"/>
          <w:szCs w:val="20"/>
          <w:lang w:eastAsia="zh-CN"/>
          <w14:ligatures w14:val="none"/>
        </w:rPr>
      </w:pPr>
      <w:r>
        <w:rPr>
          <w:rFonts w:ascii="Times New Roman" w:eastAsia="Times New Roman" w:hAnsi="Times New Roman" w:cs="Times New Roman"/>
          <w:kern w:val="0"/>
          <w:szCs w:val="20"/>
          <w:lang w:eastAsia="zh-CN"/>
          <w14:ligatures w14:val="none"/>
        </w:rPr>
        <w:t xml:space="preserve">Subsequently, we performed behavioral tests to evaluate how PI3K/Akt2 pathway inhibition affects cognitive function in TN rats </w:t>
      </w:r>
      <w:r w:rsidRPr="00044F27">
        <w:rPr>
          <w:rFonts w:ascii="Times New Roman" w:eastAsia="Times New Roman" w:hAnsi="Times New Roman" w:cs="Times New Roman"/>
          <w:bCs/>
          <w:kern w:val="0"/>
          <w:szCs w:val="20"/>
          <w:lang w:eastAsia="zh-CN"/>
          <w14:ligatures w14:val="none"/>
        </w:rPr>
        <w:t>(Figure S1</w:t>
      </w:r>
      <w:r w:rsidRPr="00044F27">
        <w:rPr>
          <w:rFonts w:ascii="Times New Roman" w:eastAsia="等线" w:hAnsi="Times New Roman" w:cs="Times New Roman"/>
          <w:bCs/>
          <w:kern w:val="0"/>
          <w:szCs w:val="20"/>
          <w:lang w:eastAsia="zh-CN"/>
          <w14:ligatures w14:val="none"/>
        </w:rPr>
        <w:t>4</w:t>
      </w:r>
      <w:r w:rsidRPr="00044F27">
        <w:rPr>
          <w:rFonts w:ascii="Times New Roman" w:eastAsia="Times New Roman" w:hAnsi="Times New Roman" w:cs="Times New Roman"/>
          <w:bCs/>
          <w:kern w:val="0"/>
          <w:szCs w:val="20"/>
          <w:lang w:eastAsia="zh-CN"/>
          <w14:ligatures w14:val="none"/>
        </w:rPr>
        <w:t>a)</w:t>
      </w:r>
      <w:r>
        <w:rPr>
          <w:rFonts w:ascii="Times New Roman" w:eastAsia="Times New Roman" w:hAnsi="Times New Roman" w:cs="Times New Roman"/>
          <w:kern w:val="0"/>
          <w:szCs w:val="20"/>
          <w:lang w:eastAsia="zh-CN"/>
          <w14:ligatures w14:val="none"/>
        </w:rPr>
        <w:t>. Pain thresholds were significantly lower in all experimental groups than in the Sham</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 xml:space="preserve">AAV⁻ group on days 3, 7, 14, 21, and 28. However, the </w:t>
      </w:r>
      <w:r>
        <w:rPr>
          <w:rFonts w:ascii="Times New Roman" w:eastAsia="Times New Roman" w:hAnsi="Times New Roman" w:cs="Times New Roman"/>
          <w:kern w:val="0"/>
          <w:szCs w:val="20"/>
          <w:lang w:eastAsia="zh-CN"/>
          <w14:ligatures w14:val="none"/>
        </w:rPr>
        <w:lastRenderedPageBreak/>
        <w:t>dION-CCI</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AAV⁺ group showed higher pain thresholds than the dION-CCI</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 xml:space="preserve">AAV⁻ group on days 14, 21, and 28 </w:t>
      </w:r>
      <w:r w:rsidRPr="00486309">
        <w:rPr>
          <w:rFonts w:ascii="Times New Roman" w:eastAsia="Times New Roman" w:hAnsi="Times New Roman" w:cs="Times New Roman"/>
          <w:bCs/>
          <w:kern w:val="0"/>
          <w:szCs w:val="20"/>
          <w:lang w:eastAsia="zh-CN"/>
          <w14:ligatures w14:val="none"/>
        </w:rPr>
        <w:t>(Figure S1</w:t>
      </w:r>
      <w:r w:rsidRPr="00486309">
        <w:rPr>
          <w:rFonts w:ascii="Times New Roman" w:eastAsia="等线" w:hAnsi="Times New Roman" w:cs="Times New Roman"/>
          <w:bCs/>
          <w:kern w:val="0"/>
          <w:szCs w:val="20"/>
          <w:lang w:eastAsia="zh-CN"/>
          <w14:ligatures w14:val="none"/>
        </w:rPr>
        <w:t>4</w:t>
      </w:r>
      <w:r w:rsidRPr="00486309">
        <w:rPr>
          <w:rFonts w:ascii="Times New Roman" w:eastAsia="Times New Roman" w:hAnsi="Times New Roman" w:cs="Times New Roman"/>
          <w:bCs/>
          <w:kern w:val="0"/>
          <w:szCs w:val="20"/>
          <w:lang w:eastAsia="zh-CN"/>
          <w14:ligatures w14:val="none"/>
        </w:rPr>
        <w:t>b)</w:t>
      </w:r>
      <w:r>
        <w:rPr>
          <w:rFonts w:ascii="Times New Roman" w:eastAsia="Times New Roman" w:hAnsi="Times New Roman" w:cs="Times New Roman"/>
          <w:kern w:val="0"/>
          <w:szCs w:val="20"/>
          <w:lang w:eastAsia="zh-CN"/>
          <w14:ligatures w14:val="none"/>
        </w:rPr>
        <w:t xml:space="preserve">. Locomotor activity did not differ significantly between groups in the OFT </w:t>
      </w:r>
      <w:r w:rsidRPr="00486309">
        <w:rPr>
          <w:rFonts w:ascii="Times New Roman" w:eastAsia="Times New Roman" w:hAnsi="Times New Roman" w:cs="Times New Roman"/>
          <w:bCs/>
          <w:kern w:val="0"/>
          <w:szCs w:val="20"/>
          <w:lang w:eastAsia="zh-CN"/>
          <w14:ligatures w14:val="none"/>
        </w:rPr>
        <w:t>(Figure S1</w:t>
      </w:r>
      <w:r w:rsidRPr="00486309">
        <w:rPr>
          <w:rFonts w:ascii="Times New Roman" w:eastAsia="等线" w:hAnsi="Times New Roman" w:cs="Times New Roman"/>
          <w:bCs/>
          <w:kern w:val="0"/>
          <w:szCs w:val="20"/>
          <w:lang w:eastAsia="zh-CN"/>
          <w14:ligatures w14:val="none"/>
        </w:rPr>
        <w:t>4</w:t>
      </w:r>
      <w:r w:rsidRPr="00486309">
        <w:rPr>
          <w:rFonts w:ascii="Times New Roman" w:eastAsia="Times New Roman" w:hAnsi="Times New Roman" w:cs="Times New Roman"/>
          <w:bCs/>
          <w:kern w:val="0"/>
          <w:szCs w:val="20"/>
          <w:lang w:eastAsia="zh-CN"/>
          <w14:ligatures w14:val="none"/>
        </w:rPr>
        <w:t>c)</w:t>
      </w:r>
      <w:r>
        <w:rPr>
          <w:rFonts w:ascii="Times New Roman" w:eastAsia="Times New Roman" w:hAnsi="Times New Roman" w:cs="Times New Roman"/>
          <w:kern w:val="0"/>
          <w:szCs w:val="20"/>
          <w:lang w:eastAsia="zh-CN"/>
          <w14:ligatures w14:val="none"/>
        </w:rPr>
        <w:t>. In the NORT, the dION-CCI</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AAV⁺</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LY294002 and dION-CCI</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AAV⁺</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MK-2206 groups exhibited a lower discrimination index than the dION-CCI</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 xml:space="preserve">AAV⁺ group, with no difference in overall movement </w:t>
      </w:r>
      <w:r w:rsidRPr="00486309">
        <w:rPr>
          <w:rFonts w:ascii="Times New Roman" w:eastAsia="Times New Roman" w:hAnsi="Times New Roman" w:cs="Times New Roman"/>
          <w:bCs/>
          <w:kern w:val="0"/>
          <w:szCs w:val="20"/>
          <w:lang w:eastAsia="zh-CN"/>
          <w14:ligatures w14:val="none"/>
        </w:rPr>
        <w:t>(Figure S1</w:t>
      </w:r>
      <w:r w:rsidRPr="00486309">
        <w:rPr>
          <w:rFonts w:ascii="Times New Roman" w:eastAsia="等线" w:hAnsi="Times New Roman" w:cs="Times New Roman"/>
          <w:bCs/>
          <w:kern w:val="0"/>
          <w:szCs w:val="20"/>
          <w:lang w:eastAsia="zh-CN"/>
          <w14:ligatures w14:val="none"/>
        </w:rPr>
        <w:t>4</w:t>
      </w:r>
      <w:r w:rsidRPr="00486309">
        <w:rPr>
          <w:rFonts w:ascii="Times New Roman" w:eastAsia="Times New Roman" w:hAnsi="Times New Roman" w:cs="Times New Roman"/>
          <w:bCs/>
          <w:kern w:val="0"/>
          <w:szCs w:val="20"/>
          <w:lang w:eastAsia="zh-CN"/>
          <w14:ligatures w14:val="none"/>
        </w:rPr>
        <w:t>d-f)</w:t>
      </w:r>
      <w:r>
        <w:rPr>
          <w:rFonts w:ascii="Times New Roman" w:eastAsia="Times New Roman" w:hAnsi="Times New Roman" w:cs="Times New Roman"/>
          <w:kern w:val="0"/>
          <w:szCs w:val="20"/>
          <w:lang w:eastAsia="zh-CN"/>
          <w14:ligatures w14:val="none"/>
        </w:rPr>
        <w:t>. In the MWMT, the same groups displayed increased escape latency, made fewer platform crossings, and spent less time in the target quadrant than did the dION-CCI</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w:t>
      </w:r>
      <w:r w:rsidR="00486309">
        <w:rPr>
          <w:rFonts w:ascii="Times New Roman" w:eastAsia="等线" w:hAnsi="Times New Roman" w:cs="Times New Roman" w:hint="eastAsia"/>
          <w:kern w:val="0"/>
          <w:szCs w:val="20"/>
          <w:lang w:eastAsia="zh-CN"/>
          <w14:ligatures w14:val="none"/>
        </w:rPr>
        <w:t xml:space="preserve"> </w:t>
      </w:r>
      <w:r>
        <w:rPr>
          <w:rFonts w:ascii="Times New Roman" w:eastAsia="Times New Roman" w:hAnsi="Times New Roman" w:cs="Times New Roman"/>
          <w:kern w:val="0"/>
          <w:szCs w:val="20"/>
          <w:lang w:eastAsia="zh-CN"/>
          <w14:ligatures w14:val="none"/>
        </w:rPr>
        <w:t xml:space="preserve">AAV⁺ group </w:t>
      </w:r>
      <w:r w:rsidRPr="00486309">
        <w:rPr>
          <w:rFonts w:ascii="Times New Roman" w:eastAsia="Times New Roman" w:hAnsi="Times New Roman" w:cs="Times New Roman"/>
          <w:bCs/>
          <w:kern w:val="0"/>
          <w:szCs w:val="20"/>
          <w:lang w:eastAsia="zh-CN"/>
          <w14:ligatures w14:val="none"/>
        </w:rPr>
        <w:t>(Figure S1</w:t>
      </w:r>
      <w:r w:rsidRPr="00486309">
        <w:rPr>
          <w:rFonts w:ascii="Times New Roman" w:eastAsia="等线" w:hAnsi="Times New Roman" w:cs="Times New Roman"/>
          <w:bCs/>
          <w:kern w:val="0"/>
          <w:szCs w:val="20"/>
          <w:lang w:eastAsia="zh-CN"/>
          <w14:ligatures w14:val="none"/>
        </w:rPr>
        <w:t>4</w:t>
      </w:r>
      <w:r w:rsidRPr="00486309">
        <w:rPr>
          <w:rFonts w:ascii="Times New Roman" w:eastAsia="Times New Roman" w:hAnsi="Times New Roman" w:cs="Times New Roman"/>
          <w:bCs/>
          <w:kern w:val="0"/>
          <w:szCs w:val="20"/>
          <w:lang w:eastAsia="zh-CN"/>
          <w14:ligatures w14:val="none"/>
        </w:rPr>
        <w:t>g-j)</w:t>
      </w:r>
      <w:r>
        <w:rPr>
          <w:rFonts w:ascii="Times New Roman" w:eastAsia="Times New Roman" w:hAnsi="Times New Roman" w:cs="Times New Roman"/>
          <w:kern w:val="0"/>
          <w:szCs w:val="20"/>
          <w:lang w:eastAsia="zh-CN"/>
          <w14:ligatures w14:val="none"/>
        </w:rPr>
        <w:t xml:space="preserve">. These results indicate that PI3K/Akt2 pathway inhibition attenuates the cognitive benefits associated with </w:t>
      </w:r>
      <w:r>
        <w:rPr>
          <w:rFonts w:ascii="Times New Roman" w:eastAsia="Times New Roman" w:hAnsi="Times New Roman" w:cs="Times New Roman"/>
          <w:i/>
          <w:iCs/>
          <w:kern w:val="0"/>
          <w:szCs w:val="20"/>
          <w:lang w:eastAsia="zh-CN"/>
          <w14:ligatures w14:val="none"/>
        </w:rPr>
        <w:t>Nr4a1</w:t>
      </w:r>
      <w:r>
        <w:rPr>
          <w:rFonts w:ascii="Times New Roman" w:eastAsia="Times New Roman" w:hAnsi="Times New Roman" w:cs="Times New Roman"/>
          <w:kern w:val="0"/>
          <w:szCs w:val="20"/>
          <w:lang w:eastAsia="zh-CN"/>
          <w14:ligatures w14:val="none"/>
        </w:rPr>
        <w:t xml:space="preserve"> overexpression in TN rats.</w:t>
      </w:r>
    </w:p>
    <w:p w14:paraId="29918368" w14:textId="77777777" w:rsidR="00210785" w:rsidRDefault="00000000">
      <w:pPr>
        <w:spacing w:after="0" w:line="240" w:lineRule="auto"/>
        <w:rPr>
          <w:rFonts w:ascii="Times New Roman" w:eastAsia="等线" w:hAnsi="Times New Roman" w:cs="Times New Roman"/>
          <w:iCs/>
          <w:kern w:val="0"/>
          <w:lang w:eastAsia="zh-CN"/>
          <w14:ligatures w14:val="none"/>
        </w:rPr>
      </w:pPr>
      <w:r>
        <w:rPr>
          <w:rFonts w:eastAsia="等线"/>
          <w:i/>
          <w:iCs/>
          <w:lang w:eastAsia="zh-CN"/>
        </w:rPr>
        <w:br w:type="page"/>
      </w:r>
    </w:p>
    <w:p w14:paraId="4E6B0712" w14:textId="77777777" w:rsidR="00210785" w:rsidRDefault="00000000">
      <w:pPr>
        <w:pStyle w:val="AuthorsFull"/>
        <w:spacing w:line="360" w:lineRule="auto"/>
        <w:jc w:val="both"/>
        <w:rPr>
          <w:b/>
          <w:bCs/>
          <w:i w:val="0"/>
          <w:iCs/>
          <w:vertAlign w:val="superscript"/>
          <w:lang w:bidi="en-US"/>
        </w:rPr>
      </w:pPr>
      <w:r>
        <w:rPr>
          <w:b/>
          <w:bCs/>
          <w:i w:val="0"/>
          <w:iCs/>
        </w:rPr>
        <w:lastRenderedPageBreak/>
        <w:t xml:space="preserve">Supplementary Table </w:t>
      </w:r>
      <w:r>
        <w:rPr>
          <w:rFonts w:eastAsia="等线" w:hint="eastAsia"/>
          <w:b/>
          <w:bCs/>
          <w:i w:val="0"/>
          <w:iCs/>
          <w:lang w:eastAsia="zh-CN"/>
        </w:rPr>
        <w:t>S</w:t>
      </w:r>
      <w:r>
        <w:rPr>
          <w:b/>
          <w:bCs/>
          <w:i w:val="0"/>
          <w:iCs/>
        </w:rPr>
        <w:t>1.</w:t>
      </w:r>
    </w:p>
    <w:p w14:paraId="7AFB12A8" w14:textId="77777777" w:rsidR="00210785" w:rsidRDefault="00000000">
      <w:pPr>
        <w:jc w:val="both"/>
        <w:rPr>
          <w:rFonts w:ascii="Times New Roman" w:hAnsi="Times New Roman" w:cs="Times New Roman"/>
        </w:rPr>
      </w:pPr>
      <w:r>
        <w:rPr>
          <w:rFonts w:ascii="Times New Roman" w:hAnsi="Times New Roman" w:cs="Times New Roman"/>
        </w:rPr>
        <w:t>PCR primers used in this study.</w:t>
      </w:r>
    </w:p>
    <w:tbl>
      <w:tblPr>
        <w:tblStyle w:val="ad"/>
        <w:tblW w:w="86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3824"/>
        <w:gridCol w:w="3937"/>
      </w:tblGrid>
      <w:tr w:rsidR="00210785" w14:paraId="0F0BD5B0" w14:textId="77777777">
        <w:trPr>
          <w:trHeight w:val="474"/>
        </w:trPr>
        <w:tc>
          <w:tcPr>
            <w:tcW w:w="1113" w:type="dxa"/>
            <w:tcBorders>
              <w:top w:val="single" w:sz="4" w:space="0" w:color="auto"/>
              <w:bottom w:val="single" w:sz="4" w:space="0" w:color="auto"/>
            </w:tcBorders>
          </w:tcPr>
          <w:p w14:paraId="0D079E10" w14:textId="77777777" w:rsidR="00210785" w:rsidRDefault="00000000">
            <w:pPr>
              <w:jc w:val="both"/>
              <w:rPr>
                <w:rFonts w:ascii="Times New Roman" w:hAnsi="Times New Roman" w:cs="Times New Roman"/>
                <w:lang w:eastAsia="zh-CN"/>
              </w:rPr>
            </w:pPr>
            <w:r>
              <w:rPr>
                <w:rFonts w:ascii="Times New Roman" w:hAnsi="Times New Roman" w:cs="Times New Roman"/>
                <w:lang w:eastAsia="zh-CN"/>
              </w:rPr>
              <w:t>Primer</w:t>
            </w:r>
          </w:p>
        </w:tc>
        <w:tc>
          <w:tcPr>
            <w:tcW w:w="3728" w:type="dxa"/>
            <w:tcBorders>
              <w:top w:val="single" w:sz="4" w:space="0" w:color="auto"/>
              <w:bottom w:val="single" w:sz="4" w:space="0" w:color="auto"/>
            </w:tcBorders>
          </w:tcPr>
          <w:p w14:paraId="784775FE" w14:textId="77777777" w:rsidR="00210785" w:rsidRDefault="00000000">
            <w:pPr>
              <w:jc w:val="both"/>
              <w:rPr>
                <w:rFonts w:ascii="Times New Roman" w:hAnsi="Times New Roman" w:cs="Times New Roman"/>
              </w:rPr>
            </w:pPr>
            <w:r>
              <w:rPr>
                <w:rFonts w:ascii="Times New Roman" w:hAnsi="Times New Roman" w:cs="Times New Roman"/>
              </w:rPr>
              <w:t>Forward (5′ → 3′)</w:t>
            </w:r>
          </w:p>
        </w:tc>
        <w:tc>
          <w:tcPr>
            <w:tcW w:w="3779" w:type="dxa"/>
            <w:tcBorders>
              <w:top w:val="single" w:sz="4" w:space="0" w:color="auto"/>
              <w:bottom w:val="single" w:sz="4" w:space="0" w:color="auto"/>
            </w:tcBorders>
          </w:tcPr>
          <w:p w14:paraId="68869B97" w14:textId="77777777" w:rsidR="00210785" w:rsidRDefault="00000000">
            <w:pPr>
              <w:jc w:val="both"/>
              <w:rPr>
                <w:rFonts w:ascii="Times New Roman" w:hAnsi="Times New Roman" w:cs="Times New Roman"/>
              </w:rPr>
            </w:pPr>
            <w:r>
              <w:rPr>
                <w:rFonts w:ascii="Times New Roman" w:hAnsi="Times New Roman" w:cs="Times New Roman"/>
              </w:rPr>
              <w:t>Reverse (</w:t>
            </w:r>
            <w:r>
              <w:rPr>
                <w:rFonts w:ascii="Times New Roman" w:hAnsi="Times New Roman" w:cs="Times New Roman"/>
                <w:lang w:eastAsia="zh-CN"/>
              </w:rPr>
              <w:t>5</w:t>
            </w:r>
            <w:r>
              <w:rPr>
                <w:rFonts w:ascii="Times New Roman" w:hAnsi="Times New Roman" w:cs="Times New Roman"/>
              </w:rPr>
              <w:t xml:space="preserve">′ → </w:t>
            </w:r>
            <w:r>
              <w:rPr>
                <w:rFonts w:ascii="Times New Roman" w:hAnsi="Times New Roman" w:cs="Times New Roman"/>
                <w:lang w:eastAsia="zh-CN"/>
              </w:rPr>
              <w:t>3</w:t>
            </w:r>
            <w:r>
              <w:rPr>
                <w:rFonts w:ascii="Times New Roman" w:hAnsi="Times New Roman" w:cs="Times New Roman"/>
              </w:rPr>
              <w:t>′)</w:t>
            </w:r>
          </w:p>
        </w:tc>
      </w:tr>
      <w:tr w:rsidR="00210785" w14:paraId="0AE13210" w14:textId="77777777">
        <w:trPr>
          <w:trHeight w:val="474"/>
        </w:trPr>
        <w:tc>
          <w:tcPr>
            <w:tcW w:w="1113" w:type="dxa"/>
            <w:tcBorders>
              <w:top w:val="single" w:sz="4" w:space="0" w:color="auto"/>
            </w:tcBorders>
          </w:tcPr>
          <w:p w14:paraId="54116EA5" w14:textId="77777777" w:rsidR="00210785" w:rsidRDefault="00000000">
            <w:pPr>
              <w:jc w:val="both"/>
              <w:rPr>
                <w:rFonts w:ascii="Times New Roman" w:hAnsi="Times New Roman" w:cs="Times New Roman"/>
                <w:lang w:eastAsia="zh-CN"/>
              </w:rPr>
            </w:pPr>
            <w:r>
              <w:rPr>
                <w:rFonts w:ascii="Times New Roman" w:hAnsi="Times New Roman" w:cs="Times New Roman"/>
                <w:lang w:eastAsia="zh-CN"/>
              </w:rPr>
              <w:t>Nr4a1</w:t>
            </w:r>
          </w:p>
        </w:tc>
        <w:tc>
          <w:tcPr>
            <w:tcW w:w="3728" w:type="dxa"/>
            <w:tcBorders>
              <w:top w:val="single" w:sz="4" w:space="0" w:color="auto"/>
            </w:tcBorders>
          </w:tcPr>
          <w:p w14:paraId="3BCE8223" w14:textId="77777777" w:rsidR="00210785" w:rsidRDefault="00000000">
            <w:pPr>
              <w:jc w:val="both"/>
              <w:rPr>
                <w:rFonts w:ascii="Times New Roman" w:hAnsi="Times New Roman" w:cs="Times New Roman"/>
              </w:rPr>
            </w:pPr>
            <w:r>
              <w:rPr>
                <w:rFonts w:ascii="Times New Roman" w:hAnsi="Times New Roman" w:cs="Times New Roman"/>
              </w:rPr>
              <w:t>TTGGAAAGGAAGATGCCGG</w:t>
            </w:r>
          </w:p>
        </w:tc>
        <w:tc>
          <w:tcPr>
            <w:tcW w:w="3779" w:type="dxa"/>
            <w:tcBorders>
              <w:top w:val="single" w:sz="4" w:space="0" w:color="auto"/>
            </w:tcBorders>
          </w:tcPr>
          <w:p w14:paraId="7C635C84" w14:textId="77777777" w:rsidR="00210785" w:rsidRDefault="00000000">
            <w:pPr>
              <w:jc w:val="both"/>
              <w:rPr>
                <w:rFonts w:ascii="Times New Roman" w:hAnsi="Times New Roman" w:cs="Times New Roman"/>
              </w:rPr>
            </w:pPr>
            <w:r>
              <w:rPr>
                <w:rFonts w:ascii="Times New Roman" w:hAnsi="Times New Roman" w:cs="Times New Roman"/>
              </w:rPr>
              <w:t>TGTCTATCCAGTCACCAAAGCC</w:t>
            </w:r>
          </w:p>
        </w:tc>
      </w:tr>
      <w:tr w:rsidR="00210785" w14:paraId="40E67CF7" w14:textId="77777777">
        <w:trPr>
          <w:trHeight w:val="490"/>
        </w:trPr>
        <w:tc>
          <w:tcPr>
            <w:tcW w:w="1113" w:type="dxa"/>
          </w:tcPr>
          <w:p w14:paraId="7C4A37E5" w14:textId="77777777" w:rsidR="00210785" w:rsidRDefault="00000000">
            <w:pPr>
              <w:jc w:val="both"/>
              <w:rPr>
                <w:rFonts w:ascii="Times New Roman" w:hAnsi="Times New Roman" w:cs="Times New Roman"/>
                <w:lang w:eastAsia="zh-CN"/>
              </w:rPr>
            </w:pPr>
            <w:r>
              <w:rPr>
                <w:rFonts w:ascii="Times New Roman" w:hAnsi="Times New Roman" w:cs="Times New Roman"/>
              </w:rPr>
              <w:t>PI3</w:t>
            </w:r>
            <w:r>
              <w:rPr>
                <w:rFonts w:ascii="Times New Roman" w:hAnsi="Times New Roman" w:cs="Times New Roman"/>
                <w:lang w:eastAsia="zh-CN"/>
              </w:rPr>
              <w:t>k</w:t>
            </w:r>
          </w:p>
        </w:tc>
        <w:tc>
          <w:tcPr>
            <w:tcW w:w="3728" w:type="dxa"/>
          </w:tcPr>
          <w:p w14:paraId="464F5336" w14:textId="77777777" w:rsidR="00210785" w:rsidRDefault="00000000">
            <w:pPr>
              <w:jc w:val="both"/>
              <w:rPr>
                <w:rFonts w:ascii="Times New Roman" w:hAnsi="Times New Roman" w:cs="Times New Roman"/>
              </w:rPr>
            </w:pPr>
            <w:r>
              <w:rPr>
                <w:rFonts w:ascii="Times New Roman" w:hAnsi="Times New Roman" w:cs="Times New Roman"/>
              </w:rPr>
              <w:t>TGGCTTACGCTCCAGTATTTGC</w:t>
            </w:r>
          </w:p>
        </w:tc>
        <w:tc>
          <w:tcPr>
            <w:tcW w:w="3779" w:type="dxa"/>
          </w:tcPr>
          <w:p w14:paraId="6C3824BE" w14:textId="77777777" w:rsidR="00210785" w:rsidRDefault="00000000">
            <w:pPr>
              <w:jc w:val="both"/>
              <w:rPr>
                <w:rFonts w:ascii="Times New Roman" w:hAnsi="Times New Roman" w:cs="Times New Roman"/>
              </w:rPr>
            </w:pPr>
            <w:r>
              <w:rPr>
                <w:rFonts w:ascii="Times New Roman" w:hAnsi="Times New Roman" w:cs="Times New Roman"/>
              </w:rPr>
              <w:t>TAGAAGTGGGCTTGGGTGGTTTA</w:t>
            </w:r>
          </w:p>
        </w:tc>
      </w:tr>
      <w:tr w:rsidR="00210785" w14:paraId="7BE20261" w14:textId="77777777">
        <w:trPr>
          <w:trHeight w:val="474"/>
        </w:trPr>
        <w:tc>
          <w:tcPr>
            <w:tcW w:w="1113" w:type="dxa"/>
          </w:tcPr>
          <w:p w14:paraId="6554F7F4" w14:textId="77777777" w:rsidR="00210785" w:rsidRDefault="00000000">
            <w:pPr>
              <w:jc w:val="both"/>
              <w:rPr>
                <w:rFonts w:ascii="Times New Roman" w:hAnsi="Times New Roman" w:cs="Times New Roman"/>
                <w:lang w:eastAsia="zh-CN"/>
              </w:rPr>
            </w:pPr>
            <w:r>
              <w:rPr>
                <w:rFonts w:ascii="Times New Roman" w:hAnsi="Times New Roman" w:cs="Times New Roman"/>
              </w:rPr>
              <w:t>A</w:t>
            </w:r>
            <w:r>
              <w:rPr>
                <w:rFonts w:ascii="Times New Roman" w:hAnsi="Times New Roman" w:cs="Times New Roman"/>
                <w:lang w:eastAsia="zh-CN"/>
              </w:rPr>
              <w:t>kt</w:t>
            </w:r>
          </w:p>
        </w:tc>
        <w:tc>
          <w:tcPr>
            <w:tcW w:w="3728" w:type="dxa"/>
          </w:tcPr>
          <w:p w14:paraId="07B93EE2" w14:textId="77777777" w:rsidR="00210785" w:rsidRDefault="00000000">
            <w:pPr>
              <w:jc w:val="both"/>
              <w:rPr>
                <w:rFonts w:ascii="Times New Roman" w:hAnsi="Times New Roman" w:cs="Times New Roman"/>
              </w:rPr>
            </w:pPr>
            <w:r>
              <w:rPr>
                <w:rFonts w:ascii="Times New Roman" w:hAnsi="Times New Roman" w:cs="Times New Roman"/>
              </w:rPr>
              <w:t>CGACGTAGCCATTGTGAAGGAG</w:t>
            </w:r>
          </w:p>
        </w:tc>
        <w:tc>
          <w:tcPr>
            <w:tcW w:w="3779" w:type="dxa"/>
          </w:tcPr>
          <w:p w14:paraId="68AE2583" w14:textId="77777777" w:rsidR="00210785" w:rsidRDefault="00000000">
            <w:pPr>
              <w:jc w:val="both"/>
              <w:rPr>
                <w:rFonts w:ascii="Times New Roman" w:hAnsi="Times New Roman" w:cs="Times New Roman"/>
              </w:rPr>
            </w:pPr>
            <w:r>
              <w:rPr>
                <w:rFonts w:ascii="Times New Roman" w:hAnsi="Times New Roman" w:cs="Times New Roman"/>
              </w:rPr>
              <w:t>ATTGTGCCACTGAGAAGTTGTTG</w:t>
            </w:r>
          </w:p>
        </w:tc>
      </w:tr>
      <w:tr w:rsidR="00210785" w14:paraId="43037F82" w14:textId="77777777">
        <w:trPr>
          <w:trHeight w:val="474"/>
        </w:trPr>
        <w:tc>
          <w:tcPr>
            <w:tcW w:w="1113" w:type="dxa"/>
          </w:tcPr>
          <w:p w14:paraId="288243BE" w14:textId="77777777" w:rsidR="00210785" w:rsidRDefault="00000000">
            <w:pPr>
              <w:jc w:val="both"/>
              <w:rPr>
                <w:rFonts w:ascii="Times New Roman" w:hAnsi="Times New Roman" w:cs="Times New Roman"/>
              </w:rPr>
            </w:pPr>
            <w:r>
              <w:rPr>
                <w:rFonts w:ascii="Times New Roman" w:hAnsi="Times New Roman" w:cs="Times New Roman"/>
              </w:rPr>
              <w:t>GAPDH</w:t>
            </w:r>
          </w:p>
        </w:tc>
        <w:tc>
          <w:tcPr>
            <w:tcW w:w="3728" w:type="dxa"/>
          </w:tcPr>
          <w:p w14:paraId="286D9748" w14:textId="77777777" w:rsidR="00210785" w:rsidRDefault="00000000">
            <w:pPr>
              <w:jc w:val="both"/>
              <w:rPr>
                <w:rFonts w:ascii="Times New Roman" w:hAnsi="Times New Roman" w:cs="Times New Roman"/>
              </w:rPr>
            </w:pPr>
            <w:r>
              <w:rPr>
                <w:rFonts w:ascii="Times New Roman" w:hAnsi="Times New Roman" w:cs="Times New Roman"/>
              </w:rPr>
              <w:t>CTGGAGAAACCTGCCAAGTATG</w:t>
            </w:r>
          </w:p>
        </w:tc>
        <w:tc>
          <w:tcPr>
            <w:tcW w:w="3779" w:type="dxa"/>
          </w:tcPr>
          <w:p w14:paraId="0F517508" w14:textId="77777777" w:rsidR="00210785" w:rsidRDefault="00000000">
            <w:pPr>
              <w:jc w:val="both"/>
              <w:rPr>
                <w:rFonts w:ascii="Times New Roman" w:hAnsi="Times New Roman" w:cs="Times New Roman"/>
              </w:rPr>
            </w:pPr>
            <w:r>
              <w:rPr>
                <w:rFonts w:ascii="Times New Roman" w:hAnsi="Times New Roman" w:cs="Times New Roman"/>
              </w:rPr>
              <w:t>GGTGGAAGAATGGGAGTTGCT</w:t>
            </w:r>
          </w:p>
        </w:tc>
      </w:tr>
    </w:tbl>
    <w:p w14:paraId="783F82A1" w14:textId="77777777" w:rsidR="00210785" w:rsidRDefault="00210785">
      <w:pPr>
        <w:pStyle w:val="Acknowledgements"/>
        <w:spacing w:line="360" w:lineRule="auto"/>
        <w:jc w:val="both"/>
        <w:rPr>
          <w:rFonts w:eastAsia="等线"/>
          <w:lang w:eastAsia="zh-CN"/>
        </w:rPr>
      </w:pPr>
    </w:p>
    <w:p w14:paraId="3783439D" w14:textId="77777777" w:rsidR="00210785" w:rsidRDefault="00000000">
      <w:pPr>
        <w:spacing w:after="0" w:line="240" w:lineRule="auto"/>
        <w:rPr>
          <w:rFonts w:ascii="Times New Roman" w:eastAsia="等线" w:hAnsi="Times New Roman" w:cs="Times New Roman"/>
          <w:kern w:val="0"/>
          <w:lang w:eastAsia="zh-CN"/>
          <w14:ligatures w14:val="none"/>
        </w:rPr>
      </w:pPr>
      <w:r>
        <w:rPr>
          <w:rFonts w:eastAsia="等线"/>
          <w:lang w:eastAsia="zh-CN"/>
        </w:rPr>
        <w:br w:type="page"/>
      </w:r>
    </w:p>
    <w:p w14:paraId="41C5B1E1" w14:textId="77777777" w:rsidR="00210785" w:rsidRDefault="00000000">
      <w:pPr>
        <w:pStyle w:val="Acknowledgements"/>
        <w:spacing w:line="360" w:lineRule="auto"/>
        <w:jc w:val="both"/>
        <w:rPr>
          <w:rFonts w:eastAsia="等线"/>
          <w:b/>
          <w:bCs/>
          <w:lang w:eastAsia="zh-CN"/>
        </w:rPr>
      </w:pPr>
      <w:r>
        <w:rPr>
          <w:rFonts w:eastAsia="等线"/>
          <w:b/>
          <w:bCs/>
          <w:lang w:eastAsia="zh-CN"/>
        </w:rPr>
        <w:lastRenderedPageBreak/>
        <w:t xml:space="preserve">Supplementary </w:t>
      </w:r>
      <w:r>
        <w:rPr>
          <w:rFonts w:eastAsia="等线" w:hint="eastAsia"/>
          <w:b/>
          <w:bCs/>
          <w:lang w:eastAsia="zh-CN"/>
        </w:rPr>
        <w:t>F</w:t>
      </w:r>
      <w:r>
        <w:rPr>
          <w:rFonts w:eastAsia="等线"/>
          <w:b/>
          <w:bCs/>
          <w:lang w:eastAsia="zh-CN"/>
        </w:rPr>
        <w:t>igures</w:t>
      </w:r>
    </w:p>
    <w:p w14:paraId="5845E864" w14:textId="77777777" w:rsidR="00210785" w:rsidRDefault="00210785">
      <w:pPr>
        <w:pStyle w:val="Acknowledgements"/>
        <w:spacing w:line="360" w:lineRule="auto"/>
        <w:jc w:val="both"/>
        <w:rPr>
          <w:rFonts w:eastAsia="等线"/>
          <w:lang w:eastAsia="zh-CN"/>
        </w:rPr>
      </w:pPr>
    </w:p>
    <w:p w14:paraId="0CF13480" w14:textId="77777777" w:rsidR="00210785" w:rsidRDefault="00000000">
      <w:pPr>
        <w:pStyle w:val="Acknowledgements"/>
        <w:spacing w:line="360" w:lineRule="auto"/>
        <w:jc w:val="center"/>
        <w:rPr>
          <w:rFonts w:eastAsia="等线"/>
          <w:lang w:eastAsia="zh-CN"/>
        </w:rPr>
      </w:pPr>
      <w:r>
        <w:rPr>
          <w:rFonts w:eastAsia="等线"/>
          <w:noProof/>
          <w:lang w:eastAsia="zh-CN"/>
        </w:rPr>
        <w:drawing>
          <wp:inline distT="0" distB="0" distL="0" distR="0" wp14:anchorId="7B7CD301" wp14:editId="7EB7B4E9">
            <wp:extent cx="5943600" cy="6961505"/>
            <wp:effectExtent l="0" t="0" r="0" b="0"/>
            <wp:docPr id="16680310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31026" name="图片 2"/>
                    <pic:cNvPicPr>
                      <a:picLocks noChangeAspect="1"/>
                    </pic:cNvPicPr>
                  </pic:nvPicPr>
                  <pic:blipFill>
                    <a:blip r:embed="rId8"/>
                    <a:stretch>
                      <a:fillRect/>
                    </a:stretch>
                  </pic:blipFill>
                  <pic:spPr>
                    <a:xfrm>
                      <a:off x="0" y="0"/>
                      <a:ext cx="5943600" cy="6961505"/>
                    </a:xfrm>
                    <a:prstGeom prst="rect">
                      <a:avLst/>
                    </a:prstGeom>
                  </pic:spPr>
                </pic:pic>
              </a:graphicData>
            </a:graphic>
          </wp:inline>
        </w:drawing>
      </w:r>
    </w:p>
    <w:p w14:paraId="1C77C2C2" w14:textId="77777777" w:rsidR="00210785" w:rsidRDefault="00000000">
      <w:pPr>
        <w:pStyle w:val="Acknowledgements"/>
        <w:spacing w:line="480" w:lineRule="auto"/>
        <w:jc w:val="both"/>
        <w:rPr>
          <w:i/>
          <w:iCs/>
        </w:rPr>
      </w:pPr>
      <w:bookmarkStart w:id="4" w:name="OLE_LINK8"/>
      <w:r>
        <w:rPr>
          <w:rFonts w:hint="eastAsia"/>
        </w:rPr>
        <w:t>Supplementary Figure 1.</w:t>
      </w:r>
      <w:r>
        <w:t xml:space="preserve"> Flowchart of the experimental</w:t>
      </w:r>
      <w:r>
        <w:rPr>
          <w:rFonts w:hint="eastAsia"/>
        </w:rPr>
        <w:t xml:space="preserve"> </w:t>
      </w:r>
      <w:r>
        <w:t xml:space="preserve">procedure for </w:t>
      </w:r>
      <w:r w:rsidRPr="00486309">
        <w:t>in vivo</w:t>
      </w:r>
      <w:r>
        <w:rPr>
          <w:i/>
          <w:iCs/>
        </w:rPr>
        <w:t>.</w:t>
      </w:r>
    </w:p>
    <w:p w14:paraId="39773F0E" w14:textId="77777777" w:rsidR="00210785" w:rsidRDefault="00000000">
      <w:pPr>
        <w:spacing w:after="0" w:line="240" w:lineRule="auto"/>
        <w:rPr>
          <w:rFonts w:ascii="Times New Roman" w:eastAsia="等线" w:hAnsi="Times New Roman" w:cs="Times New Roman"/>
          <w:i/>
          <w:iCs/>
          <w:kern w:val="0"/>
          <w:lang w:eastAsia="zh-CN"/>
          <w14:ligatures w14:val="none"/>
        </w:rPr>
      </w:pPr>
      <w:r>
        <w:rPr>
          <w:i/>
          <w:iCs/>
        </w:rPr>
        <w:br w:type="page"/>
      </w:r>
    </w:p>
    <w:p w14:paraId="2EBAC6DE" w14:textId="77777777" w:rsidR="00210785" w:rsidRDefault="00000000">
      <w:pPr>
        <w:pStyle w:val="Acknowledgements"/>
        <w:spacing w:line="480" w:lineRule="auto"/>
        <w:jc w:val="center"/>
      </w:pPr>
      <w:r>
        <w:rPr>
          <w:noProof/>
        </w:rPr>
        <w:lastRenderedPageBreak/>
        <w:drawing>
          <wp:inline distT="0" distB="0" distL="0" distR="0" wp14:anchorId="68A4500B" wp14:editId="029FAA83">
            <wp:extent cx="5943600" cy="1910080"/>
            <wp:effectExtent l="0" t="0" r="0" b="0"/>
            <wp:docPr id="10454208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20853" name="图片 3"/>
                    <pic:cNvPicPr>
                      <a:picLocks noChangeAspect="1"/>
                    </pic:cNvPicPr>
                  </pic:nvPicPr>
                  <pic:blipFill>
                    <a:blip r:embed="rId9"/>
                    <a:stretch>
                      <a:fillRect/>
                    </a:stretch>
                  </pic:blipFill>
                  <pic:spPr>
                    <a:xfrm>
                      <a:off x="0" y="0"/>
                      <a:ext cx="5943600" cy="1910080"/>
                    </a:xfrm>
                    <a:prstGeom prst="rect">
                      <a:avLst/>
                    </a:prstGeom>
                  </pic:spPr>
                </pic:pic>
              </a:graphicData>
            </a:graphic>
          </wp:inline>
        </w:drawing>
      </w:r>
    </w:p>
    <w:p w14:paraId="4E6BF0C3" w14:textId="77777777" w:rsidR="00210785" w:rsidRDefault="00000000">
      <w:pPr>
        <w:pStyle w:val="Acknowledgements"/>
        <w:spacing w:line="480" w:lineRule="auto"/>
        <w:jc w:val="both"/>
      </w:pPr>
      <w:r>
        <w:rPr>
          <w:rFonts w:hint="eastAsia"/>
        </w:rPr>
        <w:t>Supplementary Figure 2.</w:t>
      </w:r>
      <w:r>
        <w:t xml:space="preserve"> Flowchart of the experimental procedure for </w:t>
      </w:r>
      <w:r w:rsidRPr="006B323B">
        <w:t xml:space="preserve">in </w:t>
      </w:r>
      <w:r w:rsidRPr="006B323B">
        <w:rPr>
          <w:rFonts w:hint="eastAsia"/>
        </w:rPr>
        <w:t>vitro</w:t>
      </w:r>
      <w:r>
        <w:t>.</w:t>
      </w:r>
    </w:p>
    <w:p w14:paraId="1E0058EF" w14:textId="77777777" w:rsidR="00210785" w:rsidRDefault="00000000">
      <w:pPr>
        <w:spacing w:after="0" w:line="240" w:lineRule="auto"/>
        <w:rPr>
          <w:rFonts w:ascii="Times New Roman" w:eastAsia="等线" w:hAnsi="Times New Roman" w:cs="Times New Roman"/>
          <w:kern w:val="0"/>
          <w:lang w:eastAsia="zh-CN"/>
          <w14:ligatures w14:val="none"/>
        </w:rPr>
      </w:pPr>
      <w:r>
        <w:br w:type="page"/>
      </w:r>
    </w:p>
    <w:p w14:paraId="0E60987A" w14:textId="3A259B73" w:rsidR="00210785" w:rsidRDefault="008B292D">
      <w:pPr>
        <w:pStyle w:val="Acknowledgements"/>
        <w:spacing w:line="480" w:lineRule="auto"/>
        <w:jc w:val="center"/>
      </w:pPr>
      <w:r>
        <w:rPr>
          <w:noProof/>
        </w:rPr>
        <w:lastRenderedPageBreak/>
        <w:drawing>
          <wp:inline distT="0" distB="0" distL="0" distR="0" wp14:anchorId="4FC967EA" wp14:editId="230F6BAF">
            <wp:extent cx="5943600" cy="7094220"/>
            <wp:effectExtent l="0" t="0" r="0" b="0"/>
            <wp:docPr id="4571171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17176" name="图片 457117176"/>
                    <pic:cNvPicPr/>
                  </pic:nvPicPr>
                  <pic:blipFill>
                    <a:blip r:embed="rId10"/>
                    <a:stretch>
                      <a:fillRect/>
                    </a:stretch>
                  </pic:blipFill>
                  <pic:spPr>
                    <a:xfrm>
                      <a:off x="0" y="0"/>
                      <a:ext cx="5943600" cy="7094220"/>
                    </a:xfrm>
                    <a:prstGeom prst="rect">
                      <a:avLst/>
                    </a:prstGeom>
                  </pic:spPr>
                </pic:pic>
              </a:graphicData>
            </a:graphic>
          </wp:inline>
        </w:drawing>
      </w:r>
    </w:p>
    <w:p w14:paraId="2AC63705" w14:textId="07262D46" w:rsidR="00210785" w:rsidRDefault="00000000">
      <w:pPr>
        <w:pStyle w:val="Acknowledgements"/>
        <w:spacing w:line="480" w:lineRule="auto"/>
        <w:jc w:val="both"/>
      </w:pPr>
      <w:r>
        <w:rPr>
          <w:rFonts w:hint="eastAsia"/>
        </w:rPr>
        <w:t>Supplementary Figure 3.</w:t>
      </w:r>
      <w:r>
        <w:t xml:space="preserve"> Hippocampal microglia in TN rats exhibit time-dependent overactivation and mediate neuroinflammatory responses. </w:t>
      </w:r>
      <w:r w:rsidRPr="006B323B">
        <w:rPr>
          <w:b/>
          <w:bCs/>
        </w:rPr>
        <w:t>(</w:t>
      </w:r>
      <w:r w:rsidRPr="006B323B">
        <w:rPr>
          <w:rFonts w:eastAsia="等线" w:hint="eastAsia"/>
          <w:b/>
          <w:bCs/>
          <w:lang w:eastAsia="zh-CN"/>
        </w:rPr>
        <w:t>a-b</w:t>
      </w:r>
      <w:r w:rsidRPr="006B323B">
        <w:rPr>
          <w:b/>
          <w:bCs/>
        </w:rPr>
        <w:t>)</w:t>
      </w:r>
      <w:r>
        <w:t xml:space="preserve"> Representative immunofluorescence images and quantitative analysis of Iba1 expression in the hippocampus (</w:t>
      </w:r>
      <w:r w:rsidRPr="006B323B">
        <w:rPr>
          <w:i/>
          <w:iCs/>
        </w:rPr>
        <w:t>n</w:t>
      </w:r>
      <w:r w:rsidR="006B323B">
        <w:rPr>
          <w:rFonts w:eastAsia="等线" w:hint="eastAsia"/>
          <w:i/>
          <w:iCs/>
          <w:lang w:eastAsia="zh-CN"/>
        </w:rPr>
        <w:t xml:space="preserve"> </w:t>
      </w:r>
      <w:r>
        <w:t>=</w:t>
      </w:r>
      <w:r w:rsidR="006B323B">
        <w:rPr>
          <w:rFonts w:eastAsia="等线" w:hint="eastAsia"/>
          <w:lang w:eastAsia="zh-CN"/>
        </w:rPr>
        <w:t xml:space="preserve"> </w:t>
      </w:r>
      <w:r>
        <w:t>3</w:t>
      </w:r>
      <w:r>
        <w:rPr>
          <w:rFonts w:eastAsia="等线" w:hint="eastAsia"/>
          <w:lang w:eastAsia="zh-CN"/>
        </w:rPr>
        <w:t>-</w:t>
      </w:r>
      <w:r>
        <w:t>4). Scale bar</w:t>
      </w:r>
      <w:r w:rsidR="006B323B">
        <w:rPr>
          <w:rFonts w:eastAsia="等线" w:hint="eastAsia"/>
          <w:lang w:eastAsia="zh-CN"/>
        </w:rPr>
        <w:t xml:space="preserve"> </w:t>
      </w:r>
      <w:r>
        <w:t>=</w:t>
      </w:r>
      <w:r w:rsidR="006B323B">
        <w:rPr>
          <w:rFonts w:eastAsia="等线" w:hint="eastAsia"/>
          <w:lang w:eastAsia="zh-CN"/>
        </w:rPr>
        <w:t xml:space="preserve"> </w:t>
      </w:r>
      <w:r>
        <w:t xml:space="preserve">20 μm. </w:t>
      </w:r>
      <w:r w:rsidRPr="006B323B">
        <w:rPr>
          <w:b/>
          <w:bCs/>
        </w:rPr>
        <w:t>(</w:t>
      </w:r>
      <w:r w:rsidRPr="006B323B">
        <w:rPr>
          <w:rFonts w:eastAsia="等线" w:hint="eastAsia"/>
          <w:b/>
          <w:bCs/>
          <w:lang w:eastAsia="zh-CN"/>
        </w:rPr>
        <w:t>c-f</w:t>
      </w:r>
      <w:r w:rsidRPr="006B323B">
        <w:rPr>
          <w:b/>
          <w:bCs/>
        </w:rPr>
        <w:t>)</w:t>
      </w:r>
      <w:r>
        <w:t xml:space="preserve"> </w:t>
      </w:r>
      <w:r>
        <w:lastRenderedPageBreak/>
        <w:t xml:space="preserve">Protein expression levels of Iba1, GFAP, and HMGB1 analyzed using </w:t>
      </w:r>
      <w:r>
        <w:rPr>
          <w:rFonts w:hint="eastAsia"/>
        </w:rPr>
        <w:t>w</w:t>
      </w:r>
      <w:r>
        <w:t>estern blotting (</w:t>
      </w:r>
      <w:r w:rsidRPr="006B323B">
        <w:rPr>
          <w:i/>
          <w:iCs/>
        </w:rPr>
        <w:t>n</w:t>
      </w:r>
      <w:r w:rsidR="006B323B">
        <w:rPr>
          <w:rFonts w:eastAsia="等线" w:hint="eastAsia"/>
          <w:i/>
          <w:iCs/>
          <w:lang w:eastAsia="zh-CN"/>
        </w:rPr>
        <w:t xml:space="preserve"> </w:t>
      </w:r>
      <w:r>
        <w:t>=</w:t>
      </w:r>
      <w:r w:rsidR="006B323B">
        <w:rPr>
          <w:rFonts w:eastAsia="等线" w:hint="eastAsia"/>
          <w:lang w:eastAsia="zh-CN"/>
        </w:rPr>
        <w:t xml:space="preserve"> </w:t>
      </w:r>
      <w:r>
        <w:t xml:space="preserve">3). </w:t>
      </w:r>
      <w:r w:rsidRPr="006B323B">
        <w:rPr>
          <w:b/>
          <w:bCs/>
        </w:rPr>
        <w:t>(</w:t>
      </w:r>
      <w:r w:rsidRPr="006B323B">
        <w:rPr>
          <w:rFonts w:eastAsia="等线" w:hint="eastAsia"/>
          <w:b/>
          <w:bCs/>
          <w:lang w:eastAsia="zh-CN"/>
        </w:rPr>
        <w:t>g</w:t>
      </w:r>
      <w:r w:rsidRPr="006B323B">
        <w:rPr>
          <w:b/>
          <w:bCs/>
        </w:rPr>
        <w:t>)</w:t>
      </w:r>
      <w:r>
        <w:t xml:space="preserve"> Enrichment of inflammation-related genes from transcriptomic sequencing data (GSEA bar plot). </w:t>
      </w:r>
      <w:r w:rsidRPr="006B323B">
        <w:rPr>
          <w:b/>
          <w:bCs/>
        </w:rPr>
        <w:t>(</w:t>
      </w:r>
      <w:r w:rsidRPr="006B323B">
        <w:rPr>
          <w:rFonts w:eastAsia="等线" w:hint="eastAsia"/>
          <w:b/>
          <w:bCs/>
          <w:lang w:eastAsia="zh-CN"/>
        </w:rPr>
        <w:t>h-m</w:t>
      </w:r>
      <w:r w:rsidRPr="006B323B">
        <w:rPr>
          <w:b/>
          <w:bCs/>
        </w:rPr>
        <w:t>)</w:t>
      </w:r>
      <w:r>
        <w:t xml:space="preserve"> Protein expression levels of IL-1β, TNF-α, IL-4, and IL-10 analyzed using </w:t>
      </w:r>
      <w:r>
        <w:rPr>
          <w:rFonts w:hint="eastAsia"/>
        </w:rPr>
        <w:t>w</w:t>
      </w:r>
      <w:r>
        <w:t>estern blotting (</w:t>
      </w:r>
      <w:r w:rsidRPr="006B323B">
        <w:rPr>
          <w:i/>
          <w:iCs/>
        </w:rPr>
        <w:t>n</w:t>
      </w:r>
      <w:r w:rsidR="006B323B">
        <w:rPr>
          <w:rFonts w:eastAsia="等线" w:hint="eastAsia"/>
          <w:i/>
          <w:iCs/>
          <w:lang w:eastAsia="zh-CN"/>
        </w:rPr>
        <w:t xml:space="preserve"> </w:t>
      </w:r>
      <w:r>
        <w:t>=</w:t>
      </w:r>
      <w:r w:rsidR="006B323B">
        <w:rPr>
          <w:rFonts w:eastAsia="等线" w:hint="eastAsia"/>
          <w:lang w:eastAsia="zh-CN"/>
        </w:rPr>
        <w:t xml:space="preserve"> </w:t>
      </w:r>
      <w:r>
        <w:t>3). Data are expressed as mean</w:t>
      </w:r>
      <w:r w:rsidR="006B323B">
        <w:rPr>
          <w:rFonts w:eastAsia="等线" w:hint="eastAsia"/>
          <w:lang w:eastAsia="zh-CN"/>
        </w:rPr>
        <w:t xml:space="preserve"> </w:t>
      </w:r>
      <w:r>
        <w:t>±</w:t>
      </w:r>
      <w:r w:rsidR="006B323B">
        <w:rPr>
          <w:rFonts w:eastAsia="等线" w:hint="eastAsia"/>
          <w:lang w:eastAsia="zh-CN"/>
        </w:rPr>
        <w:t xml:space="preserve"> </w:t>
      </w:r>
      <w:r>
        <w:t xml:space="preserve">SD. </w:t>
      </w:r>
      <w:r>
        <w:rPr>
          <w:vertAlign w:val="superscript"/>
        </w:rPr>
        <w:t>*</w:t>
      </w:r>
      <w:r>
        <w:rPr>
          <w:i/>
          <w:iCs/>
        </w:rPr>
        <w:t>P</w:t>
      </w:r>
      <w:r w:rsidR="00223755">
        <w:rPr>
          <w:rFonts w:eastAsia="等线" w:hint="eastAsia"/>
          <w:i/>
          <w:iCs/>
          <w:lang w:eastAsia="zh-CN"/>
        </w:rPr>
        <w:t xml:space="preserve"> </w:t>
      </w:r>
      <w:r>
        <w:t>&lt;</w:t>
      </w:r>
      <w:r w:rsidR="00223755">
        <w:rPr>
          <w:rFonts w:eastAsia="等线" w:hint="eastAsia"/>
          <w:lang w:eastAsia="zh-CN"/>
        </w:rPr>
        <w:t xml:space="preserve"> </w:t>
      </w:r>
      <w:r>
        <w:t xml:space="preserve">0.05, </w:t>
      </w:r>
      <w:r>
        <w:rPr>
          <w:vertAlign w:val="superscript"/>
        </w:rPr>
        <w:t>**</w:t>
      </w:r>
      <w:r>
        <w:rPr>
          <w:i/>
          <w:iCs/>
        </w:rPr>
        <w:t>P</w:t>
      </w:r>
      <w:r w:rsidR="00223755">
        <w:rPr>
          <w:rFonts w:eastAsia="等线" w:hint="eastAsia"/>
          <w:i/>
          <w:iCs/>
          <w:lang w:eastAsia="zh-CN"/>
        </w:rPr>
        <w:t xml:space="preserve"> </w:t>
      </w:r>
      <w:r>
        <w:t>&lt;</w:t>
      </w:r>
      <w:r w:rsidR="00223755">
        <w:rPr>
          <w:rFonts w:eastAsia="等线" w:hint="eastAsia"/>
          <w:lang w:eastAsia="zh-CN"/>
        </w:rPr>
        <w:t xml:space="preserve"> </w:t>
      </w:r>
      <w:r>
        <w:t xml:space="preserve">0.01, </w:t>
      </w:r>
      <w:r>
        <w:rPr>
          <w:vertAlign w:val="superscript"/>
        </w:rPr>
        <w:t>***</w:t>
      </w:r>
      <w:r>
        <w:rPr>
          <w:i/>
          <w:iCs/>
        </w:rPr>
        <w:t>P</w:t>
      </w:r>
      <w:r w:rsidR="00223755">
        <w:rPr>
          <w:rFonts w:eastAsia="等线" w:hint="eastAsia"/>
          <w:i/>
          <w:iCs/>
          <w:lang w:eastAsia="zh-CN"/>
        </w:rPr>
        <w:t xml:space="preserve"> </w:t>
      </w:r>
      <w:r>
        <w:t>&lt;</w:t>
      </w:r>
      <w:r w:rsidR="00223755">
        <w:rPr>
          <w:rFonts w:eastAsia="等线" w:hint="eastAsia"/>
          <w:lang w:eastAsia="zh-CN"/>
        </w:rPr>
        <w:t xml:space="preserve"> </w:t>
      </w:r>
      <w:r>
        <w:t>0.001.</w:t>
      </w:r>
    </w:p>
    <w:p w14:paraId="11398539" w14:textId="77777777" w:rsidR="00210785" w:rsidRDefault="00000000">
      <w:pPr>
        <w:spacing w:after="0" w:line="240" w:lineRule="auto"/>
        <w:rPr>
          <w:rFonts w:ascii="Times New Roman" w:eastAsia="MS Mincho" w:hAnsi="Times New Roman" w:cs="Times New Roman"/>
          <w:kern w:val="0"/>
          <w:lang w:eastAsia="ja-JP"/>
          <w14:ligatures w14:val="none"/>
        </w:rPr>
      </w:pPr>
      <w:r>
        <w:br w:type="page"/>
      </w:r>
    </w:p>
    <w:p w14:paraId="66B89D58" w14:textId="77777777" w:rsidR="00210785" w:rsidRDefault="00000000">
      <w:pPr>
        <w:pStyle w:val="Acknowledgements"/>
        <w:spacing w:line="480" w:lineRule="auto"/>
        <w:jc w:val="center"/>
        <w:rPr>
          <w:b/>
          <w:bCs/>
        </w:rPr>
      </w:pPr>
      <w:r>
        <w:rPr>
          <w:b/>
          <w:bCs/>
          <w:noProof/>
        </w:rPr>
        <w:lastRenderedPageBreak/>
        <w:drawing>
          <wp:inline distT="0" distB="0" distL="0" distR="0" wp14:anchorId="372BD9F8" wp14:editId="2855CE12">
            <wp:extent cx="5943600" cy="4001135"/>
            <wp:effectExtent l="0" t="0" r="0" b="0"/>
            <wp:docPr id="10986538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53879" name="图片 4"/>
                    <pic:cNvPicPr>
                      <a:picLocks noChangeAspect="1"/>
                    </pic:cNvPicPr>
                  </pic:nvPicPr>
                  <pic:blipFill>
                    <a:blip r:embed="rId11"/>
                    <a:stretch>
                      <a:fillRect/>
                    </a:stretch>
                  </pic:blipFill>
                  <pic:spPr>
                    <a:xfrm>
                      <a:off x="0" y="0"/>
                      <a:ext cx="5943600" cy="4001135"/>
                    </a:xfrm>
                    <a:prstGeom prst="rect">
                      <a:avLst/>
                    </a:prstGeom>
                  </pic:spPr>
                </pic:pic>
              </a:graphicData>
            </a:graphic>
          </wp:inline>
        </w:drawing>
      </w:r>
    </w:p>
    <w:p w14:paraId="5379174D" w14:textId="2296B155" w:rsidR="00210785" w:rsidRDefault="00000000">
      <w:pPr>
        <w:pStyle w:val="Acknowledgements"/>
        <w:spacing w:line="480" w:lineRule="auto"/>
        <w:jc w:val="both"/>
      </w:pPr>
      <w:r>
        <w:rPr>
          <w:rFonts w:hint="eastAsia"/>
        </w:rPr>
        <w:t>Supplementary Figure 4.</w:t>
      </w:r>
      <w:r>
        <w:t xml:space="preserve"> Immunofluorescence staining shows reduced </w:t>
      </w:r>
      <w:r>
        <w:rPr>
          <w:i/>
          <w:iCs/>
        </w:rPr>
        <w:t>Nr4a1</w:t>
      </w:r>
      <w:r>
        <w:t xml:space="preserve"> expression in hippocampal microglia and neurons of TN rats. </w:t>
      </w:r>
      <w:r w:rsidRPr="006B323B">
        <w:rPr>
          <w:b/>
          <w:bCs/>
        </w:rPr>
        <w:t>(</w:t>
      </w:r>
      <w:r w:rsidRPr="006B323B">
        <w:rPr>
          <w:rFonts w:eastAsia="等线" w:hint="eastAsia"/>
          <w:b/>
          <w:bCs/>
          <w:lang w:eastAsia="zh-CN"/>
        </w:rPr>
        <w:t>a-b</w:t>
      </w:r>
      <w:r w:rsidRPr="006B323B">
        <w:rPr>
          <w:b/>
          <w:bCs/>
        </w:rPr>
        <w:t>)</w:t>
      </w:r>
      <w:r>
        <w:t xml:space="preserve"> Co-localization of </w:t>
      </w:r>
      <w:r>
        <w:rPr>
          <w:i/>
          <w:iCs/>
        </w:rPr>
        <w:t>Nr4a1</w:t>
      </w:r>
      <w:r>
        <w:t xml:space="preserve"> with microglia (Iba1⁺)</w:t>
      </w:r>
      <w:r w:rsidR="00223755">
        <w:rPr>
          <w:rFonts w:eastAsia="等线" w:hint="eastAsia"/>
          <w:lang w:eastAsia="zh-CN"/>
        </w:rPr>
        <w:t xml:space="preserve"> </w:t>
      </w:r>
      <w:r w:rsidR="00223755">
        <w:t>(</w:t>
      </w:r>
      <w:r w:rsidR="00223755" w:rsidRPr="006B323B">
        <w:rPr>
          <w:i/>
          <w:iCs/>
        </w:rPr>
        <w:t>n</w:t>
      </w:r>
      <w:r w:rsidR="00223755">
        <w:rPr>
          <w:rFonts w:eastAsia="等线" w:hint="eastAsia"/>
          <w:i/>
          <w:iCs/>
          <w:lang w:eastAsia="zh-CN"/>
        </w:rPr>
        <w:t xml:space="preserve"> </w:t>
      </w:r>
      <w:r w:rsidR="00223755">
        <w:t>=</w:t>
      </w:r>
      <w:r w:rsidR="00223755">
        <w:rPr>
          <w:rFonts w:eastAsia="等线" w:hint="eastAsia"/>
          <w:lang w:eastAsia="zh-CN"/>
        </w:rPr>
        <w:t xml:space="preserve"> </w:t>
      </w:r>
      <w:r w:rsidR="00223755">
        <w:rPr>
          <w:rFonts w:eastAsia="等线" w:hint="eastAsia"/>
          <w:lang w:eastAsia="zh-CN"/>
        </w:rPr>
        <w:t>6</w:t>
      </w:r>
      <w:r w:rsidR="00223755">
        <w:t>)</w:t>
      </w:r>
      <w:r>
        <w:t>. Scale bar</w:t>
      </w:r>
      <w:r w:rsidR="006B323B">
        <w:rPr>
          <w:rFonts w:eastAsia="等线" w:hint="eastAsia"/>
          <w:lang w:eastAsia="zh-CN"/>
        </w:rPr>
        <w:t xml:space="preserve"> </w:t>
      </w:r>
      <w:r>
        <w:t>=</w:t>
      </w:r>
      <w:r w:rsidR="006B323B">
        <w:rPr>
          <w:rFonts w:eastAsia="等线" w:hint="eastAsia"/>
          <w:lang w:eastAsia="zh-CN"/>
        </w:rPr>
        <w:t xml:space="preserve"> </w:t>
      </w:r>
      <w:r>
        <w:t xml:space="preserve">20 μm. </w:t>
      </w:r>
      <w:r w:rsidRPr="006B323B">
        <w:rPr>
          <w:b/>
          <w:bCs/>
        </w:rPr>
        <w:t>(</w:t>
      </w:r>
      <w:r w:rsidRPr="006B323B">
        <w:rPr>
          <w:rFonts w:eastAsia="等线" w:hint="eastAsia"/>
          <w:b/>
          <w:bCs/>
          <w:lang w:eastAsia="zh-CN"/>
        </w:rPr>
        <w:t>c-d</w:t>
      </w:r>
      <w:r w:rsidRPr="006B323B">
        <w:rPr>
          <w:b/>
          <w:bCs/>
        </w:rPr>
        <w:t>)</w:t>
      </w:r>
      <w:r>
        <w:t xml:space="preserve"> Co-localization of </w:t>
      </w:r>
      <w:r>
        <w:rPr>
          <w:i/>
          <w:iCs/>
        </w:rPr>
        <w:t>Nr4a1</w:t>
      </w:r>
      <w:r>
        <w:t xml:space="preserve"> with astrocytes (GFAP⁺)</w:t>
      </w:r>
      <w:r w:rsidR="00223755">
        <w:rPr>
          <w:rFonts w:eastAsia="等线" w:hint="eastAsia"/>
          <w:lang w:eastAsia="zh-CN"/>
        </w:rPr>
        <w:t xml:space="preserve"> </w:t>
      </w:r>
      <w:r w:rsidR="00223755">
        <w:t>(</w:t>
      </w:r>
      <w:r w:rsidR="00223755" w:rsidRPr="006B323B">
        <w:rPr>
          <w:i/>
          <w:iCs/>
        </w:rPr>
        <w:t>n</w:t>
      </w:r>
      <w:r w:rsidR="00223755">
        <w:rPr>
          <w:rFonts w:eastAsia="等线" w:hint="eastAsia"/>
          <w:i/>
          <w:iCs/>
          <w:lang w:eastAsia="zh-CN"/>
        </w:rPr>
        <w:t xml:space="preserve"> </w:t>
      </w:r>
      <w:r w:rsidR="00223755">
        <w:t>=</w:t>
      </w:r>
      <w:r w:rsidR="00223755">
        <w:rPr>
          <w:rFonts w:eastAsia="等线" w:hint="eastAsia"/>
          <w:lang w:eastAsia="zh-CN"/>
        </w:rPr>
        <w:t xml:space="preserve"> 6</w:t>
      </w:r>
      <w:r w:rsidR="00223755">
        <w:t>)</w:t>
      </w:r>
      <w:r>
        <w:t>. Scale bar</w:t>
      </w:r>
      <w:r w:rsidR="006B323B">
        <w:rPr>
          <w:rFonts w:eastAsia="等线" w:hint="eastAsia"/>
          <w:lang w:eastAsia="zh-CN"/>
        </w:rPr>
        <w:t xml:space="preserve"> </w:t>
      </w:r>
      <w:r>
        <w:t>=</w:t>
      </w:r>
      <w:r w:rsidR="006B323B">
        <w:rPr>
          <w:rFonts w:eastAsia="等线" w:hint="eastAsia"/>
          <w:lang w:eastAsia="zh-CN"/>
        </w:rPr>
        <w:t xml:space="preserve"> </w:t>
      </w:r>
      <w:r>
        <w:t xml:space="preserve">20 μm. </w:t>
      </w:r>
      <w:r w:rsidRPr="006B323B">
        <w:rPr>
          <w:b/>
          <w:bCs/>
        </w:rPr>
        <w:t>(</w:t>
      </w:r>
      <w:r w:rsidRPr="006B323B">
        <w:rPr>
          <w:rFonts w:eastAsia="等线" w:hint="eastAsia"/>
          <w:b/>
          <w:bCs/>
          <w:lang w:eastAsia="zh-CN"/>
        </w:rPr>
        <w:t>e-f</w:t>
      </w:r>
      <w:r w:rsidRPr="006B323B">
        <w:rPr>
          <w:b/>
          <w:bCs/>
        </w:rPr>
        <w:t>)</w:t>
      </w:r>
      <w:r>
        <w:t xml:space="preserve"> Co-localization of </w:t>
      </w:r>
      <w:r>
        <w:rPr>
          <w:i/>
          <w:iCs/>
        </w:rPr>
        <w:t>Nr4a1</w:t>
      </w:r>
      <w:r>
        <w:t xml:space="preserve"> with neurons (NeuN⁺)</w:t>
      </w:r>
      <w:r w:rsidR="00223755">
        <w:rPr>
          <w:rFonts w:eastAsia="等线" w:hint="eastAsia"/>
          <w:lang w:eastAsia="zh-CN"/>
        </w:rPr>
        <w:t xml:space="preserve"> </w:t>
      </w:r>
      <w:r w:rsidR="00223755">
        <w:t>(</w:t>
      </w:r>
      <w:r w:rsidR="00223755" w:rsidRPr="006B323B">
        <w:rPr>
          <w:i/>
          <w:iCs/>
        </w:rPr>
        <w:t>n</w:t>
      </w:r>
      <w:r w:rsidR="00223755">
        <w:rPr>
          <w:rFonts w:eastAsia="等线" w:hint="eastAsia"/>
          <w:i/>
          <w:iCs/>
          <w:lang w:eastAsia="zh-CN"/>
        </w:rPr>
        <w:t xml:space="preserve"> </w:t>
      </w:r>
      <w:r w:rsidR="00223755">
        <w:t>=</w:t>
      </w:r>
      <w:r w:rsidR="00223755">
        <w:rPr>
          <w:rFonts w:eastAsia="等线" w:hint="eastAsia"/>
          <w:lang w:eastAsia="zh-CN"/>
        </w:rPr>
        <w:t xml:space="preserve"> 6</w:t>
      </w:r>
      <w:r w:rsidR="00223755">
        <w:t>)</w:t>
      </w:r>
      <w:r>
        <w:t>. Scale bar</w:t>
      </w:r>
      <w:r w:rsidR="006B323B">
        <w:rPr>
          <w:rFonts w:eastAsia="等线" w:hint="eastAsia"/>
          <w:lang w:eastAsia="zh-CN"/>
        </w:rPr>
        <w:t xml:space="preserve"> </w:t>
      </w:r>
      <w:r>
        <w:t>=</w:t>
      </w:r>
      <w:r w:rsidR="006B323B">
        <w:rPr>
          <w:rFonts w:eastAsia="等线" w:hint="eastAsia"/>
          <w:lang w:eastAsia="zh-CN"/>
        </w:rPr>
        <w:t xml:space="preserve"> </w:t>
      </w:r>
      <w:r>
        <w:t xml:space="preserve">20 μm. White arrows indicate merged signals of </w:t>
      </w:r>
      <w:r>
        <w:rPr>
          <w:i/>
          <w:iCs/>
        </w:rPr>
        <w:t>Nr4a1</w:t>
      </w:r>
      <w:r>
        <w:t xml:space="preserve"> with Iba1, GFAP, or NeuN. +, antibody-positive expression. Data are expressed as mean</w:t>
      </w:r>
      <w:r w:rsidR="006B323B">
        <w:rPr>
          <w:rFonts w:eastAsia="等线" w:hint="eastAsia"/>
          <w:lang w:eastAsia="zh-CN"/>
        </w:rPr>
        <w:t xml:space="preserve"> </w:t>
      </w:r>
      <w:r>
        <w:t>±</w:t>
      </w:r>
      <w:r w:rsidR="006B323B">
        <w:rPr>
          <w:rFonts w:eastAsia="等线" w:hint="eastAsia"/>
          <w:lang w:eastAsia="zh-CN"/>
        </w:rPr>
        <w:t xml:space="preserve"> </w:t>
      </w:r>
      <w:r>
        <w:t xml:space="preserve">SD. </w:t>
      </w:r>
      <w:r>
        <w:rPr>
          <w:vertAlign w:val="superscript"/>
        </w:rPr>
        <w:t>***</w:t>
      </w:r>
      <w:r>
        <w:rPr>
          <w:i/>
          <w:iCs/>
        </w:rPr>
        <w:t>P</w:t>
      </w:r>
      <w:r w:rsidR="00223755">
        <w:rPr>
          <w:rFonts w:eastAsia="等线" w:hint="eastAsia"/>
          <w:i/>
          <w:iCs/>
          <w:lang w:eastAsia="zh-CN"/>
        </w:rPr>
        <w:t xml:space="preserve"> </w:t>
      </w:r>
      <w:r>
        <w:t>&lt;</w:t>
      </w:r>
      <w:r w:rsidR="00223755">
        <w:rPr>
          <w:rFonts w:eastAsia="等线" w:hint="eastAsia"/>
          <w:lang w:eastAsia="zh-CN"/>
        </w:rPr>
        <w:t xml:space="preserve"> </w:t>
      </w:r>
      <w:r>
        <w:t>0.001.</w:t>
      </w:r>
    </w:p>
    <w:p w14:paraId="677FD91C" w14:textId="77777777" w:rsidR="00210785" w:rsidRDefault="00000000">
      <w:pPr>
        <w:spacing w:after="0" w:line="240" w:lineRule="auto"/>
        <w:rPr>
          <w:rFonts w:ascii="Times New Roman" w:eastAsia="MS Mincho" w:hAnsi="Times New Roman" w:cs="Times New Roman"/>
          <w:kern w:val="0"/>
          <w:lang w:eastAsia="ja-JP"/>
          <w14:ligatures w14:val="none"/>
        </w:rPr>
      </w:pPr>
      <w:r>
        <w:br w:type="page"/>
      </w:r>
    </w:p>
    <w:p w14:paraId="2EB8F5D8" w14:textId="77777777" w:rsidR="00210785" w:rsidRDefault="00000000">
      <w:pPr>
        <w:pStyle w:val="Acknowledgements"/>
        <w:spacing w:line="480" w:lineRule="auto"/>
        <w:jc w:val="center"/>
        <w:rPr>
          <w:rFonts w:eastAsia="等线"/>
          <w:lang w:eastAsia="zh-CN"/>
        </w:rPr>
      </w:pPr>
      <w:r>
        <w:rPr>
          <w:rFonts w:eastAsia="等线"/>
          <w:noProof/>
          <w:lang w:eastAsia="zh-CN"/>
        </w:rPr>
        <w:lastRenderedPageBreak/>
        <w:drawing>
          <wp:inline distT="0" distB="0" distL="0" distR="0" wp14:anchorId="7ECF4D3F" wp14:editId="71D35961">
            <wp:extent cx="5293360" cy="4153535"/>
            <wp:effectExtent l="0" t="0" r="2540" b="0"/>
            <wp:docPr id="18083125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12535" name="图片 5"/>
                    <pic:cNvPicPr>
                      <a:picLocks noChangeAspect="1"/>
                    </pic:cNvPicPr>
                  </pic:nvPicPr>
                  <pic:blipFill>
                    <a:blip r:embed="rId12"/>
                    <a:stretch>
                      <a:fillRect/>
                    </a:stretch>
                  </pic:blipFill>
                  <pic:spPr>
                    <a:xfrm>
                      <a:off x="0" y="0"/>
                      <a:ext cx="5293472" cy="4154128"/>
                    </a:xfrm>
                    <a:prstGeom prst="rect">
                      <a:avLst/>
                    </a:prstGeom>
                  </pic:spPr>
                </pic:pic>
              </a:graphicData>
            </a:graphic>
          </wp:inline>
        </w:drawing>
      </w:r>
    </w:p>
    <w:p w14:paraId="08BC1DD0" w14:textId="0AC1DDC2" w:rsidR="00210785" w:rsidRDefault="00000000">
      <w:pPr>
        <w:pStyle w:val="Acknowledgements"/>
        <w:spacing w:line="480" w:lineRule="auto"/>
        <w:jc w:val="both"/>
      </w:pPr>
      <w:r>
        <w:rPr>
          <w:rFonts w:hint="eastAsia"/>
        </w:rPr>
        <w:t>Supplementary Figure 5.</w:t>
      </w:r>
      <w:r>
        <w:t xml:space="preserve"> Verification of hippocampal microglia-specific overexpression of </w:t>
      </w:r>
      <w:r>
        <w:rPr>
          <w:i/>
          <w:iCs/>
        </w:rPr>
        <w:t>Nr4a1</w:t>
      </w:r>
      <w:r>
        <w:t xml:space="preserve"> </w:t>
      </w:r>
      <w:r w:rsidRPr="006B323B">
        <w:rPr>
          <w:b/>
          <w:bCs/>
        </w:rPr>
        <w:t>(</w:t>
      </w:r>
      <w:r w:rsidRPr="006B323B">
        <w:rPr>
          <w:rFonts w:eastAsia="等线" w:hint="eastAsia"/>
          <w:b/>
          <w:bCs/>
          <w:lang w:eastAsia="zh-CN"/>
        </w:rPr>
        <w:t>a</w:t>
      </w:r>
      <w:r w:rsidRPr="006B323B">
        <w:rPr>
          <w:b/>
          <w:bCs/>
        </w:rPr>
        <w:t>)</w:t>
      </w:r>
      <w:r>
        <w:t xml:space="preserve"> Co-localization of AAV (green) with microglia (IBA1⁺), astrocytes (GFAP⁺), and neurons (NeuN⁺) in the hippocampus after AAV overexpression. Scale bar</w:t>
      </w:r>
      <w:r w:rsidR="006B323B">
        <w:rPr>
          <w:rFonts w:eastAsia="等线" w:hint="eastAsia"/>
          <w:lang w:eastAsia="zh-CN"/>
        </w:rPr>
        <w:t xml:space="preserve"> </w:t>
      </w:r>
      <w:r>
        <w:t>=</w:t>
      </w:r>
      <w:r w:rsidR="006B323B">
        <w:rPr>
          <w:rFonts w:eastAsia="等线" w:hint="eastAsia"/>
          <w:lang w:eastAsia="zh-CN"/>
        </w:rPr>
        <w:t xml:space="preserve"> </w:t>
      </w:r>
      <w:r>
        <w:t xml:space="preserve">20 μm. </w:t>
      </w:r>
      <w:r w:rsidRPr="006B323B">
        <w:rPr>
          <w:b/>
          <w:bCs/>
        </w:rPr>
        <w:t>(</w:t>
      </w:r>
      <w:r w:rsidRPr="006B323B">
        <w:rPr>
          <w:rFonts w:eastAsia="等线" w:hint="eastAsia"/>
          <w:b/>
          <w:bCs/>
          <w:lang w:eastAsia="zh-CN"/>
        </w:rPr>
        <w:t>b</w:t>
      </w:r>
      <w:r w:rsidRPr="006B323B">
        <w:rPr>
          <w:b/>
          <w:bCs/>
        </w:rPr>
        <w:t>)</w:t>
      </w:r>
      <w:r>
        <w:t xml:space="preserve"> Protein expression of </w:t>
      </w:r>
      <w:r>
        <w:rPr>
          <w:i/>
          <w:iCs/>
        </w:rPr>
        <w:t>Nr4a1</w:t>
      </w:r>
      <w:r>
        <w:t xml:space="preserve"> was analyzed using western blotting (</w:t>
      </w:r>
      <w:r w:rsidRPr="006B323B">
        <w:rPr>
          <w:i/>
          <w:iCs/>
        </w:rPr>
        <w:t>n</w:t>
      </w:r>
      <w:r w:rsidR="006B323B">
        <w:rPr>
          <w:rFonts w:eastAsia="等线" w:hint="eastAsia"/>
          <w:i/>
          <w:iCs/>
          <w:lang w:eastAsia="zh-CN"/>
        </w:rPr>
        <w:t xml:space="preserve"> </w:t>
      </w:r>
      <w:r>
        <w:t>=</w:t>
      </w:r>
      <w:r w:rsidR="006B323B">
        <w:rPr>
          <w:rFonts w:eastAsia="等线" w:hint="eastAsia"/>
          <w:lang w:eastAsia="zh-CN"/>
        </w:rPr>
        <w:t xml:space="preserve"> </w:t>
      </w:r>
      <w:r>
        <w:t>6). +, antibody-positive expression. Data are expressed as mean</w:t>
      </w:r>
      <w:r w:rsidR="006B323B">
        <w:rPr>
          <w:rFonts w:eastAsia="等线" w:hint="eastAsia"/>
          <w:lang w:eastAsia="zh-CN"/>
        </w:rPr>
        <w:t xml:space="preserve"> </w:t>
      </w:r>
      <w:r>
        <w:t>±</w:t>
      </w:r>
      <w:r w:rsidR="006B323B">
        <w:rPr>
          <w:rFonts w:eastAsia="等线" w:hint="eastAsia"/>
          <w:lang w:eastAsia="zh-CN"/>
        </w:rPr>
        <w:t xml:space="preserve"> </w:t>
      </w:r>
      <w:r>
        <w:t xml:space="preserve">SD. </w:t>
      </w:r>
      <w:r>
        <w:rPr>
          <w:rFonts w:eastAsia="Times New Roman"/>
          <w:vertAlign w:val="superscript"/>
        </w:rPr>
        <w:t>***</w:t>
      </w:r>
      <w:r>
        <w:rPr>
          <w:rFonts w:eastAsia="Times New Roman"/>
          <w:i/>
        </w:rPr>
        <w:t>P</w:t>
      </w:r>
      <w:r w:rsidR="00223755">
        <w:rPr>
          <w:rFonts w:eastAsia="等线" w:hint="eastAsia"/>
          <w:i/>
          <w:lang w:eastAsia="zh-CN"/>
        </w:rPr>
        <w:t xml:space="preserve"> </w:t>
      </w:r>
      <w:r>
        <w:rPr>
          <w:rFonts w:eastAsia="Times New Roman"/>
        </w:rPr>
        <w:t>&lt;</w:t>
      </w:r>
      <w:r w:rsidR="00223755">
        <w:rPr>
          <w:rFonts w:eastAsia="等线" w:hint="eastAsia"/>
          <w:lang w:eastAsia="zh-CN"/>
        </w:rPr>
        <w:t xml:space="preserve"> </w:t>
      </w:r>
      <w:r>
        <w:rPr>
          <w:rFonts w:eastAsia="Times New Roman"/>
        </w:rPr>
        <w:t>0.001</w:t>
      </w:r>
      <w:r>
        <w:t xml:space="preserve">. </w:t>
      </w:r>
    </w:p>
    <w:p w14:paraId="33D06CD6" w14:textId="77777777" w:rsidR="00210785" w:rsidRDefault="00000000">
      <w:pPr>
        <w:spacing w:after="0" w:line="240" w:lineRule="auto"/>
        <w:rPr>
          <w:rFonts w:ascii="Times New Roman" w:eastAsia="MS Mincho" w:hAnsi="Times New Roman" w:cs="Times New Roman"/>
          <w:kern w:val="0"/>
          <w:lang w:eastAsia="ja-JP"/>
          <w14:ligatures w14:val="none"/>
        </w:rPr>
      </w:pPr>
      <w:r>
        <w:br w:type="page"/>
      </w:r>
    </w:p>
    <w:p w14:paraId="5DEC1107" w14:textId="713192AC" w:rsidR="00210785" w:rsidRDefault="008B292D">
      <w:pPr>
        <w:pStyle w:val="Acknowledgements"/>
        <w:spacing w:line="480" w:lineRule="auto"/>
        <w:jc w:val="center"/>
        <w:rPr>
          <w:rFonts w:eastAsia="等线"/>
          <w:b/>
          <w:bCs/>
          <w:lang w:eastAsia="zh-CN"/>
        </w:rPr>
      </w:pPr>
      <w:r>
        <w:rPr>
          <w:rFonts w:eastAsia="等线"/>
          <w:b/>
          <w:bCs/>
          <w:noProof/>
          <w:lang w:eastAsia="zh-CN"/>
        </w:rPr>
        <w:lastRenderedPageBreak/>
        <w:drawing>
          <wp:inline distT="0" distB="0" distL="0" distR="0" wp14:anchorId="15D4C05C" wp14:editId="50964631">
            <wp:extent cx="5943600" cy="6393815"/>
            <wp:effectExtent l="0" t="0" r="0" b="6985"/>
            <wp:docPr id="14168688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68842" name="图片 1416868842"/>
                    <pic:cNvPicPr/>
                  </pic:nvPicPr>
                  <pic:blipFill>
                    <a:blip r:embed="rId13"/>
                    <a:stretch>
                      <a:fillRect/>
                    </a:stretch>
                  </pic:blipFill>
                  <pic:spPr>
                    <a:xfrm>
                      <a:off x="0" y="0"/>
                      <a:ext cx="5943600" cy="6393815"/>
                    </a:xfrm>
                    <a:prstGeom prst="rect">
                      <a:avLst/>
                    </a:prstGeom>
                  </pic:spPr>
                </pic:pic>
              </a:graphicData>
            </a:graphic>
          </wp:inline>
        </w:drawing>
      </w:r>
    </w:p>
    <w:p w14:paraId="445617BA" w14:textId="51DB23E0" w:rsidR="00210785" w:rsidRDefault="00000000">
      <w:pPr>
        <w:pStyle w:val="Acknowledgements"/>
        <w:spacing w:line="480" w:lineRule="auto"/>
        <w:jc w:val="both"/>
      </w:pPr>
      <w:r>
        <w:rPr>
          <w:rFonts w:hint="eastAsia"/>
        </w:rPr>
        <w:t xml:space="preserve">Supplementary Figure </w:t>
      </w:r>
      <w:r>
        <w:rPr>
          <w:rFonts w:eastAsia="等线" w:hint="eastAsia"/>
          <w:lang w:eastAsia="zh-CN"/>
        </w:rPr>
        <w:t>6</w:t>
      </w:r>
      <w:r>
        <w:rPr>
          <w:rFonts w:hint="eastAsia"/>
        </w:rPr>
        <w:t>.</w:t>
      </w:r>
      <w:r>
        <w:t xml:space="preserve"> </w:t>
      </w:r>
      <w:r>
        <w:rPr>
          <w:i/>
          <w:iCs/>
        </w:rPr>
        <w:t>Nr4a1</w:t>
      </w:r>
      <w:r>
        <w:t xml:space="preserve"> overexpression alleviates microglial overactivation</w:t>
      </w:r>
      <w:r>
        <w:rPr>
          <w:rFonts w:eastAsia="等线" w:hint="eastAsia"/>
          <w:lang w:eastAsia="zh-CN"/>
        </w:rPr>
        <w:t>.</w:t>
      </w:r>
      <w:r>
        <w:t xml:space="preserve"> </w:t>
      </w:r>
      <w:r w:rsidRPr="00223755">
        <w:rPr>
          <w:b/>
          <w:bCs/>
        </w:rPr>
        <w:t>(a-</w:t>
      </w:r>
      <w:r w:rsidRPr="00223755">
        <w:rPr>
          <w:rFonts w:eastAsia="等线" w:hint="eastAsia"/>
          <w:b/>
          <w:bCs/>
          <w:lang w:eastAsia="zh-CN"/>
        </w:rPr>
        <w:t>h</w:t>
      </w:r>
      <w:r w:rsidRPr="00223755">
        <w:rPr>
          <w:b/>
          <w:bCs/>
        </w:rPr>
        <w:t>)</w:t>
      </w:r>
      <w:r>
        <w:t xml:space="preserve"> Representative immunofluorescence images and quantitative analysis of Iba1 expression, microglial number, and morphological changes in the hippocampal CA</w:t>
      </w:r>
      <w:r>
        <w:rPr>
          <w:rFonts w:eastAsia="等线" w:hint="eastAsia"/>
          <w:lang w:eastAsia="zh-CN"/>
        </w:rPr>
        <w:t>3 and DG</w:t>
      </w:r>
      <w:r>
        <w:t xml:space="preserve"> region</w:t>
      </w:r>
      <w:r>
        <w:rPr>
          <w:rFonts w:eastAsia="等线" w:hint="eastAsia"/>
          <w:lang w:eastAsia="zh-CN"/>
        </w:rPr>
        <w:t>s</w:t>
      </w:r>
      <w:r>
        <w:t xml:space="preserve"> (</w:t>
      </w:r>
      <w:r w:rsidRPr="00223755">
        <w:rPr>
          <w:i/>
          <w:iCs/>
        </w:rPr>
        <w:t>n</w:t>
      </w:r>
      <w:r w:rsidR="00223755">
        <w:rPr>
          <w:rFonts w:eastAsia="等线" w:hint="eastAsia"/>
          <w:i/>
          <w:iCs/>
          <w:lang w:eastAsia="zh-CN"/>
        </w:rPr>
        <w:t xml:space="preserve"> </w:t>
      </w:r>
      <w:r>
        <w:t>=</w:t>
      </w:r>
      <w:r w:rsidR="00223755">
        <w:rPr>
          <w:rFonts w:eastAsia="等线" w:hint="eastAsia"/>
          <w:lang w:eastAsia="zh-CN"/>
        </w:rPr>
        <w:t xml:space="preserve"> </w:t>
      </w:r>
      <w:r>
        <w:t>6). Scale bar</w:t>
      </w:r>
      <w:r w:rsidR="00223755">
        <w:rPr>
          <w:rFonts w:eastAsia="等线" w:hint="eastAsia"/>
          <w:lang w:eastAsia="zh-CN"/>
        </w:rPr>
        <w:t xml:space="preserve"> </w:t>
      </w:r>
      <w:r>
        <w:t>=</w:t>
      </w:r>
      <w:r w:rsidR="00223755">
        <w:rPr>
          <w:rFonts w:eastAsia="等线" w:hint="eastAsia"/>
          <w:lang w:eastAsia="zh-CN"/>
        </w:rPr>
        <w:t xml:space="preserve"> </w:t>
      </w:r>
      <w:r>
        <w:t>20 μm.</w:t>
      </w:r>
      <w:r>
        <w:rPr>
          <w:rFonts w:eastAsia="Times New Roman"/>
        </w:rPr>
        <w:t xml:space="preserve"> Data are expressed as mean</w:t>
      </w:r>
      <w:r w:rsidR="00223755">
        <w:rPr>
          <w:rFonts w:eastAsia="等线" w:hint="eastAsia"/>
          <w:lang w:eastAsia="zh-CN"/>
        </w:rPr>
        <w:t xml:space="preserve"> </w:t>
      </w:r>
      <w:r>
        <w:rPr>
          <w:rFonts w:eastAsia="Times New Roman"/>
        </w:rPr>
        <w:t>±</w:t>
      </w:r>
      <w:r w:rsidR="00223755">
        <w:rPr>
          <w:rFonts w:eastAsia="等线" w:hint="eastAsia"/>
          <w:lang w:eastAsia="zh-CN"/>
        </w:rPr>
        <w:t xml:space="preserve"> </w:t>
      </w:r>
      <w:r>
        <w:rPr>
          <w:rFonts w:eastAsia="Times New Roman"/>
        </w:rPr>
        <w:t xml:space="preserve">SD. </w:t>
      </w:r>
      <w:r>
        <w:rPr>
          <w:rFonts w:eastAsia="Times New Roman"/>
          <w:vertAlign w:val="superscript"/>
        </w:rPr>
        <w:t>*</w:t>
      </w:r>
      <w:r>
        <w:rPr>
          <w:rFonts w:eastAsia="Times New Roman"/>
          <w:i/>
        </w:rPr>
        <w:t>P</w:t>
      </w:r>
      <w:r w:rsidR="00223755">
        <w:rPr>
          <w:rFonts w:eastAsia="等线" w:hint="eastAsia"/>
          <w:i/>
          <w:lang w:eastAsia="zh-CN"/>
        </w:rPr>
        <w:t xml:space="preserve"> </w:t>
      </w:r>
      <w:r>
        <w:rPr>
          <w:rFonts w:eastAsia="Times New Roman"/>
        </w:rPr>
        <w:t>&lt;</w:t>
      </w:r>
      <w:r w:rsidR="00223755">
        <w:rPr>
          <w:rFonts w:eastAsia="等线" w:hint="eastAsia"/>
          <w:lang w:eastAsia="zh-CN"/>
        </w:rPr>
        <w:t xml:space="preserve"> </w:t>
      </w:r>
      <w:r>
        <w:rPr>
          <w:rFonts w:eastAsia="Times New Roman"/>
        </w:rPr>
        <w:t xml:space="preserve">0.05, </w:t>
      </w:r>
      <w:r>
        <w:rPr>
          <w:rFonts w:eastAsia="Times New Roman"/>
          <w:vertAlign w:val="superscript"/>
        </w:rPr>
        <w:t>***</w:t>
      </w:r>
      <w:r>
        <w:rPr>
          <w:rFonts w:eastAsia="Times New Roman"/>
          <w:i/>
        </w:rPr>
        <w:t>P</w:t>
      </w:r>
      <w:r w:rsidR="00223755">
        <w:rPr>
          <w:rFonts w:eastAsia="等线" w:hint="eastAsia"/>
          <w:i/>
          <w:lang w:eastAsia="zh-CN"/>
        </w:rPr>
        <w:t xml:space="preserve"> </w:t>
      </w:r>
      <w:r>
        <w:rPr>
          <w:rFonts w:eastAsia="Times New Roman"/>
        </w:rPr>
        <w:t>&lt;</w:t>
      </w:r>
      <w:r w:rsidR="00223755">
        <w:rPr>
          <w:rFonts w:eastAsia="等线" w:hint="eastAsia"/>
          <w:lang w:eastAsia="zh-CN"/>
        </w:rPr>
        <w:t xml:space="preserve"> </w:t>
      </w:r>
      <w:r>
        <w:rPr>
          <w:rFonts w:eastAsia="Times New Roman"/>
        </w:rPr>
        <w:t>0.001.</w:t>
      </w:r>
      <w:r>
        <w:t xml:space="preserve"> </w:t>
      </w:r>
      <w:r>
        <w:br w:type="page"/>
      </w:r>
    </w:p>
    <w:p w14:paraId="35D920C6" w14:textId="77777777" w:rsidR="00210785" w:rsidRDefault="00000000">
      <w:pPr>
        <w:pStyle w:val="Acknowledgements"/>
        <w:spacing w:line="480" w:lineRule="auto"/>
        <w:jc w:val="center"/>
        <w:rPr>
          <w:b/>
          <w:bCs/>
        </w:rPr>
      </w:pPr>
      <w:r>
        <w:rPr>
          <w:b/>
          <w:bCs/>
          <w:noProof/>
        </w:rPr>
        <w:lastRenderedPageBreak/>
        <w:drawing>
          <wp:inline distT="0" distB="0" distL="0" distR="0" wp14:anchorId="5FAE48B4" wp14:editId="3C27FB15">
            <wp:extent cx="5943600" cy="3620770"/>
            <wp:effectExtent l="0" t="0" r="0" b="0"/>
            <wp:docPr id="754943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43344" name="图片 1"/>
                    <pic:cNvPicPr>
                      <a:picLocks noChangeAspect="1"/>
                    </pic:cNvPicPr>
                  </pic:nvPicPr>
                  <pic:blipFill>
                    <a:blip r:embed="rId14"/>
                    <a:stretch>
                      <a:fillRect/>
                    </a:stretch>
                  </pic:blipFill>
                  <pic:spPr>
                    <a:xfrm>
                      <a:off x="0" y="0"/>
                      <a:ext cx="5943600" cy="3620770"/>
                    </a:xfrm>
                    <a:prstGeom prst="rect">
                      <a:avLst/>
                    </a:prstGeom>
                  </pic:spPr>
                </pic:pic>
              </a:graphicData>
            </a:graphic>
          </wp:inline>
        </w:drawing>
      </w:r>
    </w:p>
    <w:p w14:paraId="65CB1C7A" w14:textId="7C47D7A4" w:rsidR="00210785" w:rsidRDefault="00000000">
      <w:pPr>
        <w:pStyle w:val="Acknowledgements"/>
        <w:spacing w:line="480" w:lineRule="auto"/>
        <w:jc w:val="both"/>
        <w:rPr>
          <w:rFonts w:eastAsia="等线"/>
          <w:lang w:eastAsia="zh-CN"/>
        </w:rPr>
      </w:pPr>
      <w:r>
        <w:rPr>
          <w:rFonts w:hint="eastAsia"/>
        </w:rPr>
        <w:t xml:space="preserve">Supplementary Figure </w:t>
      </w:r>
      <w:r>
        <w:rPr>
          <w:rFonts w:eastAsia="等线" w:hint="eastAsia"/>
          <w:lang w:eastAsia="zh-CN"/>
        </w:rPr>
        <w:t>7</w:t>
      </w:r>
      <w:r>
        <w:rPr>
          <w:rFonts w:hint="eastAsia"/>
        </w:rPr>
        <w:t>.</w:t>
      </w:r>
      <w:r>
        <w:t xml:space="preserve"> </w:t>
      </w:r>
      <w:r>
        <w:rPr>
          <w:i/>
          <w:iCs/>
        </w:rPr>
        <w:t>Nr4a1</w:t>
      </w:r>
      <w:r>
        <w:t xml:space="preserve"> overexpression alleviates the inflammatory response induced by LPS in BV2 cells. </w:t>
      </w:r>
      <w:r w:rsidRPr="00223755">
        <w:rPr>
          <w:b/>
          <w:bCs/>
        </w:rPr>
        <w:t>(</w:t>
      </w:r>
      <w:r w:rsidRPr="00223755">
        <w:rPr>
          <w:rFonts w:eastAsia="等线" w:hint="eastAsia"/>
          <w:b/>
          <w:bCs/>
          <w:lang w:eastAsia="zh-CN"/>
        </w:rPr>
        <w:t>a</w:t>
      </w:r>
      <w:r w:rsidRPr="00223755">
        <w:rPr>
          <w:b/>
          <w:bCs/>
        </w:rPr>
        <w:t>)</w:t>
      </w:r>
      <w:r>
        <w:t xml:space="preserve"> Representative immunofluorescence images of BV2 cells transfected with LV-</w:t>
      </w:r>
      <w:r>
        <w:rPr>
          <w:i/>
          <w:iCs/>
        </w:rPr>
        <w:t>Nr4a1</w:t>
      </w:r>
      <w:r>
        <w:t xml:space="preserve"> at different MOI. Scale bar</w:t>
      </w:r>
      <w:r w:rsidR="00223755">
        <w:rPr>
          <w:rFonts w:eastAsia="等线" w:hint="eastAsia"/>
          <w:lang w:eastAsia="zh-CN"/>
        </w:rPr>
        <w:t xml:space="preserve"> </w:t>
      </w:r>
      <w:r>
        <w:t>=</w:t>
      </w:r>
      <w:r w:rsidR="00223755">
        <w:rPr>
          <w:rFonts w:eastAsia="等线" w:hint="eastAsia"/>
          <w:lang w:eastAsia="zh-CN"/>
        </w:rPr>
        <w:t xml:space="preserve"> </w:t>
      </w:r>
      <w:r>
        <w:t xml:space="preserve">40 μm. </w:t>
      </w:r>
      <w:r w:rsidRPr="00223755">
        <w:rPr>
          <w:b/>
          <w:bCs/>
        </w:rPr>
        <w:t>(</w:t>
      </w:r>
      <w:r w:rsidRPr="00223755">
        <w:rPr>
          <w:rFonts w:eastAsia="等线" w:hint="eastAsia"/>
          <w:b/>
          <w:bCs/>
          <w:lang w:eastAsia="zh-CN"/>
        </w:rPr>
        <w:t>b</w:t>
      </w:r>
      <w:r w:rsidRPr="00223755">
        <w:rPr>
          <w:b/>
          <w:bCs/>
        </w:rPr>
        <w:t>)</w:t>
      </w:r>
      <w:r>
        <w:t xml:space="preserve"> Representative light microscopy images showing the effects of different puromycin concentrations on BV2 cell viability. Scale bar</w:t>
      </w:r>
      <w:r w:rsidR="00223755">
        <w:rPr>
          <w:rFonts w:eastAsia="等线" w:hint="eastAsia"/>
          <w:lang w:eastAsia="zh-CN"/>
        </w:rPr>
        <w:t xml:space="preserve"> </w:t>
      </w:r>
      <w:r>
        <w:t>=</w:t>
      </w:r>
      <w:r w:rsidR="00223755">
        <w:rPr>
          <w:rFonts w:eastAsia="等线" w:hint="eastAsia"/>
          <w:lang w:eastAsia="zh-CN"/>
        </w:rPr>
        <w:t xml:space="preserve"> </w:t>
      </w:r>
      <w:r>
        <w:rPr>
          <w:rFonts w:eastAsia="等线" w:hint="eastAsia"/>
          <w:lang w:eastAsia="zh-CN"/>
        </w:rPr>
        <w:t>8</w:t>
      </w:r>
      <w:r>
        <w:t xml:space="preserve">0 μm. </w:t>
      </w:r>
      <w:r w:rsidRPr="00223755">
        <w:rPr>
          <w:b/>
          <w:bCs/>
        </w:rPr>
        <w:t>(</w:t>
      </w:r>
      <w:r w:rsidRPr="00223755">
        <w:rPr>
          <w:rFonts w:eastAsia="等线" w:hint="eastAsia"/>
          <w:b/>
          <w:bCs/>
          <w:lang w:eastAsia="zh-CN"/>
        </w:rPr>
        <w:t>c</w:t>
      </w:r>
      <w:r w:rsidRPr="00223755">
        <w:rPr>
          <w:b/>
          <w:bCs/>
        </w:rPr>
        <w:t>)</w:t>
      </w:r>
      <w:r>
        <w:t xml:space="preserve"> Immunofluorescence staining and transfection efficiency statistics of BV2 cells transduced with lentiviral vectors (</w:t>
      </w:r>
      <w:r w:rsidRPr="00223755">
        <w:rPr>
          <w:i/>
          <w:iCs/>
        </w:rPr>
        <w:t>n</w:t>
      </w:r>
      <w:r w:rsidR="00223755">
        <w:rPr>
          <w:rFonts w:eastAsia="等线" w:hint="eastAsia"/>
          <w:lang w:eastAsia="zh-CN"/>
        </w:rPr>
        <w:t xml:space="preserve"> </w:t>
      </w:r>
      <w:r>
        <w:t>=</w:t>
      </w:r>
      <w:r w:rsidR="00223755">
        <w:rPr>
          <w:rFonts w:eastAsia="等线" w:hint="eastAsia"/>
          <w:lang w:eastAsia="zh-CN"/>
        </w:rPr>
        <w:t xml:space="preserve"> </w:t>
      </w:r>
      <w:r>
        <w:t>3). Scale bar</w:t>
      </w:r>
      <w:r w:rsidR="00223755">
        <w:rPr>
          <w:rFonts w:eastAsia="等线" w:hint="eastAsia"/>
          <w:lang w:eastAsia="zh-CN"/>
        </w:rPr>
        <w:t xml:space="preserve"> </w:t>
      </w:r>
      <w:r>
        <w:t>=</w:t>
      </w:r>
      <w:r w:rsidR="00223755">
        <w:rPr>
          <w:rFonts w:eastAsia="等线" w:hint="eastAsia"/>
          <w:lang w:eastAsia="zh-CN"/>
        </w:rPr>
        <w:t xml:space="preserve"> </w:t>
      </w:r>
      <w:r>
        <w:t xml:space="preserve">40 μm. </w:t>
      </w:r>
      <w:r w:rsidRPr="00223755">
        <w:rPr>
          <w:b/>
          <w:bCs/>
        </w:rPr>
        <w:t>(</w:t>
      </w:r>
      <w:r w:rsidRPr="00223755">
        <w:rPr>
          <w:rFonts w:eastAsia="等线" w:hint="eastAsia"/>
          <w:b/>
          <w:bCs/>
          <w:lang w:eastAsia="zh-CN"/>
        </w:rPr>
        <w:t>d</w:t>
      </w:r>
      <w:r w:rsidRPr="00223755">
        <w:rPr>
          <w:b/>
          <w:bCs/>
        </w:rPr>
        <w:t>)</w:t>
      </w:r>
      <w:r>
        <w:t xml:space="preserve"> CCK-8 assay evaluating the effects of different LPS concentrations on BV2 cell viability (</w:t>
      </w:r>
      <w:r w:rsidRPr="00223755">
        <w:rPr>
          <w:i/>
          <w:iCs/>
        </w:rPr>
        <w:t>n</w:t>
      </w:r>
      <w:r w:rsidR="00223755">
        <w:rPr>
          <w:rFonts w:eastAsia="等线" w:hint="eastAsia"/>
          <w:i/>
          <w:iCs/>
          <w:lang w:eastAsia="zh-CN"/>
        </w:rPr>
        <w:t xml:space="preserve"> </w:t>
      </w:r>
      <w:r>
        <w:t>=</w:t>
      </w:r>
      <w:r w:rsidR="00223755">
        <w:rPr>
          <w:rFonts w:eastAsia="等线" w:hint="eastAsia"/>
          <w:lang w:eastAsia="zh-CN"/>
        </w:rPr>
        <w:t xml:space="preserve"> </w:t>
      </w:r>
      <w:r>
        <w:t xml:space="preserve">3). </w:t>
      </w:r>
      <w:r w:rsidRPr="00223755">
        <w:rPr>
          <w:b/>
          <w:bCs/>
        </w:rPr>
        <w:t>(</w:t>
      </w:r>
      <w:r w:rsidRPr="00223755">
        <w:rPr>
          <w:rFonts w:eastAsia="等线" w:hint="eastAsia"/>
          <w:b/>
          <w:bCs/>
          <w:lang w:eastAsia="zh-CN"/>
        </w:rPr>
        <w:t>e</w:t>
      </w:r>
      <w:r w:rsidRPr="00223755">
        <w:rPr>
          <w:b/>
          <w:bCs/>
        </w:rPr>
        <w:t>)</w:t>
      </w:r>
      <w:r>
        <w:t xml:space="preserve"> Morphological changes in BV2 cells treated with different LPS concentrations. Scale bar</w:t>
      </w:r>
      <w:r w:rsidR="00223755">
        <w:rPr>
          <w:rFonts w:eastAsia="等线" w:hint="eastAsia"/>
          <w:lang w:eastAsia="zh-CN"/>
        </w:rPr>
        <w:t xml:space="preserve"> </w:t>
      </w:r>
      <w:r>
        <w:t>=</w:t>
      </w:r>
      <w:r w:rsidR="00223755">
        <w:rPr>
          <w:rFonts w:eastAsia="等线" w:hint="eastAsia"/>
          <w:lang w:eastAsia="zh-CN"/>
        </w:rPr>
        <w:t xml:space="preserve"> </w:t>
      </w:r>
      <w:r>
        <w:t xml:space="preserve">40 μm. (Black arrows indicate BV2 cells with amoeboid morphology after LPS intervention). </w:t>
      </w:r>
      <w:r w:rsidRPr="00223755">
        <w:rPr>
          <w:b/>
          <w:bCs/>
        </w:rPr>
        <w:t>(</w:t>
      </w:r>
      <w:r w:rsidRPr="00223755">
        <w:rPr>
          <w:rFonts w:eastAsia="等线" w:hint="eastAsia"/>
          <w:b/>
          <w:bCs/>
          <w:lang w:eastAsia="zh-CN"/>
        </w:rPr>
        <w:t>f</w:t>
      </w:r>
      <w:r w:rsidRPr="00223755">
        <w:rPr>
          <w:b/>
          <w:bCs/>
        </w:rPr>
        <w:t>)</w:t>
      </w:r>
      <w:r>
        <w:t xml:space="preserve"> Flow cytometry analysis of CD86⁺ and CD206⁺ BV2 cells after treatment with different LPS concentrations. </w:t>
      </w:r>
      <w:r w:rsidRPr="00223755">
        <w:rPr>
          <w:b/>
          <w:bCs/>
        </w:rPr>
        <w:t>(</w:t>
      </w:r>
      <w:r w:rsidRPr="00223755">
        <w:rPr>
          <w:rFonts w:eastAsia="等线" w:hint="eastAsia"/>
          <w:b/>
          <w:bCs/>
          <w:lang w:eastAsia="zh-CN"/>
        </w:rPr>
        <w:t>g-m</w:t>
      </w:r>
      <w:r w:rsidRPr="00223755">
        <w:rPr>
          <w:b/>
          <w:bCs/>
        </w:rPr>
        <w:t>)</w:t>
      </w:r>
      <w:r>
        <w:t xml:space="preserve"> Protein expression levels of Nr4a1, TNF-α, IL-6, IL-1β, IL-4, and IL-10 analyzed using </w:t>
      </w:r>
      <w:r>
        <w:rPr>
          <w:rFonts w:hint="eastAsia"/>
        </w:rPr>
        <w:t>w</w:t>
      </w:r>
      <w:r>
        <w:t>estern blotting (</w:t>
      </w:r>
      <w:r w:rsidRPr="00223755">
        <w:rPr>
          <w:i/>
          <w:iCs/>
        </w:rPr>
        <w:t>n</w:t>
      </w:r>
      <w:r w:rsidR="00223755">
        <w:rPr>
          <w:rFonts w:eastAsia="等线" w:hint="eastAsia"/>
          <w:i/>
          <w:iCs/>
          <w:lang w:eastAsia="zh-CN"/>
        </w:rPr>
        <w:t xml:space="preserve"> </w:t>
      </w:r>
      <w:r>
        <w:t>=</w:t>
      </w:r>
      <w:r w:rsidR="00223755">
        <w:rPr>
          <w:rFonts w:eastAsia="等线" w:hint="eastAsia"/>
          <w:lang w:eastAsia="zh-CN"/>
        </w:rPr>
        <w:t xml:space="preserve"> </w:t>
      </w:r>
      <w:r>
        <w:t>6). Data are expressed as mean</w:t>
      </w:r>
      <w:r w:rsidR="00223755">
        <w:rPr>
          <w:rFonts w:eastAsia="等线" w:hint="eastAsia"/>
          <w:lang w:eastAsia="zh-CN"/>
        </w:rPr>
        <w:t xml:space="preserve"> </w:t>
      </w:r>
      <w:r>
        <w:t>±</w:t>
      </w:r>
      <w:r w:rsidR="00223755">
        <w:rPr>
          <w:rFonts w:eastAsia="等线" w:hint="eastAsia"/>
          <w:lang w:eastAsia="zh-CN"/>
        </w:rPr>
        <w:t xml:space="preserve"> </w:t>
      </w:r>
      <w:r>
        <w:t xml:space="preserve">SD. </w:t>
      </w:r>
      <w:r>
        <w:rPr>
          <w:vertAlign w:val="superscript"/>
        </w:rPr>
        <w:t>**</w:t>
      </w:r>
      <w:r>
        <w:rPr>
          <w:i/>
          <w:iCs/>
        </w:rPr>
        <w:t>P</w:t>
      </w:r>
      <w:r w:rsidR="00223755">
        <w:rPr>
          <w:rFonts w:eastAsia="等线" w:hint="eastAsia"/>
          <w:i/>
          <w:iCs/>
          <w:lang w:eastAsia="zh-CN"/>
        </w:rPr>
        <w:t xml:space="preserve"> </w:t>
      </w:r>
      <w:r>
        <w:t>&lt;</w:t>
      </w:r>
      <w:r w:rsidR="00223755">
        <w:rPr>
          <w:rFonts w:eastAsia="等线" w:hint="eastAsia"/>
          <w:lang w:eastAsia="zh-CN"/>
        </w:rPr>
        <w:t xml:space="preserve"> </w:t>
      </w:r>
      <w:r>
        <w:t xml:space="preserve">0.01, </w:t>
      </w:r>
      <w:r>
        <w:rPr>
          <w:vertAlign w:val="superscript"/>
        </w:rPr>
        <w:t>***</w:t>
      </w:r>
      <w:r>
        <w:rPr>
          <w:i/>
          <w:iCs/>
        </w:rPr>
        <w:t>P</w:t>
      </w:r>
      <w:r w:rsidR="00223755">
        <w:rPr>
          <w:rFonts w:eastAsia="等线" w:hint="eastAsia"/>
          <w:i/>
          <w:iCs/>
          <w:lang w:eastAsia="zh-CN"/>
        </w:rPr>
        <w:t xml:space="preserve"> </w:t>
      </w:r>
      <w:r>
        <w:t>&lt;</w:t>
      </w:r>
      <w:r w:rsidR="00223755">
        <w:rPr>
          <w:rFonts w:eastAsia="等线" w:hint="eastAsia"/>
          <w:lang w:eastAsia="zh-CN"/>
        </w:rPr>
        <w:t xml:space="preserve"> </w:t>
      </w:r>
      <w:r>
        <w:t>0.001.</w:t>
      </w:r>
      <w:r>
        <w:br w:type="page"/>
      </w:r>
    </w:p>
    <w:p w14:paraId="3C105846" w14:textId="77777777" w:rsidR="00210785" w:rsidRDefault="00000000">
      <w:pPr>
        <w:pStyle w:val="Acknowledgements"/>
        <w:spacing w:line="480" w:lineRule="auto"/>
        <w:jc w:val="both"/>
        <w:rPr>
          <w:rFonts w:eastAsia="等线"/>
          <w:lang w:eastAsia="zh-CN"/>
        </w:rPr>
      </w:pPr>
      <w:r>
        <w:rPr>
          <w:rFonts w:eastAsia="等线"/>
          <w:noProof/>
          <w:lang w:eastAsia="zh-CN"/>
        </w:rPr>
        <w:lastRenderedPageBreak/>
        <w:drawing>
          <wp:inline distT="0" distB="0" distL="0" distR="0" wp14:anchorId="64D8185D" wp14:editId="512B896A">
            <wp:extent cx="5943600" cy="3324225"/>
            <wp:effectExtent l="0" t="0" r="0" b="9525"/>
            <wp:docPr id="4144012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01257" name="图片 7"/>
                    <pic:cNvPicPr>
                      <a:picLocks noChangeAspect="1"/>
                    </pic:cNvPicPr>
                  </pic:nvPicPr>
                  <pic:blipFill>
                    <a:blip r:embed="rId15"/>
                    <a:stretch>
                      <a:fillRect/>
                    </a:stretch>
                  </pic:blipFill>
                  <pic:spPr>
                    <a:xfrm>
                      <a:off x="0" y="0"/>
                      <a:ext cx="5943600" cy="3324225"/>
                    </a:xfrm>
                    <a:prstGeom prst="rect">
                      <a:avLst/>
                    </a:prstGeom>
                  </pic:spPr>
                </pic:pic>
              </a:graphicData>
            </a:graphic>
          </wp:inline>
        </w:drawing>
      </w:r>
    </w:p>
    <w:p w14:paraId="5A175B1B" w14:textId="3DC8C968" w:rsidR="00210785" w:rsidRDefault="00000000">
      <w:pPr>
        <w:pStyle w:val="Acknowledgements"/>
        <w:spacing w:line="480" w:lineRule="auto"/>
        <w:jc w:val="both"/>
        <w:rPr>
          <w:rFonts w:eastAsia="Times New Roman"/>
        </w:rPr>
      </w:pPr>
      <w:r>
        <w:rPr>
          <w:rFonts w:hint="eastAsia"/>
        </w:rPr>
        <w:t xml:space="preserve">Supplementary Figure </w:t>
      </w:r>
      <w:r>
        <w:rPr>
          <w:rFonts w:eastAsia="等线" w:hint="eastAsia"/>
          <w:lang w:eastAsia="zh-CN"/>
        </w:rPr>
        <w:t>8</w:t>
      </w:r>
      <w:r>
        <w:rPr>
          <w:rFonts w:hint="eastAsia"/>
        </w:rPr>
        <w:t>.</w:t>
      </w:r>
      <w:r>
        <w:rPr>
          <w:rFonts w:eastAsia="等线" w:hint="eastAsia"/>
          <w:lang w:eastAsia="zh-CN"/>
        </w:rPr>
        <w:t xml:space="preserve"> </w:t>
      </w:r>
      <w:r>
        <w:rPr>
          <w:rFonts w:eastAsia="等线"/>
          <w:lang w:eastAsia="zh-CN"/>
        </w:rPr>
        <w:t xml:space="preserve">Effect of </w:t>
      </w:r>
      <w:r>
        <w:rPr>
          <w:rFonts w:eastAsia="等线"/>
          <w:i/>
          <w:iCs/>
          <w:lang w:eastAsia="zh-CN"/>
        </w:rPr>
        <w:t>Nr4a1</w:t>
      </w:r>
      <w:r>
        <w:rPr>
          <w:rFonts w:eastAsia="等线"/>
          <w:lang w:eastAsia="zh-CN"/>
        </w:rPr>
        <w:t xml:space="preserve"> overexpression on hippocampal synaptic ultrastructure in TN rats</w:t>
      </w:r>
      <w:r>
        <w:rPr>
          <w:rFonts w:eastAsia="等线" w:hint="eastAsia"/>
          <w:lang w:eastAsia="zh-CN"/>
        </w:rPr>
        <w:t xml:space="preserve">. </w:t>
      </w:r>
      <w:r w:rsidRPr="00223755">
        <w:rPr>
          <w:rFonts w:eastAsia="Times New Roman"/>
          <w:b/>
          <w:bCs/>
        </w:rPr>
        <w:t>(</w:t>
      </w:r>
      <w:r w:rsidRPr="00223755">
        <w:rPr>
          <w:rFonts w:eastAsia="等线" w:hint="eastAsia"/>
          <w:b/>
          <w:bCs/>
          <w:lang w:eastAsia="zh-CN"/>
        </w:rPr>
        <w:t>a</w:t>
      </w:r>
      <w:r w:rsidRPr="00223755">
        <w:rPr>
          <w:rFonts w:eastAsia="Times New Roman"/>
          <w:b/>
          <w:bCs/>
        </w:rPr>
        <w:t>-</w:t>
      </w:r>
      <w:r w:rsidRPr="00223755">
        <w:rPr>
          <w:rFonts w:eastAsia="等线" w:hint="eastAsia"/>
          <w:b/>
          <w:bCs/>
          <w:lang w:eastAsia="zh-CN"/>
        </w:rPr>
        <w:t>d</w:t>
      </w:r>
      <w:r w:rsidRPr="00223755">
        <w:rPr>
          <w:rFonts w:eastAsia="Times New Roman"/>
          <w:b/>
          <w:bCs/>
        </w:rPr>
        <w:t>)</w:t>
      </w:r>
      <w:r>
        <w:rPr>
          <w:rFonts w:eastAsia="Times New Roman"/>
        </w:rPr>
        <w:t xml:space="preserve"> TEM images of hippocampal synaptic structures and measurements of PSD thickness (orange arrows indicate synaptic structures) (</w:t>
      </w:r>
      <w:r w:rsidRPr="00223755">
        <w:rPr>
          <w:rFonts w:eastAsia="Times New Roman"/>
          <w:i/>
          <w:iCs/>
        </w:rPr>
        <w:t>n</w:t>
      </w:r>
      <w:r w:rsidR="00223755">
        <w:rPr>
          <w:rFonts w:eastAsia="等线" w:hint="eastAsia"/>
          <w:i/>
          <w:iCs/>
          <w:lang w:eastAsia="zh-CN"/>
        </w:rPr>
        <w:t xml:space="preserve"> </w:t>
      </w:r>
      <w:r>
        <w:rPr>
          <w:rFonts w:eastAsia="Times New Roman"/>
        </w:rPr>
        <w:t>=</w:t>
      </w:r>
      <w:r w:rsidR="00223755">
        <w:rPr>
          <w:rFonts w:eastAsia="等线" w:hint="eastAsia"/>
          <w:lang w:eastAsia="zh-CN"/>
        </w:rPr>
        <w:t xml:space="preserve"> </w:t>
      </w:r>
      <w:r>
        <w:rPr>
          <w:rFonts w:eastAsia="Times New Roman"/>
        </w:rPr>
        <w:t>3). Scale bar=500 nm.</w:t>
      </w:r>
      <w:r>
        <w:rPr>
          <w:rFonts w:eastAsia="等线" w:hint="eastAsia"/>
          <w:lang w:eastAsia="zh-CN"/>
        </w:rPr>
        <w:t xml:space="preserve"> </w:t>
      </w:r>
      <w:r>
        <w:rPr>
          <w:rFonts w:eastAsia="Times New Roman"/>
        </w:rPr>
        <w:t>Data are expressed as mean</w:t>
      </w:r>
      <w:r w:rsidR="006B0445">
        <w:rPr>
          <w:rFonts w:eastAsia="等线" w:hint="eastAsia"/>
          <w:lang w:eastAsia="zh-CN"/>
        </w:rPr>
        <w:t xml:space="preserve"> </w:t>
      </w:r>
      <w:r>
        <w:rPr>
          <w:rFonts w:eastAsia="Times New Roman"/>
        </w:rPr>
        <w:t>±</w:t>
      </w:r>
      <w:r w:rsidR="006B0445">
        <w:rPr>
          <w:rFonts w:eastAsia="等线" w:hint="eastAsia"/>
          <w:lang w:eastAsia="zh-CN"/>
        </w:rPr>
        <w:t xml:space="preserve"> </w:t>
      </w:r>
      <w:r>
        <w:rPr>
          <w:rFonts w:eastAsia="Times New Roman"/>
        </w:rPr>
        <w:t xml:space="preserve">SD. </w:t>
      </w:r>
      <w:r>
        <w:rPr>
          <w:rFonts w:eastAsia="Times New Roman"/>
          <w:vertAlign w:val="superscript"/>
        </w:rPr>
        <w:t>**</w:t>
      </w:r>
      <w:r>
        <w:rPr>
          <w:rFonts w:eastAsia="Times New Roman"/>
          <w:i/>
        </w:rPr>
        <w:t>P</w:t>
      </w:r>
      <w:r w:rsidR="006B0445">
        <w:rPr>
          <w:rFonts w:eastAsia="等线" w:hint="eastAsia"/>
          <w:i/>
          <w:lang w:eastAsia="zh-CN"/>
        </w:rPr>
        <w:t xml:space="preserve"> </w:t>
      </w:r>
      <w:r>
        <w:rPr>
          <w:rFonts w:eastAsia="Times New Roman"/>
        </w:rPr>
        <w:t>&lt;</w:t>
      </w:r>
      <w:r w:rsidR="006B0445">
        <w:rPr>
          <w:rFonts w:eastAsia="等线" w:hint="eastAsia"/>
          <w:lang w:eastAsia="zh-CN"/>
        </w:rPr>
        <w:t xml:space="preserve"> </w:t>
      </w:r>
      <w:r>
        <w:rPr>
          <w:rFonts w:eastAsia="Times New Roman"/>
        </w:rPr>
        <w:t xml:space="preserve">0.01, </w:t>
      </w:r>
      <w:r>
        <w:rPr>
          <w:rFonts w:eastAsia="Times New Roman"/>
          <w:vertAlign w:val="superscript"/>
        </w:rPr>
        <w:t>***</w:t>
      </w:r>
      <w:r>
        <w:rPr>
          <w:rFonts w:eastAsia="Times New Roman"/>
          <w:i/>
        </w:rPr>
        <w:t>P</w:t>
      </w:r>
      <w:r w:rsidR="006B0445">
        <w:rPr>
          <w:rFonts w:eastAsia="等线" w:hint="eastAsia"/>
          <w:i/>
          <w:lang w:eastAsia="zh-CN"/>
        </w:rPr>
        <w:t xml:space="preserve"> </w:t>
      </w:r>
      <w:r>
        <w:rPr>
          <w:rFonts w:eastAsia="Times New Roman"/>
        </w:rPr>
        <w:t>&lt;</w:t>
      </w:r>
      <w:r w:rsidR="006B0445">
        <w:rPr>
          <w:rFonts w:eastAsia="等线" w:hint="eastAsia"/>
          <w:lang w:eastAsia="zh-CN"/>
        </w:rPr>
        <w:t xml:space="preserve"> </w:t>
      </w:r>
      <w:r>
        <w:rPr>
          <w:rFonts w:eastAsia="Times New Roman"/>
        </w:rPr>
        <w:t>0.001.</w:t>
      </w:r>
    </w:p>
    <w:p w14:paraId="4D0F074E" w14:textId="77777777" w:rsidR="00210785" w:rsidRDefault="00000000">
      <w:pPr>
        <w:spacing w:after="0" w:line="240" w:lineRule="auto"/>
        <w:rPr>
          <w:rFonts w:ascii="Times New Roman" w:eastAsia="Times New Roman" w:hAnsi="Times New Roman" w:cs="Times New Roman"/>
          <w:kern w:val="0"/>
          <w:lang w:eastAsia="ja-JP"/>
          <w14:ligatures w14:val="none"/>
        </w:rPr>
      </w:pPr>
      <w:r>
        <w:rPr>
          <w:rFonts w:eastAsia="Times New Roman"/>
        </w:rPr>
        <w:br w:type="page"/>
      </w:r>
    </w:p>
    <w:p w14:paraId="549815C6" w14:textId="77777777" w:rsidR="00210785" w:rsidRDefault="00000000">
      <w:pPr>
        <w:pStyle w:val="Acknowledgements"/>
        <w:spacing w:line="480" w:lineRule="auto"/>
        <w:jc w:val="center"/>
        <w:rPr>
          <w:b/>
          <w:bCs/>
        </w:rPr>
      </w:pPr>
      <w:r>
        <w:rPr>
          <w:b/>
          <w:bCs/>
          <w:noProof/>
        </w:rPr>
        <w:lastRenderedPageBreak/>
        <w:drawing>
          <wp:inline distT="0" distB="0" distL="0" distR="0" wp14:anchorId="0E439B5A" wp14:editId="52AB7821">
            <wp:extent cx="5943600" cy="6866890"/>
            <wp:effectExtent l="0" t="0" r="0" b="0"/>
            <wp:docPr id="20030529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2940" name="图片 8"/>
                    <pic:cNvPicPr>
                      <a:picLocks noChangeAspect="1"/>
                    </pic:cNvPicPr>
                  </pic:nvPicPr>
                  <pic:blipFill>
                    <a:blip r:embed="rId16"/>
                    <a:stretch>
                      <a:fillRect/>
                    </a:stretch>
                  </pic:blipFill>
                  <pic:spPr>
                    <a:xfrm>
                      <a:off x="0" y="0"/>
                      <a:ext cx="5943600" cy="6866890"/>
                    </a:xfrm>
                    <a:prstGeom prst="rect">
                      <a:avLst/>
                    </a:prstGeom>
                  </pic:spPr>
                </pic:pic>
              </a:graphicData>
            </a:graphic>
          </wp:inline>
        </w:drawing>
      </w:r>
    </w:p>
    <w:p w14:paraId="69882FFC" w14:textId="3F83A6F0" w:rsidR="00210785" w:rsidRDefault="00000000">
      <w:pPr>
        <w:pStyle w:val="Acknowledgements"/>
        <w:spacing w:line="480" w:lineRule="auto"/>
        <w:jc w:val="both"/>
      </w:pPr>
      <w:r>
        <w:rPr>
          <w:rFonts w:hint="eastAsia"/>
        </w:rPr>
        <w:t xml:space="preserve">Supplementary Figure </w:t>
      </w:r>
      <w:r>
        <w:rPr>
          <w:rFonts w:eastAsia="等线" w:hint="eastAsia"/>
          <w:lang w:eastAsia="zh-CN"/>
        </w:rPr>
        <w:t>9</w:t>
      </w:r>
      <w:r>
        <w:rPr>
          <w:rFonts w:hint="eastAsia"/>
        </w:rPr>
        <w:t>.</w:t>
      </w:r>
      <w:r>
        <w:t xml:space="preserve"> </w:t>
      </w:r>
      <w:r>
        <w:rPr>
          <w:i/>
          <w:iCs/>
        </w:rPr>
        <w:t>Nr4a1</w:t>
      </w:r>
      <w:r>
        <w:t xml:space="preserve"> overexpression ameliorates cognitive deficits in TN rats. </w:t>
      </w:r>
      <w:r w:rsidRPr="006B0445">
        <w:rPr>
          <w:b/>
          <w:bCs/>
        </w:rPr>
        <w:t>(</w:t>
      </w:r>
      <w:r w:rsidRPr="006B0445">
        <w:rPr>
          <w:rFonts w:eastAsia="等线" w:hint="eastAsia"/>
          <w:b/>
          <w:bCs/>
          <w:lang w:eastAsia="zh-CN"/>
        </w:rPr>
        <w:t>a</w:t>
      </w:r>
      <w:r w:rsidRPr="006B0445">
        <w:rPr>
          <w:b/>
          <w:bCs/>
        </w:rPr>
        <w:t>)</w:t>
      </w:r>
      <w:r>
        <w:t xml:space="preserve"> Total distance traveled in the OFT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8). </w:t>
      </w:r>
      <w:r w:rsidRPr="006B0445">
        <w:rPr>
          <w:b/>
          <w:bCs/>
        </w:rPr>
        <w:t>(</w:t>
      </w:r>
      <w:r w:rsidRPr="006B0445">
        <w:rPr>
          <w:rFonts w:eastAsia="等线" w:hint="eastAsia"/>
          <w:b/>
          <w:bCs/>
          <w:lang w:eastAsia="zh-CN"/>
        </w:rPr>
        <w:t>b</w:t>
      </w:r>
      <w:r w:rsidRPr="006B0445">
        <w:rPr>
          <w:b/>
          <w:bCs/>
        </w:rPr>
        <w:t>)</w:t>
      </w:r>
      <w:r>
        <w:t xml:space="preserve"> Representative trajectory plots from the NORT. </w:t>
      </w:r>
      <w:r w:rsidRPr="006B0445">
        <w:rPr>
          <w:b/>
          <w:bCs/>
        </w:rPr>
        <w:t>(</w:t>
      </w:r>
      <w:r w:rsidRPr="006B0445">
        <w:rPr>
          <w:rFonts w:eastAsia="等线" w:hint="eastAsia"/>
          <w:b/>
          <w:bCs/>
          <w:lang w:eastAsia="zh-CN"/>
        </w:rPr>
        <w:t>c</w:t>
      </w:r>
      <w:r w:rsidRPr="006B0445">
        <w:rPr>
          <w:b/>
          <w:bCs/>
        </w:rPr>
        <w:t>)</w:t>
      </w:r>
      <w:r>
        <w:t xml:space="preserve"> Percentage of total area activity distance in the NORT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8). </w:t>
      </w:r>
      <w:r w:rsidRPr="006B0445">
        <w:rPr>
          <w:b/>
          <w:bCs/>
        </w:rPr>
        <w:t>(</w:t>
      </w:r>
      <w:r w:rsidRPr="006B0445">
        <w:rPr>
          <w:rFonts w:eastAsia="等线" w:hint="eastAsia"/>
          <w:b/>
          <w:bCs/>
          <w:lang w:eastAsia="zh-CN"/>
        </w:rPr>
        <w:t>d</w:t>
      </w:r>
      <w:r w:rsidRPr="006B0445">
        <w:rPr>
          <w:b/>
          <w:bCs/>
        </w:rPr>
        <w:t>)</w:t>
      </w:r>
      <w:r>
        <w:t xml:space="preserve"> </w:t>
      </w:r>
      <w:r>
        <w:rPr>
          <w:rFonts w:hint="eastAsia"/>
        </w:rPr>
        <w:t>Recognition</w:t>
      </w:r>
      <w:r>
        <w:t xml:space="preserve"> index in the NORT </w:t>
      </w:r>
      <w:r>
        <w:lastRenderedPageBreak/>
        <w:t>(</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8). </w:t>
      </w:r>
      <w:r w:rsidRPr="006B0445">
        <w:rPr>
          <w:b/>
          <w:bCs/>
        </w:rPr>
        <w:t>(</w:t>
      </w:r>
      <w:r w:rsidRPr="006B0445">
        <w:rPr>
          <w:rFonts w:eastAsia="等线" w:hint="eastAsia"/>
          <w:b/>
          <w:bCs/>
          <w:lang w:eastAsia="zh-CN"/>
        </w:rPr>
        <w:t>e</w:t>
      </w:r>
      <w:r w:rsidRPr="006B0445">
        <w:rPr>
          <w:b/>
          <w:bCs/>
        </w:rPr>
        <w:t>)</w:t>
      </w:r>
      <w:r>
        <w:t xml:space="preserve"> Representative trajectory plots from the MWMT. </w:t>
      </w:r>
      <w:r w:rsidRPr="006B0445">
        <w:rPr>
          <w:b/>
          <w:bCs/>
        </w:rPr>
        <w:t>(</w:t>
      </w:r>
      <w:r w:rsidRPr="006B0445">
        <w:rPr>
          <w:rFonts w:eastAsia="等线" w:hint="eastAsia"/>
          <w:b/>
          <w:bCs/>
          <w:lang w:eastAsia="zh-CN"/>
        </w:rPr>
        <w:t>f</w:t>
      </w:r>
      <w:r w:rsidRPr="006B0445">
        <w:rPr>
          <w:b/>
          <w:bCs/>
        </w:rPr>
        <w:t>)</w:t>
      </w:r>
      <w:r>
        <w:t xml:space="preserve"> Escape latency to reach the target platform in the MWMT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8). </w:t>
      </w:r>
      <w:r w:rsidRPr="006B0445">
        <w:rPr>
          <w:b/>
          <w:bCs/>
        </w:rPr>
        <w:t>(</w:t>
      </w:r>
      <w:r w:rsidRPr="006B0445">
        <w:rPr>
          <w:rFonts w:eastAsia="等线" w:hint="eastAsia"/>
          <w:b/>
          <w:bCs/>
          <w:lang w:eastAsia="zh-CN"/>
        </w:rPr>
        <w:t>g</w:t>
      </w:r>
      <w:r w:rsidRPr="006B0445">
        <w:rPr>
          <w:b/>
          <w:bCs/>
        </w:rPr>
        <w:t>)</w:t>
      </w:r>
      <w:r>
        <w:t xml:space="preserve"> Number of platform crossings in the MWMT (</w:t>
      </w:r>
      <w:r w:rsidRPr="006B0445">
        <w:rPr>
          <w:i/>
          <w:iCs/>
        </w:rPr>
        <w:t>n</w:t>
      </w:r>
      <w:r w:rsidR="006B0445">
        <w:rPr>
          <w:rFonts w:eastAsia="等线" w:hint="eastAsia"/>
          <w:lang w:eastAsia="zh-CN"/>
        </w:rPr>
        <w:t xml:space="preserve"> </w:t>
      </w:r>
      <w:r>
        <w:t>=</w:t>
      </w:r>
      <w:r w:rsidR="006B0445">
        <w:rPr>
          <w:rFonts w:eastAsia="等线" w:hint="eastAsia"/>
          <w:lang w:eastAsia="zh-CN"/>
        </w:rPr>
        <w:t xml:space="preserve"> </w:t>
      </w:r>
      <w:r>
        <w:t xml:space="preserve">8). </w:t>
      </w:r>
      <w:r w:rsidRPr="006B0445">
        <w:rPr>
          <w:b/>
          <w:bCs/>
        </w:rPr>
        <w:t>(</w:t>
      </w:r>
      <w:r w:rsidRPr="006B0445">
        <w:rPr>
          <w:rFonts w:eastAsia="等线" w:hint="eastAsia"/>
          <w:b/>
          <w:bCs/>
          <w:lang w:eastAsia="zh-CN"/>
        </w:rPr>
        <w:t>h</w:t>
      </w:r>
      <w:r w:rsidRPr="006B0445">
        <w:rPr>
          <w:b/>
          <w:bCs/>
        </w:rPr>
        <w:t>)</w:t>
      </w:r>
      <w:r>
        <w:t xml:space="preserve"> Time spent in the original platform area during the MWMT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8). Data are expressed as mean</w:t>
      </w:r>
      <w:r w:rsidR="006B0445">
        <w:rPr>
          <w:rFonts w:eastAsia="等线" w:hint="eastAsia"/>
          <w:lang w:eastAsia="zh-CN"/>
        </w:rPr>
        <w:t xml:space="preserve"> </w:t>
      </w:r>
      <w:r>
        <w:t>±</w:t>
      </w:r>
      <w:r w:rsidR="006B0445">
        <w:rPr>
          <w:rFonts w:eastAsia="等线" w:hint="eastAsia"/>
          <w:lang w:eastAsia="zh-CN"/>
        </w:rPr>
        <w:t xml:space="preserve"> </w:t>
      </w:r>
      <w:r>
        <w:t xml:space="preserve">SD.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0.05,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0.01,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0.001.</w:t>
      </w:r>
      <w:r>
        <w:br w:type="page"/>
      </w:r>
    </w:p>
    <w:p w14:paraId="28A5B555" w14:textId="77777777" w:rsidR="00210785" w:rsidRDefault="00000000">
      <w:pPr>
        <w:pStyle w:val="Acknowledgements"/>
        <w:spacing w:line="480" w:lineRule="auto"/>
        <w:jc w:val="center"/>
        <w:rPr>
          <w:b/>
          <w:bCs/>
        </w:rPr>
      </w:pPr>
      <w:r>
        <w:rPr>
          <w:b/>
          <w:bCs/>
          <w:noProof/>
        </w:rPr>
        <w:lastRenderedPageBreak/>
        <w:drawing>
          <wp:inline distT="0" distB="0" distL="0" distR="0" wp14:anchorId="172C58D1" wp14:editId="1B5800B3">
            <wp:extent cx="5107305" cy="8229600"/>
            <wp:effectExtent l="0" t="0" r="0" b="0"/>
            <wp:docPr id="645573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7365" name="图片 9"/>
                    <pic:cNvPicPr>
                      <a:picLocks noChangeAspect="1"/>
                    </pic:cNvPicPr>
                  </pic:nvPicPr>
                  <pic:blipFill>
                    <a:blip r:embed="rId17"/>
                    <a:stretch>
                      <a:fillRect/>
                    </a:stretch>
                  </pic:blipFill>
                  <pic:spPr>
                    <a:xfrm>
                      <a:off x="0" y="0"/>
                      <a:ext cx="5107305" cy="8229600"/>
                    </a:xfrm>
                    <a:prstGeom prst="rect">
                      <a:avLst/>
                    </a:prstGeom>
                  </pic:spPr>
                </pic:pic>
              </a:graphicData>
            </a:graphic>
          </wp:inline>
        </w:drawing>
      </w:r>
    </w:p>
    <w:p w14:paraId="782A4F19" w14:textId="4C48BCD7" w:rsidR="00210785" w:rsidRDefault="00000000">
      <w:pPr>
        <w:pStyle w:val="Acknowledgements"/>
        <w:spacing w:line="480" w:lineRule="auto"/>
        <w:jc w:val="both"/>
      </w:pPr>
      <w:r>
        <w:rPr>
          <w:rFonts w:hint="eastAsia"/>
        </w:rPr>
        <w:lastRenderedPageBreak/>
        <w:t xml:space="preserve">Supplementary Figure </w:t>
      </w:r>
      <w:r>
        <w:rPr>
          <w:rFonts w:eastAsia="等线" w:hint="eastAsia"/>
          <w:lang w:eastAsia="zh-CN"/>
        </w:rPr>
        <w:t>10</w:t>
      </w:r>
      <w:r>
        <w:rPr>
          <w:rFonts w:hint="eastAsia"/>
        </w:rPr>
        <w:t>.</w:t>
      </w:r>
      <w:r>
        <w:t xml:space="preserve"> Inhibition of the PI3K/Akt2 pathway reverses the effects of </w:t>
      </w:r>
      <w:r>
        <w:rPr>
          <w:rFonts w:eastAsia="等线" w:hint="eastAsia"/>
          <w:i/>
          <w:iCs/>
          <w:lang w:eastAsia="zh-CN"/>
        </w:rPr>
        <w:t>N</w:t>
      </w:r>
      <w:r>
        <w:rPr>
          <w:i/>
          <w:iCs/>
        </w:rPr>
        <w:t>r4a1</w:t>
      </w:r>
      <w:r>
        <w:t xml:space="preserve"> overexpression on microglial activation and its mediated neuroinflammation in the hippocampus of TN rats. </w:t>
      </w:r>
      <w:r w:rsidRPr="006B0445">
        <w:rPr>
          <w:b/>
          <w:bCs/>
        </w:rPr>
        <w:t>(</w:t>
      </w:r>
      <w:r w:rsidRPr="006B0445">
        <w:rPr>
          <w:rFonts w:eastAsia="等线" w:hint="eastAsia"/>
          <w:b/>
          <w:bCs/>
          <w:lang w:eastAsia="zh-CN"/>
        </w:rPr>
        <w:t>a-l</w:t>
      </w:r>
      <w:r w:rsidRPr="006B0445">
        <w:rPr>
          <w:b/>
          <w:bCs/>
        </w:rPr>
        <w:t>)</w:t>
      </w:r>
      <w:r>
        <w:t xml:space="preserve"> Representative immunofluorescence images and quantitative analysis of Iba1 expression, microglial number, and morphological changes in the hippocampus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4). Scale bar</w:t>
      </w:r>
      <w:r w:rsidR="006B0445">
        <w:rPr>
          <w:rFonts w:eastAsia="等线" w:hint="eastAsia"/>
          <w:lang w:eastAsia="zh-CN"/>
        </w:rPr>
        <w:t xml:space="preserve"> </w:t>
      </w:r>
      <w:r>
        <w:t>=</w:t>
      </w:r>
      <w:r w:rsidR="006B0445">
        <w:rPr>
          <w:rFonts w:eastAsia="等线" w:hint="eastAsia"/>
          <w:lang w:eastAsia="zh-CN"/>
        </w:rPr>
        <w:t xml:space="preserve"> </w:t>
      </w:r>
      <w:r>
        <w:t xml:space="preserve">20 μm. </w:t>
      </w:r>
      <w:r w:rsidRPr="006B0445">
        <w:rPr>
          <w:b/>
          <w:bCs/>
        </w:rPr>
        <w:t>(</w:t>
      </w:r>
      <w:r w:rsidRPr="006B0445">
        <w:rPr>
          <w:rFonts w:eastAsia="等线" w:hint="eastAsia"/>
          <w:b/>
          <w:bCs/>
          <w:lang w:eastAsia="zh-CN"/>
        </w:rPr>
        <w:t>m-s</w:t>
      </w:r>
      <w:r w:rsidRPr="006B0445">
        <w:rPr>
          <w:b/>
          <w:bCs/>
        </w:rPr>
        <w:t>)</w:t>
      </w:r>
      <w:r>
        <w:t xml:space="preserve"> Protein expression levels of Iba1, TNF-α, IL-6, IL-1β, IL-4, and IL-10 analyzed using </w:t>
      </w:r>
      <w:r>
        <w:rPr>
          <w:rFonts w:hint="eastAsia"/>
        </w:rPr>
        <w:t>w</w:t>
      </w:r>
      <w:r>
        <w:t>estern blotting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4). Data are expressed as mean</w:t>
      </w:r>
      <w:r w:rsidR="006B0445">
        <w:rPr>
          <w:rFonts w:eastAsia="等线" w:hint="eastAsia"/>
          <w:lang w:eastAsia="zh-CN"/>
        </w:rPr>
        <w:t xml:space="preserve"> </w:t>
      </w:r>
      <w:r>
        <w:t>±</w:t>
      </w:r>
      <w:r w:rsidR="006B0445">
        <w:rPr>
          <w:rFonts w:eastAsia="等线" w:hint="eastAsia"/>
          <w:lang w:eastAsia="zh-CN"/>
        </w:rPr>
        <w:t xml:space="preserve"> </w:t>
      </w:r>
      <w:r>
        <w:t xml:space="preserve">SD.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0.05,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0.01,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0.001.</w:t>
      </w:r>
    </w:p>
    <w:p w14:paraId="0A296E64" w14:textId="77777777" w:rsidR="00210785" w:rsidRDefault="00000000">
      <w:pPr>
        <w:spacing w:after="0" w:line="240" w:lineRule="auto"/>
        <w:rPr>
          <w:rFonts w:ascii="Times New Roman" w:eastAsia="等线" w:hAnsi="Times New Roman" w:cs="Times New Roman"/>
          <w:kern w:val="0"/>
          <w:lang w:eastAsia="zh-CN"/>
          <w14:ligatures w14:val="none"/>
        </w:rPr>
      </w:pPr>
      <w:r>
        <w:br w:type="page"/>
      </w:r>
    </w:p>
    <w:p w14:paraId="727CB2FD" w14:textId="77777777" w:rsidR="00210785" w:rsidRDefault="00000000">
      <w:pPr>
        <w:pStyle w:val="Acknowledgements"/>
        <w:spacing w:line="480" w:lineRule="auto"/>
        <w:jc w:val="center"/>
        <w:rPr>
          <w:b/>
          <w:bCs/>
        </w:rPr>
      </w:pPr>
      <w:r>
        <w:rPr>
          <w:b/>
          <w:bCs/>
          <w:noProof/>
        </w:rPr>
        <w:lastRenderedPageBreak/>
        <w:drawing>
          <wp:inline distT="0" distB="0" distL="0" distR="0" wp14:anchorId="1A1FA467" wp14:editId="4AF2C0EF">
            <wp:extent cx="5943600" cy="8172450"/>
            <wp:effectExtent l="0" t="0" r="0" b="0"/>
            <wp:docPr id="15973927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92766" name="图片 10"/>
                    <pic:cNvPicPr>
                      <a:picLocks noChangeAspect="1"/>
                    </pic:cNvPicPr>
                  </pic:nvPicPr>
                  <pic:blipFill>
                    <a:blip r:embed="rId18"/>
                    <a:stretch>
                      <a:fillRect/>
                    </a:stretch>
                  </pic:blipFill>
                  <pic:spPr>
                    <a:xfrm>
                      <a:off x="0" y="0"/>
                      <a:ext cx="5943600" cy="8172450"/>
                    </a:xfrm>
                    <a:prstGeom prst="rect">
                      <a:avLst/>
                    </a:prstGeom>
                  </pic:spPr>
                </pic:pic>
              </a:graphicData>
            </a:graphic>
          </wp:inline>
        </w:drawing>
      </w:r>
    </w:p>
    <w:p w14:paraId="34EB8ABF" w14:textId="4831838A" w:rsidR="00210785" w:rsidRDefault="00000000">
      <w:pPr>
        <w:pStyle w:val="Acknowledgements"/>
        <w:spacing w:line="480" w:lineRule="auto"/>
        <w:jc w:val="both"/>
        <w:rPr>
          <w:rFonts w:eastAsia="等线"/>
          <w:lang w:eastAsia="zh-CN"/>
        </w:rPr>
      </w:pPr>
      <w:r>
        <w:rPr>
          <w:rFonts w:hint="eastAsia"/>
        </w:rPr>
        <w:lastRenderedPageBreak/>
        <w:t xml:space="preserve">Supplementary Figure </w:t>
      </w:r>
      <w:r>
        <w:rPr>
          <w:rFonts w:eastAsia="等线" w:hint="eastAsia"/>
          <w:lang w:eastAsia="zh-CN"/>
        </w:rPr>
        <w:t>11</w:t>
      </w:r>
      <w:r>
        <w:rPr>
          <w:rFonts w:hint="eastAsia"/>
        </w:rPr>
        <w:t>.</w:t>
      </w:r>
      <w:r>
        <w:t xml:space="preserve"> Inhibition of the PI3K/Akt2 pathway reverses the effects of </w:t>
      </w:r>
      <w:r>
        <w:rPr>
          <w:i/>
          <w:iCs/>
        </w:rPr>
        <w:t>Nr4a1</w:t>
      </w:r>
      <w:r>
        <w:t xml:space="preserve"> overexpression on inflammation in BV2 cells. </w:t>
      </w:r>
      <w:r w:rsidRPr="006B0445">
        <w:rPr>
          <w:b/>
          <w:bCs/>
        </w:rPr>
        <w:t>(</w:t>
      </w:r>
      <w:r w:rsidRPr="006B0445">
        <w:rPr>
          <w:rFonts w:eastAsia="等线" w:hint="eastAsia"/>
          <w:b/>
          <w:bCs/>
          <w:lang w:eastAsia="zh-CN"/>
        </w:rPr>
        <w:t>a-d</w:t>
      </w:r>
      <w:r w:rsidRPr="006B0445">
        <w:rPr>
          <w:b/>
          <w:bCs/>
        </w:rPr>
        <w:t>)</w:t>
      </w:r>
      <w:r>
        <w:t xml:space="preserve"> Protein expression levels of p-PI3K, PI3K, p-Akt2, Akt2, p-mTOR, and mTOR in the hippocampus of rats from each group analyzed using </w:t>
      </w:r>
      <w:r>
        <w:rPr>
          <w:rFonts w:hint="eastAsia"/>
        </w:rPr>
        <w:t>w</w:t>
      </w:r>
      <w:r>
        <w:t>estern blotting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4). </w:t>
      </w:r>
      <w:r w:rsidRPr="006B0445">
        <w:rPr>
          <w:b/>
          <w:bCs/>
        </w:rPr>
        <w:t>(</w:t>
      </w:r>
      <w:r w:rsidRPr="006B0445">
        <w:rPr>
          <w:rFonts w:eastAsia="等线" w:hint="eastAsia"/>
          <w:b/>
          <w:bCs/>
          <w:lang w:eastAsia="zh-CN"/>
        </w:rPr>
        <w:t>e</w:t>
      </w:r>
      <w:r w:rsidRPr="006B0445">
        <w:rPr>
          <w:b/>
          <w:bCs/>
        </w:rPr>
        <w:t>)</w:t>
      </w:r>
      <w:r>
        <w:t xml:space="preserve"> Effects of different concentrations of LY294002 on BV2 cell viability assessed by CCK-8 assay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3). </w:t>
      </w:r>
      <w:r w:rsidRPr="006B0445">
        <w:rPr>
          <w:b/>
          <w:bCs/>
        </w:rPr>
        <w:t>(</w:t>
      </w:r>
      <w:r w:rsidRPr="006B0445">
        <w:rPr>
          <w:rFonts w:eastAsia="等线" w:hint="eastAsia"/>
          <w:b/>
          <w:bCs/>
          <w:lang w:eastAsia="zh-CN"/>
        </w:rPr>
        <w:t>f</w:t>
      </w:r>
      <w:r w:rsidRPr="006B0445">
        <w:rPr>
          <w:b/>
          <w:bCs/>
        </w:rPr>
        <w:t>)</w:t>
      </w:r>
      <w:r>
        <w:t xml:space="preserve"> Effects of different concentrations of LY294002 on p-PI3K protein expression in BV2 cells analyzed using </w:t>
      </w:r>
      <w:r>
        <w:rPr>
          <w:rFonts w:hint="eastAsia"/>
        </w:rPr>
        <w:t>w</w:t>
      </w:r>
      <w:r>
        <w:t>estern blotting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4). </w:t>
      </w:r>
      <w:r w:rsidRPr="006B0445">
        <w:rPr>
          <w:b/>
          <w:bCs/>
        </w:rPr>
        <w:t>(</w:t>
      </w:r>
      <w:r w:rsidRPr="006B0445">
        <w:rPr>
          <w:rFonts w:eastAsia="等线" w:hint="eastAsia"/>
          <w:b/>
          <w:bCs/>
          <w:lang w:eastAsia="zh-CN"/>
        </w:rPr>
        <w:t>g</w:t>
      </w:r>
      <w:r w:rsidRPr="006B0445">
        <w:rPr>
          <w:b/>
          <w:bCs/>
        </w:rPr>
        <w:t>)</w:t>
      </w:r>
      <w:r>
        <w:t xml:space="preserve"> Effects of different concentrations of MK-2206 on BV2 cell viability assessed by CCK-8 assay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3). </w:t>
      </w:r>
      <w:r w:rsidRPr="006B0445">
        <w:rPr>
          <w:b/>
          <w:bCs/>
        </w:rPr>
        <w:t>(</w:t>
      </w:r>
      <w:r w:rsidRPr="006B0445">
        <w:rPr>
          <w:rFonts w:eastAsia="等线" w:hint="eastAsia"/>
          <w:b/>
          <w:bCs/>
          <w:lang w:eastAsia="zh-CN"/>
        </w:rPr>
        <w:t>h</w:t>
      </w:r>
      <w:r w:rsidRPr="006B0445">
        <w:rPr>
          <w:b/>
          <w:bCs/>
        </w:rPr>
        <w:t>)</w:t>
      </w:r>
      <w:r>
        <w:t xml:space="preserve"> Effects of different concentrations of MK-2206 on p-Akt2 protein expression in BV2 cells analyzed using </w:t>
      </w:r>
      <w:r>
        <w:rPr>
          <w:rFonts w:hint="eastAsia"/>
        </w:rPr>
        <w:t>w</w:t>
      </w:r>
      <w:r>
        <w:t>estern blotting (</w:t>
      </w:r>
      <w:r w:rsidRPr="006B0445">
        <w:rPr>
          <w:i/>
          <w:iCs/>
        </w:rPr>
        <w:t>n</w:t>
      </w:r>
      <w:r w:rsidR="006B0445">
        <w:rPr>
          <w:rFonts w:eastAsia="等线" w:hint="eastAsia"/>
          <w:lang w:eastAsia="zh-CN"/>
        </w:rPr>
        <w:t xml:space="preserve"> </w:t>
      </w:r>
      <w:r>
        <w:t>=</w:t>
      </w:r>
      <w:r w:rsidR="006B0445">
        <w:rPr>
          <w:rFonts w:eastAsia="等线" w:hint="eastAsia"/>
          <w:lang w:eastAsia="zh-CN"/>
        </w:rPr>
        <w:t xml:space="preserve"> </w:t>
      </w:r>
      <w:r>
        <w:t xml:space="preserve">4). </w:t>
      </w:r>
      <w:r w:rsidRPr="006B0445">
        <w:rPr>
          <w:b/>
          <w:bCs/>
        </w:rPr>
        <w:t>(</w:t>
      </w:r>
      <w:r w:rsidRPr="006B0445">
        <w:rPr>
          <w:rFonts w:eastAsia="等线" w:hint="eastAsia"/>
          <w:b/>
          <w:bCs/>
          <w:lang w:eastAsia="zh-CN"/>
        </w:rPr>
        <w:t>i-l</w:t>
      </w:r>
      <w:r w:rsidRPr="006B0445">
        <w:rPr>
          <w:b/>
          <w:bCs/>
        </w:rPr>
        <w:t>)</w:t>
      </w:r>
      <w:r>
        <w:t xml:space="preserve"> Protein expression levels of p-PI3K, PI3K, p-Akt2, Akt2, p-mTOR, and mTOR analyzed using </w:t>
      </w:r>
      <w:r>
        <w:rPr>
          <w:rFonts w:hint="eastAsia"/>
        </w:rPr>
        <w:t>w</w:t>
      </w:r>
      <w:r>
        <w:t>estern blotting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4). </w:t>
      </w:r>
      <w:r w:rsidRPr="006B0445">
        <w:rPr>
          <w:b/>
          <w:bCs/>
        </w:rPr>
        <w:t>(</w:t>
      </w:r>
      <w:r w:rsidRPr="006B0445">
        <w:rPr>
          <w:rFonts w:eastAsia="等线" w:hint="eastAsia"/>
          <w:b/>
          <w:bCs/>
          <w:lang w:eastAsia="zh-CN"/>
        </w:rPr>
        <w:t>m-r</w:t>
      </w:r>
      <w:r w:rsidRPr="006B0445">
        <w:rPr>
          <w:b/>
          <w:bCs/>
        </w:rPr>
        <w:t>)</w:t>
      </w:r>
      <w:r>
        <w:t xml:space="preserve"> Protein expression levels of TNF-α, IL-6, IL-1β, IL-4, and IL-10 analyzed using </w:t>
      </w:r>
      <w:r>
        <w:rPr>
          <w:rFonts w:hint="eastAsia"/>
        </w:rPr>
        <w:t>w</w:t>
      </w:r>
      <w:r>
        <w:t>estern blotting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4). Data are expressed as mean</w:t>
      </w:r>
      <w:r w:rsidR="006B0445">
        <w:rPr>
          <w:rFonts w:eastAsia="等线" w:hint="eastAsia"/>
          <w:lang w:eastAsia="zh-CN"/>
        </w:rPr>
        <w:t xml:space="preserve"> </w:t>
      </w:r>
      <w:r>
        <w:t>±</w:t>
      </w:r>
      <w:r w:rsidR="006B0445">
        <w:rPr>
          <w:rFonts w:eastAsia="等线" w:hint="eastAsia"/>
          <w:lang w:eastAsia="zh-CN"/>
        </w:rPr>
        <w:t xml:space="preserve"> </w:t>
      </w:r>
      <w:r>
        <w:t xml:space="preserve">SD.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0.05,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0.01,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0.001.</w:t>
      </w:r>
      <w:r>
        <w:br w:type="page"/>
      </w:r>
    </w:p>
    <w:p w14:paraId="4B369E86" w14:textId="77777777" w:rsidR="00210785" w:rsidRDefault="00000000">
      <w:pPr>
        <w:pStyle w:val="Acknowledgements"/>
        <w:spacing w:line="480" w:lineRule="auto"/>
        <w:jc w:val="center"/>
        <w:rPr>
          <w:b/>
          <w:bCs/>
        </w:rPr>
      </w:pPr>
      <w:r>
        <w:rPr>
          <w:b/>
          <w:bCs/>
          <w:noProof/>
        </w:rPr>
        <w:lastRenderedPageBreak/>
        <w:drawing>
          <wp:inline distT="0" distB="0" distL="0" distR="0" wp14:anchorId="5DE06F88" wp14:editId="0623A507">
            <wp:extent cx="5768340" cy="8229600"/>
            <wp:effectExtent l="0" t="0" r="3810" b="0"/>
            <wp:docPr id="18830057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05700" name="图片 11"/>
                    <pic:cNvPicPr>
                      <a:picLocks noChangeAspect="1"/>
                    </pic:cNvPicPr>
                  </pic:nvPicPr>
                  <pic:blipFill>
                    <a:blip r:embed="rId19"/>
                    <a:stretch>
                      <a:fillRect/>
                    </a:stretch>
                  </pic:blipFill>
                  <pic:spPr>
                    <a:xfrm>
                      <a:off x="0" y="0"/>
                      <a:ext cx="5768340" cy="8229600"/>
                    </a:xfrm>
                    <a:prstGeom prst="rect">
                      <a:avLst/>
                    </a:prstGeom>
                  </pic:spPr>
                </pic:pic>
              </a:graphicData>
            </a:graphic>
          </wp:inline>
        </w:drawing>
      </w:r>
    </w:p>
    <w:p w14:paraId="096C4C0E" w14:textId="7DA13CAE" w:rsidR="00210785" w:rsidRDefault="00000000">
      <w:pPr>
        <w:pStyle w:val="Acknowledgements"/>
        <w:spacing w:line="480" w:lineRule="auto"/>
        <w:jc w:val="both"/>
      </w:pPr>
      <w:r>
        <w:rPr>
          <w:rFonts w:hint="eastAsia"/>
        </w:rPr>
        <w:lastRenderedPageBreak/>
        <w:t xml:space="preserve">Supplementary Figure </w:t>
      </w:r>
      <w:r>
        <w:rPr>
          <w:rFonts w:eastAsia="等线" w:hint="eastAsia"/>
          <w:lang w:eastAsia="zh-CN"/>
        </w:rPr>
        <w:t>12</w:t>
      </w:r>
      <w:r>
        <w:rPr>
          <w:rFonts w:hint="eastAsia"/>
        </w:rPr>
        <w:t>.</w:t>
      </w:r>
      <w:r>
        <w:t xml:space="preserve"> Inhibition of the PI3K/Akt2 pathway reverses the beneficial effects of </w:t>
      </w:r>
      <w:r>
        <w:rPr>
          <w:i/>
          <w:iCs/>
        </w:rPr>
        <w:t>Nr4a1</w:t>
      </w:r>
      <w:r>
        <w:t xml:space="preserve"> overexpression on neuronal autophagy and synaptic plasticity in the hippocampus of TN rats. </w:t>
      </w:r>
      <w:r w:rsidRPr="006B0445">
        <w:rPr>
          <w:b/>
          <w:bCs/>
        </w:rPr>
        <w:t>(</w:t>
      </w:r>
      <w:r w:rsidRPr="006B0445">
        <w:rPr>
          <w:rFonts w:eastAsia="等线" w:hint="eastAsia"/>
          <w:b/>
          <w:bCs/>
          <w:lang w:eastAsia="zh-CN"/>
        </w:rPr>
        <w:t>a</w:t>
      </w:r>
      <w:r w:rsidRPr="006B0445">
        <w:rPr>
          <w:b/>
          <w:bCs/>
        </w:rPr>
        <w:t>)</w:t>
      </w:r>
      <w:r>
        <w:t xml:space="preserve"> Representative TEM images of hippocampal neuronal ultrastructure (orange arrows indicate autophagosomes)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3). Scale bar</w:t>
      </w:r>
      <w:r w:rsidR="006B0445">
        <w:rPr>
          <w:rFonts w:eastAsia="等线" w:hint="eastAsia"/>
          <w:lang w:eastAsia="zh-CN"/>
        </w:rPr>
        <w:t xml:space="preserve"> </w:t>
      </w:r>
      <w:r>
        <w:t>=</w:t>
      </w:r>
      <w:r w:rsidR="006B0445">
        <w:rPr>
          <w:rFonts w:eastAsia="等线" w:hint="eastAsia"/>
          <w:lang w:eastAsia="zh-CN"/>
        </w:rPr>
        <w:t xml:space="preserve"> </w:t>
      </w:r>
      <w:r>
        <w:t xml:space="preserve">2 μm. </w:t>
      </w:r>
      <w:r w:rsidRPr="006B0445">
        <w:rPr>
          <w:b/>
          <w:bCs/>
        </w:rPr>
        <w:t>(</w:t>
      </w:r>
      <w:r w:rsidRPr="006B0445">
        <w:rPr>
          <w:rFonts w:eastAsia="等线" w:hint="eastAsia"/>
          <w:b/>
          <w:bCs/>
          <w:lang w:eastAsia="zh-CN"/>
        </w:rPr>
        <w:t>b-d</w:t>
      </w:r>
      <w:r w:rsidRPr="006B0445">
        <w:rPr>
          <w:b/>
          <w:bCs/>
        </w:rPr>
        <w:t>)</w:t>
      </w:r>
      <w:r>
        <w:t xml:space="preserve"> Protein expression levels of LC3-II and p62 analyzed using </w:t>
      </w:r>
      <w:r>
        <w:rPr>
          <w:rFonts w:hint="eastAsia"/>
        </w:rPr>
        <w:t>w</w:t>
      </w:r>
      <w:r>
        <w:t>estern blotting (</w:t>
      </w:r>
      <w:r w:rsidRPr="006B0445">
        <w:rPr>
          <w:i/>
          <w:iCs/>
        </w:rPr>
        <w:t>n</w:t>
      </w:r>
      <w:r w:rsidR="006B0445">
        <w:rPr>
          <w:rFonts w:eastAsia="等线" w:hint="eastAsia"/>
          <w:i/>
          <w:iCs/>
          <w:lang w:eastAsia="zh-CN"/>
        </w:rPr>
        <w:t xml:space="preserve"> </w:t>
      </w:r>
      <w:r>
        <w:t>=</w:t>
      </w:r>
      <w:r w:rsidR="006B0445">
        <w:rPr>
          <w:rFonts w:eastAsia="等线" w:hint="eastAsia"/>
          <w:lang w:eastAsia="zh-CN"/>
        </w:rPr>
        <w:t xml:space="preserve"> </w:t>
      </w:r>
      <w:r>
        <w:t xml:space="preserve">4). </w:t>
      </w:r>
      <w:r w:rsidRPr="006B0445">
        <w:rPr>
          <w:b/>
          <w:bCs/>
        </w:rPr>
        <w:t>(</w:t>
      </w:r>
      <w:r w:rsidRPr="006B0445">
        <w:rPr>
          <w:rFonts w:eastAsia="等线" w:hint="eastAsia"/>
          <w:b/>
          <w:bCs/>
          <w:lang w:eastAsia="zh-CN"/>
        </w:rPr>
        <w:t>e-j</w:t>
      </w:r>
      <w:r w:rsidRPr="006B0445">
        <w:rPr>
          <w:b/>
          <w:bCs/>
        </w:rPr>
        <w:t>)</w:t>
      </w:r>
      <w:r>
        <w:t xml:space="preserve"> Protein expression levels of BDNF, TrkB, SYN, and PSD95 analyzed using </w:t>
      </w:r>
      <w:r>
        <w:rPr>
          <w:rFonts w:hint="eastAsia"/>
        </w:rPr>
        <w:t>w</w:t>
      </w:r>
      <w:r>
        <w:t xml:space="preserve">estern blotting </w:t>
      </w:r>
      <w:r w:rsidRPr="006B0445">
        <w:t>(</w:t>
      </w:r>
      <w:r w:rsidRPr="006B0445">
        <w:rPr>
          <w:i/>
          <w:iCs/>
        </w:rPr>
        <w:t>n</w:t>
      </w:r>
      <w:r w:rsidR="006B0445">
        <w:rPr>
          <w:rFonts w:eastAsia="等线" w:hint="eastAsia"/>
          <w:i/>
          <w:iCs/>
          <w:lang w:eastAsia="zh-CN"/>
        </w:rPr>
        <w:t xml:space="preserve"> </w:t>
      </w:r>
      <w:r w:rsidRPr="006B0445">
        <w:t>=</w:t>
      </w:r>
      <w:r w:rsidR="006B0445">
        <w:rPr>
          <w:rFonts w:eastAsia="等线" w:hint="eastAsia"/>
          <w:lang w:eastAsia="zh-CN"/>
        </w:rPr>
        <w:t xml:space="preserve"> </w:t>
      </w:r>
      <w:r w:rsidRPr="006B0445">
        <w:t>4)</w:t>
      </w:r>
      <w:r>
        <w:t xml:space="preserve">. </w:t>
      </w:r>
      <w:r w:rsidRPr="006B0445">
        <w:rPr>
          <w:b/>
          <w:bCs/>
        </w:rPr>
        <w:t>(</w:t>
      </w:r>
      <w:r w:rsidRPr="006B0445">
        <w:rPr>
          <w:rFonts w:eastAsia="等线" w:hint="eastAsia"/>
          <w:b/>
          <w:bCs/>
          <w:lang w:eastAsia="zh-CN"/>
        </w:rPr>
        <w:t>k-n</w:t>
      </w:r>
      <w:r w:rsidRPr="006B0445">
        <w:rPr>
          <w:b/>
          <w:bCs/>
        </w:rPr>
        <w:t>)</w:t>
      </w:r>
      <w:r>
        <w:t xml:space="preserve"> TEM images of hippocampal synaptic structures and measurements of PSD thickness (orange arrows indicate synaptic structures) (</w:t>
      </w:r>
      <w:r w:rsidRPr="006B0445">
        <w:rPr>
          <w:i/>
          <w:iCs/>
        </w:rPr>
        <w:t>n</w:t>
      </w:r>
      <w:r w:rsidR="006B0445">
        <w:rPr>
          <w:rFonts w:eastAsia="等线" w:hint="eastAsia"/>
          <w:lang w:eastAsia="zh-CN"/>
        </w:rPr>
        <w:t xml:space="preserve"> </w:t>
      </w:r>
      <w:r>
        <w:t>=</w:t>
      </w:r>
      <w:r w:rsidR="006B0445">
        <w:rPr>
          <w:rFonts w:eastAsia="等线" w:hint="eastAsia"/>
          <w:lang w:eastAsia="zh-CN"/>
        </w:rPr>
        <w:t xml:space="preserve"> </w:t>
      </w:r>
      <w:r>
        <w:t>3). Scale bar</w:t>
      </w:r>
      <w:r w:rsidR="006B0445">
        <w:rPr>
          <w:rFonts w:eastAsia="等线" w:hint="eastAsia"/>
          <w:lang w:eastAsia="zh-CN"/>
        </w:rPr>
        <w:t xml:space="preserve"> </w:t>
      </w:r>
      <w:r>
        <w:t>=</w:t>
      </w:r>
      <w:r w:rsidR="006B0445">
        <w:rPr>
          <w:rFonts w:eastAsia="等线" w:hint="eastAsia"/>
          <w:lang w:eastAsia="zh-CN"/>
        </w:rPr>
        <w:t xml:space="preserve"> </w:t>
      </w:r>
      <w:r>
        <w:t xml:space="preserve">500 nm. </w:t>
      </w:r>
      <w:r w:rsidRPr="006B0445">
        <w:rPr>
          <w:b/>
          <w:bCs/>
        </w:rPr>
        <w:t>(</w:t>
      </w:r>
      <w:r w:rsidRPr="006B0445">
        <w:rPr>
          <w:rFonts w:eastAsia="等线" w:hint="eastAsia"/>
          <w:b/>
          <w:bCs/>
          <w:lang w:eastAsia="zh-CN"/>
        </w:rPr>
        <w:t>o</w:t>
      </w:r>
      <w:r w:rsidRPr="006B0445">
        <w:rPr>
          <w:b/>
          <w:bCs/>
        </w:rPr>
        <w:t>)</w:t>
      </w:r>
      <w:r>
        <w:t xml:space="preserve"> Representative </w:t>
      </w:r>
      <w:r w:rsidR="006B0445">
        <w:rPr>
          <w:rFonts w:eastAsia="等线" w:hint="eastAsia"/>
          <w:lang w:eastAsia="zh-CN"/>
        </w:rPr>
        <w:t>G</w:t>
      </w:r>
      <w:r>
        <w:t>olgi staining images of hippocampal dendritic spines (different arrow types indicate spine morphologies). Scale bar</w:t>
      </w:r>
      <w:r w:rsidR="006B0445">
        <w:rPr>
          <w:rFonts w:eastAsia="等线" w:hint="eastAsia"/>
          <w:lang w:eastAsia="zh-CN"/>
        </w:rPr>
        <w:t xml:space="preserve"> </w:t>
      </w:r>
      <w:r>
        <w:t>=</w:t>
      </w:r>
      <w:r w:rsidR="006B0445">
        <w:rPr>
          <w:rFonts w:eastAsia="等线" w:hint="eastAsia"/>
          <w:lang w:eastAsia="zh-CN"/>
        </w:rPr>
        <w:t xml:space="preserve"> </w:t>
      </w:r>
      <w:r>
        <w:t xml:space="preserve">10 μm. </w:t>
      </w:r>
      <w:r w:rsidRPr="006B0445">
        <w:rPr>
          <w:b/>
          <w:bCs/>
        </w:rPr>
        <w:t>(</w:t>
      </w:r>
      <w:r w:rsidRPr="006B0445">
        <w:rPr>
          <w:rFonts w:eastAsia="等线" w:hint="eastAsia"/>
          <w:b/>
          <w:bCs/>
          <w:lang w:eastAsia="zh-CN"/>
        </w:rPr>
        <w:t>p-x</w:t>
      </w:r>
      <w:r w:rsidRPr="006B0445">
        <w:rPr>
          <w:b/>
          <w:bCs/>
        </w:rPr>
        <w:t>)</w:t>
      </w:r>
      <w:r>
        <w:t xml:space="preserve"> Quantitative analysis of total dendritic spine density, mature spine density, and immature spine density in the hippocampus (</w:t>
      </w:r>
      <w:r w:rsidRPr="006B0445">
        <w:rPr>
          <w:i/>
          <w:iCs/>
        </w:rPr>
        <w:t>n</w:t>
      </w:r>
      <w:r w:rsidR="006B0445">
        <w:rPr>
          <w:rFonts w:eastAsia="等线" w:hint="eastAsia"/>
          <w:lang w:eastAsia="zh-CN"/>
        </w:rPr>
        <w:t xml:space="preserve"> </w:t>
      </w:r>
      <w:r>
        <w:t>=</w:t>
      </w:r>
      <w:r w:rsidR="006B0445">
        <w:rPr>
          <w:rFonts w:eastAsia="等线" w:hint="eastAsia"/>
          <w:lang w:eastAsia="zh-CN"/>
        </w:rPr>
        <w:t xml:space="preserve"> </w:t>
      </w:r>
      <w:r>
        <w:t>6). Data are expressed as mean</w:t>
      </w:r>
      <w:r w:rsidR="006B0445">
        <w:rPr>
          <w:rFonts w:eastAsia="等线" w:hint="eastAsia"/>
          <w:lang w:eastAsia="zh-CN"/>
        </w:rPr>
        <w:t xml:space="preserve"> </w:t>
      </w:r>
      <w:r>
        <w:t>±</w:t>
      </w:r>
      <w:r w:rsidR="006B0445">
        <w:rPr>
          <w:rFonts w:eastAsia="等线" w:hint="eastAsia"/>
          <w:lang w:eastAsia="zh-CN"/>
        </w:rPr>
        <w:t xml:space="preserve"> </w:t>
      </w:r>
      <w:r>
        <w:t xml:space="preserve">SD.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0.05,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 xml:space="preserve">0.01, </w:t>
      </w:r>
      <w:r>
        <w:rPr>
          <w:vertAlign w:val="superscript"/>
        </w:rPr>
        <w:t>***</w:t>
      </w:r>
      <w:r>
        <w:rPr>
          <w:i/>
          <w:iCs/>
        </w:rPr>
        <w:t>P</w:t>
      </w:r>
      <w:r w:rsidR="006B0445">
        <w:rPr>
          <w:rFonts w:eastAsia="等线" w:hint="eastAsia"/>
          <w:i/>
          <w:iCs/>
          <w:lang w:eastAsia="zh-CN"/>
        </w:rPr>
        <w:t xml:space="preserve"> </w:t>
      </w:r>
      <w:r>
        <w:t>&lt;</w:t>
      </w:r>
      <w:r w:rsidR="006B0445">
        <w:rPr>
          <w:rFonts w:eastAsia="等线" w:hint="eastAsia"/>
          <w:lang w:eastAsia="zh-CN"/>
        </w:rPr>
        <w:t xml:space="preserve"> </w:t>
      </w:r>
      <w:r>
        <w:t>0.001.</w:t>
      </w:r>
    </w:p>
    <w:p w14:paraId="1AAE729B" w14:textId="77777777" w:rsidR="00210785" w:rsidRDefault="00000000">
      <w:pPr>
        <w:spacing w:after="0" w:line="240" w:lineRule="auto"/>
        <w:rPr>
          <w:rFonts w:ascii="Times New Roman" w:eastAsia="等线" w:hAnsi="Times New Roman" w:cs="Times New Roman"/>
          <w:kern w:val="0"/>
          <w:lang w:eastAsia="zh-CN"/>
          <w14:ligatures w14:val="none"/>
        </w:rPr>
      </w:pPr>
      <w:r>
        <w:br w:type="page"/>
      </w:r>
    </w:p>
    <w:p w14:paraId="316F5CA8" w14:textId="77777777" w:rsidR="00210785" w:rsidRDefault="00000000">
      <w:pPr>
        <w:pStyle w:val="Acknowledgements"/>
        <w:spacing w:line="480" w:lineRule="auto"/>
        <w:jc w:val="center"/>
        <w:rPr>
          <w:b/>
          <w:bCs/>
        </w:rPr>
      </w:pPr>
      <w:r>
        <w:rPr>
          <w:b/>
          <w:bCs/>
          <w:noProof/>
        </w:rPr>
        <w:lastRenderedPageBreak/>
        <w:drawing>
          <wp:inline distT="0" distB="0" distL="0" distR="0" wp14:anchorId="207EB13F" wp14:editId="37627E1A">
            <wp:extent cx="5943600" cy="7385685"/>
            <wp:effectExtent l="0" t="0" r="0" b="5715"/>
            <wp:docPr id="16918534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53416" name="图片 12"/>
                    <pic:cNvPicPr>
                      <a:picLocks noChangeAspect="1"/>
                    </pic:cNvPicPr>
                  </pic:nvPicPr>
                  <pic:blipFill>
                    <a:blip r:embed="rId20"/>
                    <a:stretch>
                      <a:fillRect/>
                    </a:stretch>
                  </pic:blipFill>
                  <pic:spPr>
                    <a:xfrm>
                      <a:off x="0" y="0"/>
                      <a:ext cx="5943600" cy="7385685"/>
                    </a:xfrm>
                    <a:prstGeom prst="rect">
                      <a:avLst/>
                    </a:prstGeom>
                  </pic:spPr>
                </pic:pic>
              </a:graphicData>
            </a:graphic>
          </wp:inline>
        </w:drawing>
      </w:r>
    </w:p>
    <w:p w14:paraId="1842634A" w14:textId="7E63501D" w:rsidR="00210785" w:rsidRDefault="00000000">
      <w:pPr>
        <w:pStyle w:val="Acknowledgements"/>
        <w:spacing w:line="480" w:lineRule="auto"/>
        <w:jc w:val="both"/>
      </w:pPr>
      <w:r>
        <w:rPr>
          <w:rFonts w:hint="eastAsia"/>
        </w:rPr>
        <w:t xml:space="preserve">Supplementary Figure </w:t>
      </w:r>
      <w:r>
        <w:rPr>
          <w:rFonts w:eastAsia="等线" w:hint="eastAsia"/>
          <w:lang w:eastAsia="zh-CN"/>
        </w:rPr>
        <w:t>13</w:t>
      </w:r>
      <w:r>
        <w:rPr>
          <w:rFonts w:hint="eastAsia"/>
        </w:rPr>
        <w:t>.</w:t>
      </w:r>
      <w:r>
        <w:t xml:space="preserve"> Inhibition of the PI3K/Akt2 pathway reverses the beneficial effects of </w:t>
      </w:r>
      <w:r>
        <w:rPr>
          <w:i/>
          <w:iCs/>
        </w:rPr>
        <w:t>Nr4a1</w:t>
      </w:r>
      <w:r>
        <w:t xml:space="preserve"> overexpression on autophagy and synaptic plasticity in HT22 cells. </w:t>
      </w:r>
      <w:r w:rsidRPr="006B0445">
        <w:rPr>
          <w:b/>
          <w:bCs/>
        </w:rPr>
        <w:t>(</w:t>
      </w:r>
      <w:r w:rsidRPr="006B0445">
        <w:rPr>
          <w:rFonts w:eastAsia="等线" w:hint="eastAsia"/>
          <w:b/>
          <w:bCs/>
          <w:lang w:eastAsia="zh-CN"/>
        </w:rPr>
        <w:t>a</w:t>
      </w:r>
      <w:r w:rsidRPr="006B0445">
        <w:rPr>
          <w:b/>
          <w:bCs/>
        </w:rPr>
        <w:t>)</w:t>
      </w:r>
      <w:r>
        <w:t xml:space="preserve"> Experimental design </w:t>
      </w:r>
      <w:r>
        <w:lastRenderedPageBreak/>
        <w:t xml:space="preserve">for HT22 cell treatments. </w:t>
      </w:r>
      <w:r w:rsidRPr="006B0445">
        <w:rPr>
          <w:b/>
          <w:bCs/>
        </w:rPr>
        <w:t>(</w:t>
      </w:r>
      <w:r w:rsidRPr="006B0445">
        <w:rPr>
          <w:rFonts w:eastAsia="等线" w:hint="eastAsia"/>
          <w:b/>
          <w:bCs/>
          <w:lang w:eastAsia="zh-CN"/>
        </w:rPr>
        <w:t>b-d</w:t>
      </w:r>
      <w:r w:rsidRPr="006B0445">
        <w:rPr>
          <w:b/>
          <w:bCs/>
        </w:rPr>
        <w:t>)</w:t>
      </w:r>
      <w:r>
        <w:t xml:space="preserve"> Protein expression levels of LC3-II and p62 analyzed using </w:t>
      </w:r>
      <w:r>
        <w:rPr>
          <w:rFonts w:hint="eastAsia"/>
        </w:rPr>
        <w:t>w</w:t>
      </w:r>
      <w:r>
        <w:t>estern blotting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4). </w:t>
      </w:r>
      <w:r w:rsidRPr="006B0445">
        <w:rPr>
          <w:b/>
          <w:bCs/>
        </w:rPr>
        <w:t>(</w:t>
      </w:r>
      <w:r w:rsidRPr="006B0445">
        <w:rPr>
          <w:rFonts w:eastAsia="等线" w:hint="eastAsia"/>
          <w:b/>
          <w:bCs/>
          <w:lang w:eastAsia="zh-CN"/>
        </w:rPr>
        <w:t>e-j</w:t>
      </w:r>
      <w:r w:rsidRPr="006B0445">
        <w:rPr>
          <w:b/>
          <w:bCs/>
        </w:rPr>
        <w:t>)</w:t>
      </w:r>
      <w:r>
        <w:t xml:space="preserve"> Protein expression levels of BDNF, TrkB, SYN, and PSD95 analyzed using </w:t>
      </w:r>
      <w:r>
        <w:rPr>
          <w:rFonts w:hint="eastAsia"/>
        </w:rPr>
        <w:t>w</w:t>
      </w:r>
      <w:r>
        <w:t>estern blotting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4). </w:t>
      </w:r>
      <w:r w:rsidRPr="009B58E7">
        <w:rPr>
          <w:b/>
          <w:bCs/>
        </w:rPr>
        <w:t>(</w:t>
      </w:r>
      <w:r w:rsidRPr="009B58E7">
        <w:rPr>
          <w:rFonts w:eastAsia="等线" w:hint="eastAsia"/>
          <w:b/>
          <w:bCs/>
          <w:lang w:eastAsia="zh-CN"/>
        </w:rPr>
        <w:t>k-l</w:t>
      </w:r>
      <w:r w:rsidRPr="009B58E7">
        <w:rPr>
          <w:b/>
          <w:bCs/>
        </w:rPr>
        <w:t>)</w:t>
      </w:r>
      <w:r>
        <w:t xml:space="preserve"> Representative immunofluorescence images and quantitative analysis of PSD95 expression in HT22 cells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6). Scale bar</w:t>
      </w:r>
      <w:r w:rsidR="009B58E7">
        <w:rPr>
          <w:rFonts w:eastAsia="等线" w:hint="eastAsia"/>
          <w:lang w:eastAsia="zh-CN"/>
        </w:rPr>
        <w:t xml:space="preserve"> </w:t>
      </w:r>
      <w:r>
        <w:t>=</w:t>
      </w:r>
      <w:r w:rsidR="009B58E7">
        <w:rPr>
          <w:rFonts w:eastAsia="等线" w:hint="eastAsia"/>
          <w:lang w:eastAsia="zh-CN"/>
        </w:rPr>
        <w:t xml:space="preserve"> </w:t>
      </w:r>
      <w:r>
        <w:t>20 μm. Data are expressed as mean</w:t>
      </w:r>
      <w:r w:rsidR="009B58E7">
        <w:rPr>
          <w:rFonts w:eastAsia="等线" w:hint="eastAsia"/>
          <w:lang w:eastAsia="zh-CN"/>
        </w:rPr>
        <w:t xml:space="preserve"> </w:t>
      </w:r>
      <w:r>
        <w:t>±</w:t>
      </w:r>
      <w:r w:rsidR="009B58E7">
        <w:rPr>
          <w:rFonts w:eastAsia="等线" w:hint="eastAsia"/>
          <w:lang w:eastAsia="zh-CN"/>
        </w:rPr>
        <w:t xml:space="preserve"> </w:t>
      </w:r>
      <w:r>
        <w:t xml:space="preserve">SD. </w:t>
      </w:r>
      <w:r>
        <w:rPr>
          <w:vertAlign w:val="superscript"/>
        </w:rPr>
        <w:t>*</w:t>
      </w:r>
      <w:r>
        <w:rPr>
          <w:i/>
          <w:iCs/>
        </w:rPr>
        <w:t>P</w:t>
      </w:r>
      <w:r w:rsidR="009B58E7">
        <w:rPr>
          <w:rFonts w:eastAsia="等线" w:hint="eastAsia"/>
          <w:i/>
          <w:iCs/>
          <w:lang w:eastAsia="zh-CN"/>
        </w:rPr>
        <w:t xml:space="preserve"> </w:t>
      </w:r>
      <w:r>
        <w:t>&lt;</w:t>
      </w:r>
      <w:r w:rsidR="009B58E7">
        <w:rPr>
          <w:rFonts w:eastAsia="等线" w:hint="eastAsia"/>
          <w:lang w:eastAsia="zh-CN"/>
        </w:rPr>
        <w:t xml:space="preserve"> </w:t>
      </w:r>
      <w:r>
        <w:t xml:space="preserve">0.05, </w:t>
      </w:r>
      <w:r>
        <w:rPr>
          <w:vertAlign w:val="superscript"/>
        </w:rPr>
        <w:t>**</w:t>
      </w:r>
      <w:r>
        <w:rPr>
          <w:i/>
          <w:iCs/>
        </w:rPr>
        <w:t>P</w:t>
      </w:r>
      <w:r w:rsidR="009B58E7">
        <w:rPr>
          <w:rFonts w:eastAsia="等线" w:hint="eastAsia"/>
          <w:i/>
          <w:iCs/>
          <w:lang w:eastAsia="zh-CN"/>
        </w:rPr>
        <w:t xml:space="preserve"> </w:t>
      </w:r>
      <w:r>
        <w:t>&lt;</w:t>
      </w:r>
      <w:r w:rsidR="009B58E7">
        <w:rPr>
          <w:rFonts w:eastAsia="等线" w:hint="eastAsia"/>
          <w:lang w:eastAsia="zh-CN"/>
        </w:rPr>
        <w:t xml:space="preserve"> </w:t>
      </w:r>
      <w:r>
        <w:t xml:space="preserve">0.01, </w:t>
      </w:r>
      <w:r>
        <w:rPr>
          <w:vertAlign w:val="superscript"/>
        </w:rPr>
        <w:t>***</w:t>
      </w:r>
      <w:r>
        <w:rPr>
          <w:i/>
          <w:iCs/>
        </w:rPr>
        <w:t>P</w:t>
      </w:r>
      <w:r w:rsidR="009B58E7">
        <w:rPr>
          <w:rFonts w:eastAsia="等线" w:hint="eastAsia"/>
          <w:i/>
          <w:iCs/>
          <w:lang w:eastAsia="zh-CN"/>
        </w:rPr>
        <w:t xml:space="preserve"> </w:t>
      </w:r>
      <w:r>
        <w:t>&lt;</w:t>
      </w:r>
      <w:r w:rsidR="009B58E7">
        <w:rPr>
          <w:rFonts w:eastAsia="等线" w:hint="eastAsia"/>
          <w:lang w:eastAsia="zh-CN"/>
        </w:rPr>
        <w:t xml:space="preserve"> </w:t>
      </w:r>
      <w:r>
        <w:t>0.001.</w:t>
      </w:r>
      <w:r>
        <w:br w:type="page"/>
      </w:r>
    </w:p>
    <w:p w14:paraId="45E7C195" w14:textId="77777777" w:rsidR="00210785" w:rsidRDefault="00000000">
      <w:pPr>
        <w:pStyle w:val="Acknowledgements"/>
        <w:spacing w:line="480" w:lineRule="auto"/>
        <w:jc w:val="center"/>
        <w:rPr>
          <w:b/>
          <w:bCs/>
        </w:rPr>
      </w:pPr>
      <w:r>
        <w:rPr>
          <w:b/>
          <w:bCs/>
          <w:noProof/>
        </w:rPr>
        <w:lastRenderedPageBreak/>
        <w:drawing>
          <wp:inline distT="0" distB="0" distL="0" distR="0" wp14:anchorId="588C7878" wp14:editId="1FF6894F">
            <wp:extent cx="5913755" cy="8229600"/>
            <wp:effectExtent l="0" t="0" r="0" b="0"/>
            <wp:docPr id="17707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36" name="图片 13"/>
                    <pic:cNvPicPr>
                      <a:picLocks noChangeAspect="1"/>
                    </pic:cNvPicPr>
                  </pic:nvPicPr>
                  <pic:blipFill>
                    <a:blip r:embed="rId21"/>
                    <a:stretch>
                      <a:fillRect/>
                    </a:stretch>
                  </pic:blipFill>
                  <pic:spPr>
                    <a:xfrm>
                      <a:off x="0" y="0"/>
                      <a:ext cx="5913755" cy="8229600"/>
                    </a:xfrm>
                    <a:prstGeom prst="rect">
                      <a:avLst/>
                    </a:prstGeom>
                  </pic:spPr>
                </pic:pic>
              </a:graphicData>
            </a:graphic>
          </wp:inline>
        </w:drawing>
      </w:r>
    </w:p>
    <w:p w14:paraId="66FA57B4" w14:textId="7BB30B71" w:rsidR="00210785" w:rsidRDefault="00000000">
      <w:pPr>
        <w:pStyle w:val="Acknowledgements"/>
        <w:spacing w:line="480" w:lineRule="auto"/>
        <w:jc w:val="both"/>
      </w:pPr>
      <w:r>
        <w:rPr>
          <w:rFonts w:hint="eastAsia"/>
        </w:rPr>
        <w:lastRenderedPageBreak/>
        <w:t>Supplementary Figure 1</w:t>
      </w:r>
      <w:r>
        <w:rPr>
          <w:rFonts w:eastAsia="等线" w:hint="eastAsia"/>
          <w:lang w:eastAsia="zh-CN"/>
        </w:rPr>
        <w:t>4</w:t>
      </w:r>
      <w:r>
        <w:rPr>
          <w:rFonts w:hint="eastAsia"/>
        </w:rPr>
        <w:t>.</w:t>
      </w:r>
      <w:r>
        <w:t xml:space="preserve"> Inhibition of the PI3K/Akt2 pathway reverses the beneficial effects of </w:t>
      </w:r>
      <w:r>
        <w:rPr>
          <w:i/>
          <w:iCs/>
        </w:rPr>
        <w:t>Nr4a1</w:t>
      </w:r>
      <w:r>
        <w:t xml:space="preserve"> overexpression on cognitive function in TN rats. </w:t>
      </w:r>
      <w:r w:rsidRPr="009B58E7">
        <w:rPr>
          <w:b/>
          <w:bCs/>
        </w:rPr>
        <w:t>(</w:t>
      </w:r>
      <w:r w:rsidRPr="009B58E7">
        <w:rPr>
          <w:rFonts w:eastAsia="等线" w:hint="eastAsia"/>
          <w:b/>
          <w:bCs/>
          <w:lang w:eastAsia="zh-CN"/>
        </w:rPr>
        <w:t>a</w:t>
      </w:r>
      <w:r w:rsidRPr="009B58E7">
        <w:rPr>
          <w:b/>
          <w:bCs/>
        </w:rPr>
        <w:t>)</w:t>
      </w:r>
      <w:r>
        <w:t xml:space="preserve"> Flowchart of the experimental timeline for </w:t>
      </w:r>
      <w:r w:rsidRPr="009B58E7">
        <w:t>in vivo</w:t>
      </w:r>
      <w:r>
        <w:t xml:space="preserve"> Part III. </w:t>
      </w:r>
      <w:r w:rsidRPr="009B58E7">
        <w:rPr>
          <w:b/>
          <w:bCs/>
        </w:rPr>
        <w:t>(</w:t>
      </w:r>
      <w:r w:rsidRPr="009B58E7">
        <w:rPr>
          <w:rFonts w:eastAsia="等线" w:hint="eastAsia"/>
          <w:b/>
          <w:bCs/>
          <w:lang w:eastAsia="zh-CN"/>
        </w:rPr>
        <w:t>b</w:t>
      </w:r>
      <w:r w:rsidRPr="009B58E7">
        <w:rPr>
          <w:b/>
          <w:bCs/>
        </w:rPr>
        <w:t>)</w:t>
      </w:r>
      <w:r>
        <w:t xml:space="preserve"> Changes in facial mechanical pain threshold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8). </w:t>
      </w:r>
      <w:r w:rsidRPr="009B58E7">
        <w:rPr>
          <w:b/>
          <w:bCs/>
        </w:rPr>
        <w:t>(</w:t>
      </w:r>
      <w:r w:rsidRPr="009B58E7">
        <w:rPr>
          <w:rFonts w:eastAsia="等线" w:hint="eastAsia"/>
          <w:b/>
          <w:bCs/>
          <w:lang w:eastAsia="zh-CN"/>
        </w:rPr>
        <w:t>c</w:t>
      </w:r>
      <w:r w:rsidRPr="009B58E7">
        <w:rPr>
          <w:b/>
          <w:bCs/>
        </w:rPr>
        <w:t>)</w:t>
      </w:r>
      <w:r>
        <w:t xml:space="preserve"> Total distance traveled in the OFT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8). </w:t>
      </w:r>
      <w:r w:rsidRPr="009B58E7">
        <w:rPr>
          <w:b/>
          <w:bCs/>
        </w:rPr>
        <w:t>(</w:t>
      </w:r>
      <w:r w:rsidRPr="009B58E7">
        <w:rPr>
          <w:rFonts w:eastAsia="等线" w:hint="eastAsia"/>
          <w:b/>
          <w:bCs/>
          <w:lang w:eastAsia="zh-CN"/>
        </w:rPr>
        <w:t>d</w:t>
      </w:r>
      <w:r w:rsidRPr="009B58E7">
        <w:rPr>
          <w:b/>
          <w:bCs/>
        </w:rPr>
        <w:t>)</w:t>
      </w:r>
      <w:r>
        <w:t xml:space="preserve"> Representative trajectory plots from the NORT. </w:t>
      </w:r>
      <w:r w:rsidRPr="009B58E7">
        <w:rPr>
          <w:b/>
          <w:bCs/>
        </w:rPr>
        <w:t>(</w:t>
      </w:r>
      <w:r w:rsidRPr="009B58E7">
        <w:rPr>
          <w:rFonts w:eastAsia="等线" w:hint="eastAsia"/>
          <w:b/>
          <w:bCs/>
          <w:lang w:eastAsia="zh-CN"/>
        </w:rPr>
        <w:t>e</w:t>
      </w:r>
      <w:r w:rsidRPr="009B58E7">
        <w:rPr>
          <w:b/>
          <w:bCs/>
        </w:rPr>
        <w:t>)</w:t>
      </w:r>
      <w:r>
        <w:t xml:space="preserve"> Percentage of total area activity distance in the NORT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8). </w:t>
      </w:r>
      <w:r w:rsidRPr="009B58E7">
        <w:rPr>
          <w:b/>
          <w:bCs/>
        </w:rPr>
        <w:t>(</w:t>
      </w:r>
      <w:r w:rsidRPr="009B58E7">
        <w:rPr>
          <w:rFonts w:eastAsia="等线" w:hint="eastAsia"/>
          <w:b/>
          <w:bCs/>
          <w:lang w:eastAsia="zh-CN"/>
        </w:rPr>
        <w:t>f</w:t>
      </w:r>
      <w:r w:rsidRPr="009B58E7">
        <w:rPr>
          <w:b/>
          <w:bCs/>
        </w:rPr>
        <w:t>)</w:t>
      </w:r>
      <w:r>
        <w:t xml:space="preserve"> </w:t>
      </w:r>
      <w:r>
        <w:rPr>
          <w:rFonts w:hint="eastAsia"/>
        </w:rPr>
        <w:t>Recognition</w:t>
      </w:r>
      <w:r>
        <w:t xml:space="preserve"> index in the NORT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8). </w:t>
      </w:r>
      <w:r w:rsidRPr="009B58E7">
        <w:rPr>
          <w:b/>
          <w:bCs/>
        </w:rPr>
        <w:t>(</w:t>
      </w:r>
      <w:r w:rsidRPr="009B58E7">
        <w:rPr>
          <w:rFonts w:eastAsia="等线" w:hint="eastAsia"/>
          <w:b/>
          <w:bCs/>
          <w:lang w:eastAsia="zh-CN"/>
        </w:rPr>
        <w:t>g</w:t>
      </w:r>
      <w:r w:rsidRPr="009B58E7">
        <w:rPr>
          <w:b/>
          <w:bCs/>
        </w:rPr>
        <w:t>)</w:t>
      </w:r>
      <w:r>
        <w:t xml:space="preserve"> Representative trajectory plots from the MWMT. </w:t>
      </w:r>
      <w:r w:rsidRPr="009B58E7">
        <w:rPr>
          <w:b/>
          <w:bCs/>
        </w:rPr>
        <w:t>(</w:t>
      </w:r>
      <w:r w:rsidRPr="009B58E7">
        <w:rPr>
          <w:rFonts w:eastAsia="等线" w:hint="eastAsia"/>
          <w:b/>
          <w:bCs/>
          <w:lang w:eastAsia="zh-CN"/>
        </w:rPr>
        <w:t>h</w:t>
      </w:r>
      <w:r w:rsidRPr="009B58E7">
        <w:rPr>
          <w:b/>
          <w:bCs/>
        </w:rPr>
        <w:t>)</w:t>
      </w:r>
      <w:r>
        <w:t xml:space="preserve"> Escape latency to reach the target platform in the MWMT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8). </w:t>
      </w:r>
      <w:r w:rsidRPr="009B58E7">
        <w:rPr>
          <w:b/>
          <w:bCs/>
        </w:rPr>
        <w:t>(</w:t>
      </w:r>
      <w:r w:rsidRPr="009B58E7">
        <w:rPr>
          <w:rFonts w:eastAsia="等线" w:hint="eastAsia"/>
          <w:b/>
          <w:bCs/>
          <w:lang w:eastAsia="zh-CN"/>
        </w:rPr>
        <w:t>i</w:t>
      </w:r>
      <w:r w:rsidRPr="009B58E7">
        <w:rPr>
          <w:b/>
          <w:bCs/>
        </w:rPr>
        <w:t>)</w:t>
      </w:r>
      <w:r>
        <w:t xml:space="preserve"> Number of platform crossings in the MWMT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 xml:space="preserve">8). </w:t>
      </w:r>
      <w:r w:rsidRPr="009B58E7">
        <w:rPr>
          <w:b/>
          <w:bCs/>
        </w:rPr>
        <w:t>(</w:t>
      </w:r>
      <w:r w:rsidRPr="009B58E7">
        <w:rPr>
          <w:rFonts w:eastAsia="等线" w:hint="eastAsia"/>
          <w:b/>
          <w:bCs/>
          <w:lang w:eastAsia="zh-CN"/>
        </w:rPr>
        <w:t>j</w:t>
      </w:r>
      <w:r w:rsidRPr="009B58E7">
        <w:rPr>
          <w:b/>
          <w:bCs/>
        </w:rPr>
        <w:t>)</w:t>
      </w:r>
      <w:r>
        <w:t xml:space="preserve"> Time spent in the original platform area during the MWMT (</w:t>
      </w:r>
      <w:r w:rsidRPr="009B58E7">
        <w:rPr>
          <w:i/>
          <w:iCs/>
        </w:rPr>
        <w:t>n</w:t>
      </w:r>
      <w:r w:rsidR="009B58E7">
        <w:rPr>
          <w:rFonts w:eastAsia="等线" w:hint="eastAsia"/>
          <w:i/>
          <w:iCs/>
          <w:lang w:eastAsia="zh-CN"/>
        </w:rPr>
        <w:t xml:space="preserve"> </w:t>
      </w:r>
      <w:r>
        <w:t>=</w:t>
      </w:r>
      <w:r w:rsidR="009B58E7">
        <w:rPr>
          <w:rFonts w:eastAsia="等线" w:hint="eastAsia"/>
          <w:lang w:eastAsia="zh-CN"/>
        </w:rPr>
        <w:t xml:space="preserve"> </w:t>
      </w:r>
      <w:r>
        <w:t>8). Data are expressed as mean</w:t>
      </w:r>
      <w:r w:rsidR="009B58E7">
        <w:rPr>
          <w:rFonts w:eastAsia="等线" w:hint="eastAsia"/>
          <w:lang w:eastAsia="zh-CN"/>
        </w:rPr>
        <w:t xml:space="preserve"> </w:t>
      </w:r>
      <w:r>
        <w:t>±</w:t>
      </w:r>
      <w:r w:rsidR="009B58E7">
        <w:rPr>
          <w:rFonts w:eastAsia="等线" w:hint="eastAsia"/>
          <w:lang w:eastAsia="zh-CN"/>
        </w:rPr>
        <w:t xml:space="preserve"> </w:t>
      </w:r>
      <w:r>
        <w:t xml:space="preserve">SD. </w:t>
      </w:r>
      <w:r>
        <w:rPr>
          <w:vertAlign w:val="superscript"/>
        </w:rPr>
        <w:t>^</w:t>
      </w:r>
      <w:r>
        <w:rPr>
          <w:rFonts w:hint="eastAsia"/>
          <w:i/>
          <w:iCs/>
        </w:rPr>
        <w:t>P</w:t>
      </w:r>
      <w:r w:rsidR="009B58E7">
        <w:rPr>
          <w:rFonts w:eastAsia="等线" w:hint="eastAsia"/>
          <w:i/>
          <w:iCs/>
          <w:lang w:eastAsia="zh-CN"/>
        </w:rPr>
        <w:t xml:space="preserve"> </w:t>
      </w:r>
      <w:r>
        <w:rPr>
          <w:rFonts w:hint="eastAsia"/>
        </w:rPr>
        <w:t>&lt;</w:t>
      </w:r>
      <w:r w:rsidR="009B58E7">
        <w:rPr>
          <w:rFonts w:eastAsia="等线" w:hint="eastAsia"/>
          <w:lang w:eastAsia="zh-CN"/>
        </w:rPr>
        <w:t xml:space="preserve"> </w:t>
      </w:r>
      <w:r>
        <w:rPr>
          <w:rFonts w:hint="eastAsia"/>
        </w:rPr>
        <w:t>0.05</w:t>
      </w:r>
      <w:r>
        <w:t xml:space="preserve"> </w:t>
      </w:r>
      <w:r>
        <w:rPr>
          <w:vertAlign w:val="superscript"/>
        </w:rPr>
        <w:t>*</w:t>
      </w:r>
      <w:r>
        <w:rPr>
          <w:i/>
          <w:iCs/>
        </w:rPr>
        <w:t>P</w:t>
      </w:r>
      <w:r w:rsidR="009B58E7">
        <w:rPr>
          <w:rFonts w:eastAsia="等线" w:hint="eastAsia"/>
          <w:i/>
          <w:iCs/>
          <w:lang w:eastAsia="zh-CN"/>
        </w:rPr>
        <w:t xml:space="preserve"> </w:t>
      </w:r>
      <w:r>
        <w:t>&lt;</w:t>
      </w:r>
      <w:r w:rsidR="009B58E7">
        <w:rPr>
          <w:rFonts w:eastAsia="等线" w:hint="eastAsia"/>
          <w:lang w:eastAsia="zh-CN"/>
        </w:rPr>
        <w:t xml:space="preserve"> </w:t>
      </w:r>
      <w:r>
        <w:t xml:space="preserve">0.05, </w:t>
      </w:r>
      <w:r>
        <w:rPr>
          <w:vertAlign w:val="superscript"/>
        </w:rPr>
        <w:t>**</w:t>
      </w:r>
      <w:r>
        <w:rPr>
          <w:i/>
          <w:iCs/>
        </w:rPr>
        <w:t>P</w:t>
      </w:r>
      <w:r w:rsidR="009B58E7">
        <w:rPr>
          <w:rFonts w:eastAsia="等线" w:hint="eastAsia"/>
          <w:i/>
          <w:iCs/>
          <w:lang w:eastAsia="zh-CN"/>
        </w:rPr>
        <w:t xml:space="preserve"> </w:t>
      </w:r>
      <w:r>
        <w:t>&lt;</w:t>
      </w:r>
      <w:r w:rsidR="009B58E7">
        <w:rPr>
          <w:rFonts w:eastAsia="等线" w:hint="eastAsia"/>
          <w:lang w:eastAsia="zh-CN"/>
        </w:rPr>
        <w:t xml:space="preserve"> </w:t>
      </w:r>
      <w:r>
        <w:t xml:space="preserve">0.01, </w:t>
      </w:r>
      <w:r>
        <w:rPr>
          <w:vertAlign w:val="superscript"/>
        </w:rPr>
        <w:t>***</w:t>
      </w:r>
      <w:r>
        <w:rPr>
          <w:i/>
          <w:iCs/>
        </w:rPr>
        <w:t>P</w:t>
      </w:r>
      <w:r w:rsidR="009B58E7">
        <w:rPr>
          <w:rFonts w:eastAsia="等线" w:hint="eastAsia"/>
          <w:i/>
          <w:iCs/>
          <w:lang w:eastAsia="zh-CN"/>
        </w:rPr>
        <w:t xml:space="preserve"> </w:t>
      </w:r>
      <w:r>
        <w:t>&lt;</w:t>
      </w:r>
      <w:r w:rsidR="009B58E7">
        <w:rPr>
          <w:rFonts w:eastAsia="等线" w:hint="eastAsia"/>
          <w:lang w:eastAsia="zh-CN"/>
        </w:rPr>
        <w:t xml:space="preserve"> </w:t>
      </w:r>
      <w:r>
        <w:t>0.001.</w:t>
      </w:r>
      <w:bookmarkEnd w:id="4"/>
    </w:p>
    <w:p w14:paraId="2D0387C8" w14:textId="77777777" w:rsidR="00210785" w:rsidRDefault="00210785"/>
    <w:sectPr w:rsidR="00210785">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F6D80" w14:textId="77777777" w:rsidR="00D136EE" w:rsidRDefault="00D136EE">
      <w:pPr>
        <w:spacing w:line="240" w:lineRule="auto"/>
      </w:pPr>
      <w:r>
        <w:separator/>
      </w:r>
    </w:p>
  </w:endnote>
  <w:endnote w:type="continuationSeparator" w:id="0">
    <w:p w14:paraId="3CF28306" w14:textId="77777777" w:rsidR="00D136EE" w:rsidRDefault="00D136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787243"/>
      <w:docPartObj>
        <w:docPartGallery w:val="AutoText"/>
      </w:docPartObj>
    </w:sdtPr>
    <w:sdtContent>
      <w:p w14:paraId="71C8F9C4" w14:textId="77777777" w:rsidR="00210785" w:rsidRDefault="00000000">
        <w:pPr>
          <w:pStyle w:val="a5"/>
          <w:jc w:val="center"/>
        </w:pPr>
        <w:r>
          <w:fldChar w:fldCharType="begin"/>
        </w:r>
        <w:r>
          <w:instrText>PAGE   \* MERGEFORMAT</w:instrText>
        </w:r>
        <w:r>
          <w:fldChar w:fldCharType="separate"/>
        </w:r>
        <w:r>
          <w:rPr>
            <w:lang w:val="zh-CN" w:eastAsia="zh-CN"/>
          </w:rPr>
          <w:t>2</w:t>
        </w:r>
        <w:r>
          <w:fldChar w:fldCharType="end"/>
        </w:r>
      </w:p>
    </w:sdtContent>
  </w:sdt>
  <w:p w14:paraId="4622D72D" w14:textId="77777777" w:rsidR="00210785" w:rsidRDefault="002107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23406" w14:textId="77777777" w:rsidR="00D136EE" w:rsidRDefault="00D136EE">
      <w:pPr>
        <w:spacing w:after="0"/>
      </w:pPr>
      <w:r>
        <w:separator/>
      </w:r>
    </w:p>
  </w:footnote>
  <w:footnote w:type="continuationSeparator" w:id="0">
    <w:p w14:paraId="11122A9C" w14:textId="77777777" w:rsidR="00D136EE" w:rsidRDefault="00D136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1B6B" w14:textId="77777777" w:rsidR="00210785" w:rsidRDefault="00210785">
    <w:pPr>
      <w:pStyle w:val="a7"/>
      <w:jc w:val="right"/>
    </w:pPr>
  </w:p>
  <w:p w14:paraId="67D6ACEA" w14:textId="77777777" w:rsidR="00210785" w:rsidRDefault="0021078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278D"/>
    <w:multiLevelType w:val="multilevel"/>
    <w:tmpl w:val="2B13278D"/>
    <w:lvl w:ilvl="0">
      <w:start w:val="1"/>
      <w:numFmt w:val="bullet"/>
      <w:lvlText w:val=""/>
      <w:lvlJc w:val="left"/>
      <w:pPr>
        <w:ind w:left="880" w:hanging="440"/>
      </w:pPr>
      <w:rPr>
        <w:rFonts w:ascii="Wingdings" w:hAnsi="Wingdings" w:hint="default"/>
        <w:sz w:val="21"/>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1" w15:restartNumberingAfterBreak="0">
    <w:nsid w:val="620B7B01"/>
    <w:multiLevelType w:val="multilevel"/>
    <w:tmpl w:val="620B7B01"/>
    <w:lvl w:ilvl="0">
      <w:start w:val="1"/>
      <w:numFmt w:val="bullet"/>
      <w:lvlText w:val=""/>
      <w:lvlJc w:val="left"/>
      <w:pPr>
        <w:ind w:left="440" w:hanging="440"/>
      </w:pPr>
      <w:rPr>
        <w:rFonts w:ascii="Wingdings" w:hAnsi="Wingdings" w:hint="default"/>
        <w:sz w:val="24"/>
      </w:rPr>
    </w:lvl>
    <w:lvl w:ilvl="1">
      <w:start w:val="1"/>
      <w:numFmt w:val="bullet"/>
      <w:lvlText w:val=""/>
      <w:lvlJc w:val="left"/>
      <w:pPr>
        <w:ind w:left="880" w:hanging="440"/>
      </w:pPr>
      <w:rPr>
        <w:rFonts w:ascii="Wingdings" w:hAnsi="Wingdings" w:hint="default"/>
        <w:sz w:val="21"/>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319312125">
    <w:abstractNumId w:val="1"/>
  </w:num>
  <w:num w:numId="2" w16cid:durableId="43674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AF9"/>
    <w:rsid w:val="000209E7"/>
    <w:rsid w:val="00035BC3"/>
    <w:rsid w:val="00044F27"/>
    <w:rsid w:val="00053F6D"/>
    <w:rsid w:val="00056D0F"/>
    <w:rsid w:val="00064053"/>
    <w:rsid w:val="00120CF1"/>
    <w:rsid w:val="00156E5F"/>
    <w:rsid w:val="00165EF9"/>
    <w:rsid w:val="00177FB6"/>
    <w:rsid w:val="00180E6E"/>
    <w:rsid w:val="001920C8"/>
    <w:rsid w:val="00195AA1"/>
    <w:rsid w:val="0019723B"/>
    <w:rsid w:val="001A4EC5"/>
    <w:rsid w:val="001A6E5B"/>
    <w:rsid w:val="001B51A3"/>
    <w:rsid w:val="001C3E0F"/>
    <w:rsid w:val="001D4916"/>
    <w:rsid w:val="001E50C7"/>
    <w:rsid w:val="002074E7"/>
    <w:rsid w:val="00210785"/>
    <w:rsid w:val="00211B01"/>
    <w:rsid w:val="00223755"/>
    <w:rsid w:val="00245057"/>
    <w:rsid w:val="00266A5E"/>
    <w:rsid w:val="0028123F"/>
    <w:rsid w:val="00282382"/>
    <w:rsid w:val="002835BE"/>
    <w:rsid w:val="002A6034"/>
    <w:rsid w:val="002A6AED"/>
    <w:rsid w:val="002A7DF7"/>
    <w:rsid w:val="002B4EF6"/>
    <w:rsid w:val="002D37AA"/>
    <w:rsid w:val="002D4670"/>
    <w:rsid w:val="002F37CD"/>
    <w:rsid w:val="0030537C"/>
    <w:rsid w:val="00312AF9"/>
    <w:rsid w:val="003204A6"/>
    <w:rsid w:val="003269B0"/>
    <w:rsid w:val="00352D40"/>
    <w:rsid w:val="00360F4E"/>
    <w:rsid w:val="003632E1"/>
    <w:rsid w:val="003813BF"/>
    <w:rsid w:val="00387769"/>
    <w:rsid w:val="0039087C"/>
    <w:rsid w:val="00396C3D"/>
    <w:rsid w:val="003D073F"/>
    <w:rsid w:val="003E2FB2"/>
    <w:rsid w:val="003F7CF5"/>
    <w:rsid w:val="00402BE4"/>
    <w:rsid w:val="0040326F"/>
    <w:rsid w:val="00427184"/>
    <w:rsid w:val="00427BBA"/>
    <w:rsid w:val="0043068A"/>
    <w:rsid w:val="0047099F"/>
    <w:rsid w:val="00486309"/>
    <w:rsid w:val="004B56F9"/>
    <w:rsid w:val="004C7546"/>
    <w:rsid w:val="004D4534"/>
    <w:rsid w:val="004E349A"/>
    <w:rsid w:val="004E743E"/>
    <w:rsid w:val="00501AC7"/>
    <w:rsid w:val="00514635"/>
    <w:rsid w:val="00521461"/>
    <w:rsid w:val="005603F3"/>
    <w:rsid w:val="0057195A"/>
    <w:rsid w:val="00571A34"/>
    <w:rsid w:val="005A4EC4"/>
    <w:rsid w:val="005F7522"/>
    <w:rsid w:val="006248A7"/>
    <w:rsid w:val="0064530A"/>
    <w:rsid w:val="00647772"/>
    <w:rsid w:val="00647866"/>
    <w:rsid w:val="00650AE1"/>
    <w:rsid w:val="006864FD"/>
    <w:rsid w:val="00690734"/>
    <w:rsid w:val="006B0445"/>
    <w:rsid w:val="006B323B"/>
    <w:rsid w:val="006E6EA7"/>
    <w:rsid w:val="00711C22"/>
    <w:rsid w:val="007444A9"/>
    <w:rsid w:val="00781632"/>
    <w:rsid w:val="007F27FA"/>
    <w:rsid w:val="0080200E"/>
    <w:rsid w:val="00806DB4"/>
    <w:rsid w:val="00811118"/>
    <w:rsid w:val="008272D3"/>
    <w:rsid w:val="00830573"/>
    <w:rsid w:val="008535FB"/>
    <w:rsid w:val="008744DB"/>
    <w:rsid w:val="008B292D"/>
    <w:rsid w:val="008B43C1"/>
    <w:rsid w:val="008D2539"/>
    <w:rsid w:val="008F0B41"/>
    <w:rsid w:val="008F0E1D"/>
    <w:rsid w:val="008F50CA"/>
    <w:rsid w:val="008F7FCD"/>
    <w:rsid w:val="00900E67"/>
    <w:rsid w:val="0091479A"/>
    <w:rsid w:val="00917508"/>
    <w:rsid w:val="009506DD"/>
    <w:rsid w:val="009512DA"/>
    <w:rsid w:val="00974393"/>
    <w:rsid w:val="00980CC3"/>
    <w:rsid w:val="00994187"/>
    <w:rsid w:val="009B58E7"/>
    <w:rsid w:val="009D6E6A"/>
    <w:rsid w:val="009F4302"/>
    <w:rsid w:val="00A135DE"/>
    <w:rsid w:val="00A35E4A"/>
    <w:rsid w:val="00A40AA5"/>
    <w:rsid w:val="00A4105A"/>
    <w:rsid w:val="00A50BA1"/>
    <w:rsid w:val="00A57FC2"/>
    <w:rsid w:val="00A945F8"/>
    <w:rsid w:val="00A9774D"/>
    <w:rsid w:val="00AD6731"/>
    <w:rsid w:val="00AF15F2"/>
    <w:rsid w:val="00B00030"/>
    <w:rsid w:val="00B003FB"/>
    <w:rsid w:val="00B272C5"/>
    <w:rsid w:val="00B35CCA"/>
    <w:rsid w:val="00B40E7D"/>
    <w:rsid w:val="00B54FF1"/>
    <w:rsid w:val="00B6613E"/>
    <w:rsid w:val="00B70040"/>
    <w:rsid w:val="00B84E70"/>
    <w:rsid w:val="00B953AC"/>
    <w:rsid w:val="00B9673B"/>
    <w:rsid w:val="00BA4525"/>
    <w:rsid w:val="00BD03A5"/>
    <w:rsid w:val="00BD4FB7"/>
    <w:rsid w:val="00BF2C31"/>
    <w:rsid w:val="00BF398D"/>
    <w:rsid w:val="00C11FC9"/>
    <w:rsid w:val="00C276EE"/>
    <w:rsid w:val="00CC3E4A"/>
    <w:rsid w:val="00CC5F3D"/>
    <w:rsid w:val="00CE6686"/>
    <w:rsid w:val="00CF1E97"/>
    <w:rsid w:val="00D00795"/>
    <w:rsid w:val="00D10C64"/>
    <w:rsid w:val="00D136EE"/>
    <w:rsid w:val="00D1715D"/>
    <w:rsid w:val="00D85BC8"/>
    <w:rsid w:val="00DB080C"/>
    <w:rsid w:val="00DB7B52"/>
    <w:rsid w:val="00DF76F2"/>
    <w:rsid w:val="00E07FF6"/>
    <w:rsid w:val="00E13CE3"/>
    <w:rsid w:val="00E270A0"/>
    <w:rsid w:val="00E414EC"/>
    <w:rsid w:val="00E41AB3"/>
    <w:rsid w:val="00E443FC"/>
    <w:rsid w:val="00E536B5"/>
    <w:rsid w:val="00E8620E"/>
    <w:rsid w:val="00E9598F"/>
    <w:rsid w:val="00EA1230"/>
    <w:rsid w:val="00EC0078"/>
    <w:rsid w:val="00EC19F3"/>
    <w:rsid w:val="00EC1D30"/>
    <w:rsid w:val="00ED45A2"/>
    <w:rsid w:val="00EE16A7"/>
    <w:rsid w:val="00EE236F"/>
    <w:rsid w:val="00EE6EBC"/>
    <w:rsid w:val="00EE758D"/>
    <w:rsid w:val="00EF64B5"/>
    <w:rsid w:val="00F03028"/>
    <w:rsid w:val="00F15C7E"/>
    <w:rsid w:val="00F24293"/>
    <w:rsid w:val="00F41916"/>
    <w:rsid w:val="00F54D66"/>
    <w:rsid w:val="00F84D62"/>
    <w:rsid w:val="00F86D53"/>
    <w:rsid w:val="00FB12AD"/>
    <w:rsid w:val="00FB2699"/>
    <w:rsid w:val="00FB325E"/>
    <w:rsid w:val="00FC00AF"/>
    <w:rsid w:val="00FC7F9A"/>
    <w:rsid w:val="00FD2B35"/>
    <w:rsid w:val="00FD2FDF"/>
    <w:rsid w:val="00FF0003"/>
    <w:rsid w:val="00FF0EE3"/>
    <w:rsid w:val="00FF7D77"/>
    <w:rsid w:val="4C5311BF"/>
    <w:rsid w:val="72527A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D60C1E"/>
  <w14:defaultImageDpi w14:val="32767"/>
  <w15:docId w15:val="{5E132DA4-C754-4B6B-9A1E-116176D4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after="0" w:line="240" w:lineRule="auto"/>
    </w:pPr>
    <w:rPr>
      <w:rFonts w:ascii="Times New Roman" w:eastAsia="MS Mincho" w:hAnsi="Times New Roman" w:cs="Times New Roman"/>
      <w:kern w:val="0"/>
      <w:sz w:val="20"/>
      <w:szCs w:val="20"/>
      <w:lang w:val="zh-CN" w:eastAsia="ja-JP"/>
      <w14:ligatures w14:val="none"/>
    </w:rPr>
  </w:style>
  <w:style w:type="paragraph" w:styleId="a5">
    <w:name w:val="footer"/>
    <w:basedOn w:val="a"/>
    <w:link w:val="a6"/>
    <w:uiPriority w:val="99"/>
    <w:unhideWhenUsed/>
    <w:qFormat/>
    <w:pPr>
      <w:tabs>
        <w:tab w:val="center" w:pos="4680"/>
        <w:tab w:val="right" w:pos="9360"/>
      </w:tabs>
      <w:spacing w:after="0" w:line="240" w:lineRule="auto"/>
    </w:pPr>
  </w:style>
  <w:style w:type="paragraph" w:styleId="a7">
    <w:name w:val="header"/>
    <w:basedOn w:val="a"/>
    <w:link w:val="a8"/>
    <w:uiPriority w:val="99"/>
    <w:unhideWhenUsed/>
    <w:qFormat/>
    <w:pPr>
      <w:tabs>
        <w:tab w:val="center" w:pos="4680"/>
        <w:tab w:val="right" w:pos="9360"/>
      </w:tabs>
      <w:spacing w:after="0" w:line="240" w:lineRule="auto"/>
    </w:pPr>
  </w:style>
  <w:style w:type="paragraph" w:styleId="a9">
    <w:name w:val="Subtitle"/>
    <w:basedOn w:val="a"/>
    <w:next w:val="a"/>
    <w:link w:val="aa"/>
    <w:uiPriority w:val="11"/>
    <w:qFormat/>
    <w:rPr>
      <w:rFonts w:eastAsiaTheme="majorEastAsia" w:cstheme="majorBidi"/>
      <w:color w:val="595959" w:themeColor="text1" w:themeTint="A6"/>
      <w:spacing w:val="15"/>
      <w:sz w:val="28"/>
      <w:szCs w:val="28"/>
    </w:rPr>
  </w:style>
  <w:style w:type="paragraph" w:styleId="ab">
    <w:name w:val="Title"/>
    <w:basedOn w:val="a"/>
    <w:next w:val="a"/>
    <w:link w:val="ac"/>
    <w:uiPriority w:val="10"/>
    <w:qFormat/>
    <w:pPr>
      <w:spacing w:after="80" w:line="240" w:lineRule="auto"/>
      <w:contextualSpacing/>
    </w:pPr>
    <w:rPr>
      <w:rFonts w:asciiTheme="majorHAnsi" w:eastAsiaTheme="majorEastAsia" w:hAnsiTheme="majorHAnsi" w:cstheme="majorBidi"/>
      <w:spacing w:val="-10"/>
      <w:kern w:val="28"/>
      <w:sz w:val="56"/>
      <w:szCs w:val="56"/>
    </w:rPr>
  </w:style>
  <w:style w:type="table" w:styleId="ad">
    <w:name w:val="Table Grid"/>
    <w:basedOn w:val="a1"/>
    <w:uiPriority w:val="5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annotation reference"/>
    <w:uiPriority w:val="99"/>
    <w:unhideWhenUsed/>
    <w:qFormat/>
    <w:rPr>
      <w:sz w:val="16"/>
      <w:szCs w:val="16"/>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标题 3 字符"/>
    <w:basedOn w:val="a0"/>
    <w:link w:val="3"/>
    <w:uiPriority w:val="9"/>
    <w:semiHidden/>
    <w:qFormat/>
    <w:rPr>
      <w:rFonts w:eastAsiaTheme="majorEastAsia" w:cstheme="majorBidi"/>
      <w:color w:val="2F5496" w:themeColor="accent1" w:themeShade="BF"/>
      <w:sz w:val="28"/>
      <w:szCs w:val="28"/>
    </w:rPr>
  </w:style>
  <w:style w:type="character" w:customStyle="1" w:styleId="40">
    <w:name w:val="标题 4 字符"/>
    <w:basedOn w:val="a0"/>
    <w:link w:val="4"/>
    <w:uiPriority w:val="9"/>
    <w:semiHidden/>
    <w:qFormat/>
    <w:rPr>
      <w:rFonts w:eastAsiaTheme="majorEastAsia" w:cstheme="majorBidi"/>
      <w:i/>
      <w:iCs/>
      <w:color w:val="2F5496" w:themeColor="accent1" w:themeShade="BF"/>
    </w:rPr>
  </w:style>
  <w:style w:type="character" w:customStyle="1" w:styleId="50">
    <w:name w:val="标题 5 字符"/>
    <w:basedOn w:val="a0"/>
    <w:link w:val="5"/>
    <w:uiPriority w:val="9"/>
    <w:semiHidden/>
    <w:rPr>
      <w:rFonts w:eastAsiaTheme="majorEastAsia" w:cstheme="majorBidi"/>
      <w:color w:val="2F5496" w:themeColor="accent1" w:themeShade="BF"/>
    </w:rPr>
  </w:style>
  <w:style w:type="character" w:customStyle="1" w:styleId="60">
    <w:name w:val="标题 6 字符"/>
    <w:basedOn w:val="a0"/>
    <w:link w:val="6"/>
    <w:uiPriority w:val="9"/>
    <w:semiHidden/>
    <w:qFormat/>
    <w:rPr>
      <w:rFonts w:eastAsiaTheme="majorEastAsia" w:cstheme="majorBidi"/>
      <w:i/>
      <w:iCs/>
      <w:color w:val="595959" w:themeColor="text1" w:themeTint="A6"/>
    </w:rPr>
  </w:style>
  <w:style w:type="character" w:customStyle="1" w:styleId="70">
    <w:name w:val="标题 7 字符"/>
    <w:basedOn w:val="a0"/>
    <w:link w:val="7"/>
    <w:uiPriority w:val="9"/>
    <w:semiHidden/>
    <w:rPr>
      <w:rFonts w:eastAsiaTheme="majorEastAsia" w:cstheme="majorBidi"/>
      <w:color w:val="595959" w:themeColor="text1" w:themeTint="A6"/>
    </w:rPr>
  </w:style>
  <w:style w:type="character" w:customStyle="1" w:styleId="80">
    <w:name w:val="标题 8 字符"/>
    <w:basedOn w:val="a0"/>
    <w:link w:val="8"/>
    <w:uiPriority w:val="9"/>
    <w:semiHidden/>
    <w:rPr>
      <w:rFonts w:eastAsiaTheme="majorEastAsia" w:cstheme="majorBidi"/>
      <w:i/>
      <w:iCs/>
      <w:color w:val="262626" w:themeColor="text1" w:themeTint="D9"/>
    </w:rPr>
  </w:style>
  <w:style w:type="character" w:customStyle="1" w:styleId="90">
    <w:name w:val="标题 9 字符"/>
    <w:basedOn w:val="a0"/>
    <w:link w:val="9"/>
    <w:uiPriority w:val="9"/>
    <w:semiHidden/>
    <w:rPr>
      <w:rFonts w:eastAsiaTheme="majorEastAsia" w:cstheme="majorBidi"/>
      <w:color w:val="262626" w:themeColor="text1" w:themeTint="D9"/>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eastAsiaTheme="majorEastAsia" w:cstheme="majorBidi"/>
      <w:color w:val="595959" w:themeColor="text1" w:themeTint="A6"/>
      <w:spacing w:val="15"/>
      <w:sz w:val="28"/>
      <w:szCs w:val="28"/>
    </w:rPr>
  </w:style>
  <w:style w:type="paragraph" w:styleId="af0">
    <w:name w:val="Quote"/>
    <w:basedOn w:val="a"/>
    <w:next w:val="a"/>
    <w:link w:val="af1"/>
    <w:uiPriority w:val="29"/>
    <w:qFormat/>
    <w:pPr>
      <w:spacing w:before="160"/>
      <w:jc w:val="center"/>
    </w:pPr>
    <w:rPr>
      <w:i/>
      <w:iCs/>
      <w:color w:val="404040" w:themeColor="text1" w:themeTint="BF"/>
    </w:rPr>
  </w:style>
  <w:style w:type="character" w:customStyle="1" w:styleId="af1">
    <w:name w:val="引用 字符"/>
    <w:basedOn w:val="a0"/>
    <w:link w:val="af0"/>
    <w:uiPriority w:val="29"/>
    <w:qFormat/>
    <w:rPr>
      <w:i/>
      <w:iCs/>
      <w:color w:val="404040" w:themeColor="text1" w:themeTint="BF"/>
    </w:rPr>
  </w:style>
  <w:style w:type="paragraph" w:styleId="af2">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3">
    <w:name w:val="Intense Quote"/>
    <w:basedOn w:val="a"/>
    <w:next w:val="a"/>
    <w:link w:val="af4"/>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4">
    <w:name w:val="明显引用 字符"/>
    <w:basedOn w:val="a0"/>
    <w:link w:val="af3"/>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AuthorsFull">
    <w:name w:val="Authors Full"/>
    <w:basedOn w:val="a"/>
    <w:pPr>
      <w:spacing w:after="0" w:line="240" w:lineRule="auto"/>
    </w:pPr>
    <w:rPr>
      <w:rFonts w:ascii="Times New Roman" w:eastAsia="MS Mincho" w:hAnsi="Times New Roman" w:cs="Times New Roman"/>
      <w:i/>
      <w:kern w:val="0"/>
      <w:lang w:eastAsia="ja-JP"/>
      <w14:ligatures w14:val="none"/>
    </w:rPr>
  </w:style>
  <w:style w:type="paragraph" w:customStyle="1" w:styleId="Acknowledgements">
    <w:name w:val="Acknowledgements"/>
    <w:basedOn w:val="a"/>
    <w:qFormat/>
    <w:pPr>
      <w:spacing w:after="0" w:line="240" w:lineRule="auto"/>
    </w:pPr>
    <w:rPr>
      <w:rFonts w:ascii="Times New Roman" w:eastAsia="MS Mincho" w:hAnsi="Times New Roman" w:cs="Times New Roman"/>
      <w:kern w:val="0"/>
      <w:lang w:eastAsia="ja-JP"/>
      <w14:ligatures w14:val="none"/>
    </w:rPr>
  </w:style>
  <w:style w:type="paragraph" w:customStyle="1" w:styleId="Tableofcontents">
    <w:name w:val="Table of contents"/>
    <w:basedOn w:val="a"/>
    <w:autoRedefine/>
    <w:qFormat/>
    <w:pPr>
      <w:spacing w:after="0" w:line="240" w:lineRule="auto"/>
    </w:pPr>
    <w:rPr>
      <w:rFonts w:ascii="Times New Roman" w:eastAsia="MS Mincho" w:hAnsi="Times New Roman" w:cs="Times New Roman"/>
      <w:kern w:val="0"/>
      <w:lang w:eastAsia="ja-JP"/>
      <w14:ligatures w14:val="none"/>
    </w:rPr>
  </w:style>
  <w:style w:type="paragraph" w:customStyle="1" w:styleId="Title2">
    <w:name w:val="Title2"/>
    <w:basedOn w:val="a"/>
    <w:qFormat/>
    <w:pPr>
      <w:spacing w:after="0" w:line="240" w:lineRule="auto"/>
    </w:pPr>
    <w:rPr>
      <w:rFonts w:ascii="Times New Roman" w:eastAsia="MS Mincho" w:hAnsi="Times New Roman" w:cs="Times New Roman"/>
      <w:b/>
      <w:kern w:val="0"/>
      <w:lang w:eastAsia="ja-JP"/>
      <w14:ligatures w14:val="none"/>
    </w:rPr>
  </w:style>
  <w:style w:type="paragraph" w:customStyle="1" w:styleId="Maintext">
    <w:name w:val="Main text"/>
    <w:basedOn w:val="a"/>
    <w:link w:val="MaintextChar"/>
    <w:autoRedefine/>
    <w:pPr>
      <w:spacing w:after="0" w:line="480" w:lineRule="auto"/>
    </w:pPr>
    <w:rPr>
      <w:rFonts w:ascii="Times New Roman" w:eastAsia="MS Mincho" w:hAnsi="Times New Roman" w:cs="Times New Roman"/>
      <w:kern w:val="0"/>
      <w:lang w:eastAsia="ja-JP"/>
      <w14:ligatures w14:val="none"/>
    </w:rPr>
  </w:style>
  <w:style w:type="character" w:customStyle="1" w:styleId="MaintextChar">
    <w:name w:val="Main text Char"/>
    <w:link w:val="Maintext"/>
    <w:qFormat/>
    <w:rPr>
      <w:rFonts w:ascii="Times New Roman" w:eastAsia="MS Mincho" w:hAnsi="Times New Roman" w:cs="Times New Roman"/>
      <w:kern w:val="0"/>
      <w:lang w:eastAsia="ja-JP"/>
      <w14:ligatures w14:val="none"/>
    </w:rPr>
  </w:style>
  <w:style w:type="character" w:customStyle="1" w:styleId="a4">
    <w:name w:val="批注文字 字符"/>
    <w:basedOn w:val="a0"/>
    <w:link w:val="a3"/>
    <w:uiPriority w:val="99"/>
    <w:qFormat/>
    <w:rPr>
      <w:rFonts w:ascii="Times New Roman" w:eastAsia="MS Mincho" w:hAnsi="Times New Roman" w:cs="Times New Roman"/>
      <w:kern w:val="0"/>
      <w:sz w:val="20"/>
      <w:szCs w:val="20"/>
      <w:lang w:val="zh-CN" w:eastAsia="ja-JP"/>
      <w14:ligatures w14:val="none"/>
    </w:rPr>
  </w:style>
  <w:style w:type="character" w:customStyle="1" w:styleId="a8">
    <w:name w:val="页眉 字符"/>
    <w:basedOn w:val="a0"/>
    <w:link w:val="a7"/>
    <w:uiPriority w:val="99"/>
  </w:style>
  <w:style w:type="character" w:customStyle="1" w:styleId="a6">
    <w:name w:val="页脚 字符"/>
    <w:basedOn w:val="a0"/>
    <w:link w:val="a5"/>
    <w:uiPriority w:val="99"/>
    <w:qFormat/>
  </w:style>
  <w:style w:type="paragraph" w:customStyle="1" w:styleId="13">
    <w:name w:val="修订1"/>
    <w:hidden/>
    <w:uiPriority w:val="99"/>
    <w:semiHidden/>
    <w:qFormat/>
    <w:rPr>
      <w:rFonts w:asciiTheme="minorHAnsi" w:eastAsiaTheme="minorHAnsi" w:hAnsiTheme="minorHAnsi" w:cstheme="minorBidi"/>
      <w:kern w:val="2"/>
      <w:sz w:val="24"/>
      <w:szCs w:val="24"/>
      <w:lang w:eastAsia="en-US"/>
      <w14:ligatures w14:val="standardContextual"/>
    </w:rPr>
  </w:style>
  <w:style w:type="paragraph" w:customStyle="1" w:styleId="21">
    <w:name w:val="修订2"/>
    <w:hidden/>
    <w:uiPriority w:val="99"/>
    <w:unhideWhenUsed/>
    <w:rPr>
      <w:rFonts w:asciiTheme="minorHAnsi" w:eastAsiaTheme="minorHAnsi" w:hAnsiTheme="minorHAnsi" w:cstheme="minorBidi"/>
      <w:kern w:val="2"/>
      <w:sz w:val="24"/>
      <w:szCs w:val="24"/>
      <w:lang w:eastAsia="en-US"/>
      <w14:ligatures w14:val="standardContextual"/>
    </w:rPr>
  </w:style>
  <w:style w:type="paragraph" w:customStyle="1" w:styleId="SMHeading">
    <w:name w:val="SM Heading"/>
    <w:basedOn w:val="1"/>
    <w:qFormat/>
    <w:pPr>
      <w:keepLines w:val="0"/>
      <w:spacing w:before="240" w:after="60" w:line="240" w:lineRule="auto"/>
    </w:pPr>
    <w:rPr>
      <w:rFonts w:ascii="Times New Roman" w:eastAsiaTheme="minorEastAsia" w:hAnsi="Times New Roman" w:cs="Times New Roman"/>
      <w:b/>
      <w:bCs/>
      <w:color w:val="auto"/>
      <w:kern w:val="32"/>
      <w:sz w:val="24"/>
      <w:szCs w:val="24"/>
      <w14:ligatures w14:val="none"/>
    </w:rPr>
  </w:style>
  <w:style w:type="paragraph" w:customStyle="1" w:styleId="ds-markdown-paragraph">
    <w:name w:val="ds-markdown-paragraph"/>
    <w:basedOn w:val="a"/>
    <w:pPr>
      <w:spacing w:before="100" w:beforeAutospacing="1" w:after="100" w:afterAutospacing="1" w:line="240" w:lineRule="auto"/>
    </w:pPr>
    <w:rPr>
      <w:rFonts w:ascii="宋体" w:eastAsia="宋体" w:hAnsi="宋体" w:cs="宋体"/>
      <w:kern w:val="0"/>
      <w:lang w:eastAsia="zh-CN"/>
      <w14:ligatures w14:val="none"/>
    </w:rPr>
  </w:style>
  <w:style w:type="paragraph" w:customStyle="1" w:styleId="14">
    <w:name w:val="书目1"/>
    <w:basedOn w:val="a"/>
    <w:next w:val="a"/>
    <w:uiPriority w:val="37"/>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C7130-5A43-452A-82CF-61E636F3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37</Pages>
  <Words>13691</Words>
  <Characters>83795</Characters>
  <Application>Microsoft Office Word</Application>
  <DocSecurity>0</DocSecurity>
  <Lines>1710</Lines>
  <Paragraphs>773</Paragraphs>
  <ScaleCrop>false</ScaleCrop>
  <Company/>
  <LinksUpToDate>false</LinksUpToDate>
  <CharactersWithSpaces>96713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洱 李</cp:lastModifiedBy>
  <cp:revision>38</cp:revision>
  <dcterms:created xsi:type="dcterms:W3CDTF">2025-10-30T18:17:00Z</dcterms:created>
  <dcterms:modified xsi:type="dcterms:W3CDTF">2026-02-12T12:03:00Z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eyJoZGlkIjoiYTNmZTkzOGE2ODkwMGZhZjk0YjcyZjM0YThhYjMxMzAiLCJ1c2VySWQiOiIyNDI3NDUwOTgifQ==</vt:lpwstr>
  </property>
  <property fmtid="{D5CDD505-2E9C-101B-9397-08002B2CF9AE}" pid="3" name="KSOProductBuildVer">
    <vt:lpwstr>2052-12.1.0.25225</vt:lpwstr>
  </property>
  <property fmtid="{D5CDD505-2E9C-101B-9397-08002B2CF9AE}" pid="4" name="ICV">
    <vt:lpwstr>70CB31BE3C1549F4A9FF90C4A22C0A71_12</vt:lpwstr>
  </property>
</Properties>
</file>