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D4C1" w14:textId="77777777" w:rsidR="00F36C23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Search terms:</w:t>
      </w:r>
    </w:p>
    <w:p w14:paraId="44BBD2A5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Migrain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("retinal stroke*" OR "retinal artery occlusion*" OR "retinal arterial occlusion*" OR "retinal vascular occlusion*" OR "retinal vessel occlusion*" OR "retinal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ischem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*" OR "retinal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*" OR "retinal vein occlusion*" OR "retinal venous occlusion*" OR "retinal vein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thromb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*" OR "retinal venous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thromb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*" OR "branch vein occlusion*" OR "branch venous occlusion*" OR "branch vein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thromb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*" OR "branch venous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thromb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*" OR "amaurosis fugax" OR "Transient monocular visual loss" OR "Transient monocular vision loss" OR "transient vision loss" OR "transient visual loss" OR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*")</w:t>
      </w:r>
    </w:p>
    <w:p w14:paraId="748CD84F" w14:textId="77777777" w:rsidR="00F36C23" w:rsidRDefault="00F36C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533CC5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pict w14:anchorId="33FEECC9">
          <v:rect id="_x0000_i1025" style="width:0;height:1.5pt" o:hralign="center" o:hrstd="t" o:hr="t" fillcolor="#a0a0a0" stroked="f"/>
        </w:pict>
      </w:r>
    </w:p>
    <w:p w14:paraId="464F24F6" w14:textId="77777777" w:rsidR="00F36C23" w:rsidRDefault="00F36C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49D193" w14:textId="77777777" w:rsidR="00F36C23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 wp14:anchorId="0C335551" wp14:editId="285CBDE6">
            <wp:extent cx="3495675" cy="214199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 l="19435" t="14203" r="19601" b="14601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141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F9D6EF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S1 </w:t>
      </w:r>
      <w:r>
        <w:rPr>
          <w:rFonts w:ascii="Times New Roman" w:eastAsia="Times New Roman" w:hAnsi="Times New Roman" w:cs="Times New Roman"/>
          <w:sz w:val="24"/>
          <w:szCs w:val="24"/>
        </w:rPr>
        <w:t>- Risk of any RVE in individuals with migraine versus without migraine (after removing Gil et al.)</w:t>
      </w:r>
    </w:p>
    <w:p w14:paraId="1AB76332" w14:textId="77777777" w:rsidR="00F36C23" w:rsidRDefault="00F36C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653CE0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8EDE03F" wp14:editId="28C09380">
            <wp:extent cx="3448050" cy="147524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l="19934" t="25912" r="19934" b="2505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75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DD0A55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S2 </w:t>
      </w:r>
      <w:r>
        <w:rPr>
          <w:rFonts w:ascii="Times New Roman" w:eastAsia="Times New Roman" w:hAnsi="Times New Roman" w:cs="Times New Roman"/>
          <w:sz w:val="24"/>
          <w:szCs w:val="24"/>
        </w:rPr>
        <w:t>- Risk of RVO in individuals with migraine versus without migraine (after removing Gil et al.)</w:t>
      </w:r>
    </w:p>
    <w:p w14:paraId="70E2381E" w14:textId="77777777" w:rsidR="00F36C23" w:rsidRDefault="00F36C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8FBD8D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EE75B54" wp14:editId="0CA7B0D0">
            <wp:extent cx="3533775" cy="1257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9103" t="28481" r="19269" b="29747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679E5D" w14:textId="77777777" w:rsidR="00F36C2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Risk of RAO in individuals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versus those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MwoA</w:t>
      </w:r>
      <w:proofErr w:type="spellEnd"/>
    </w:p>
    <w:p w14:paraId="342D0662" w14:textId="77777777" w:rsidR="00086780" w:rsidRDefault="0008678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2DC036" w14:textId="56EC8063" w:rsidR="00974021" w:rsidRPr="00974021" w:rsidRDefault="00974021" w:rsidP="0097402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402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S1: Studies Excluded by Full-text Screening </w:t>
      </w:r>
    </w:p>
    <w:p w14:paraId="6D2223F3" w14:textId="77777777" w:rsidR="00974021" w:rsidRDefault="00974021" w:rsidP="0097402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1070" w:type="dxa"/>
        <w:tblInd w:w="-995" w:type="dxa"/>
        <w:tblLook w:val="04A0" w:firstRow="1" w:lastRow="0" w:firstColumn="1" w:lastColumn="0" w:noHBand="0" w:noVBand="1"/>
      </w:tblPr>
      <w:tblGrid>
        <w:gridCol w:w="2638"/>
        <w:gridCol w:w="1377"/>
        <w:gridCol w:w="4923"/>
        <w:gridCol w:w="2132"/>
      </w:tblGrid>
      <w:tr w:rsidR="00086780" w14:paraId="307FE0DB" w14:textId="77777777" w:rsidTr="00086780">
        <w:tc>
          <w:tcPr>
            <w:tcW w:w="2638" w:type="dxa"/>
          </w:tcPr>
          <w:p w14:paraId="594037D7" w14:textId="35047601" w:rsidR="00086780" w:rsidRDefault="000867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1377" w:type="dxa"/>
          </w:tcPr>
          <w:p w14:paraId="50B392A2" w14:textId="3AE1709D" w:rsidR="00086780" w:rsidRDefault="000867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4923" w:type="dxa"/>
          </w:tcPr>
          <w:p w14:paraId="0FAB1531" w14:textId="547CBEE1" w:rsidR="00086780" w:rsidRDefault="000867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DOI</w:t>
            </w:r>
          </w:p>
        </w:tc>
        <w:tc>
          <w:tcPr>
            <w:tcW w:w="2132" w:type="dxa"/>
          </w:tcPr>
          <w:p w14:paraId="3158A35C" w14:textId="01AEE0B2" w:rsidR="00086780" w:rsidRDefault="000867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Exclusion Reason</w:t>
            </w:r>
          </w:p>
        </w:tc>
      </w:tr>
      <w:tr w:rsidR="00086780" w14:paraId="22B07CDF" w14:textId="77777777" w:rsidTr="00086780">
        <w:tc>
          <w:tcPr>
            <w:tcW w:w="2638" w:type="dxa"/>
          </w:tcPr>
          <w:p w14:paraId="586AF54D" w14:textId="77777777" w:rsidR="00086780" w:rsidRPr="00086780" w:rsidRDefault="00086780" w:rsidP="000867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Risikofaktoren</w:t>
            </w:r>
            <w:proofErr w:type="spell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bei</w:t>
            </w:r>
            <w:proofErr w:type="spell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Patienten</w:t>
            </w:r>
            <w:proofErr w:type="spell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mit</w:t>
            </w:r>
            <w:proofErr w:type="spell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Amaurosis fugax</w:t>
            </w:r>
          </w:p>
          <w:p w14:paraId="6015DF25" w14:textId="77777777" w:rsidR="00086780" w:rsidRPr="00086780" w:rsidRDefault="00086780" w:rsidP="000867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4E202A2" w14:textId="4F94CFE7" w:rsidR="00086780" w:rsidRPr="00086780" w:rsidRDefault="00086780" w:rsidP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[Risk Factors in Patients with Amaurosis Fugax]</w:t>
            </w:r>
          </w:p>
        </w:tc>
        <w:tc>
          <w:tcPr>
            <w:tcW w:w="1377" w:type="dxa"/>
          </w:tcPr>
          <w:p w14:paraId="5703874B" w14:textId="6C747CCE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4923" w:type="dxa"/>
          </w:tcPr>
          <w:p w14:paraId="5D8BC8DB" w14:textId="1A4E5096" w:rsidR="00086780" w:rsidRPr="00086780" w:rsidRDefault="00086780" w:rsidP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10.1055/s-2008-1035187</w:t>
            </w:r>
          </w:p>
        </w:tc>
        <w:tc>
          <w:tcPr>
            <w:tcW w:w="2132" w:type="dxa"/>
          </w:tcPr>
          <w:p w14:paraId="56A568C0" w14:textId="32E2B0B4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Wrong Outcomes</w:t>
            </w:r>
          </w:p>
        </w:tc>
      </w:tr>
      <w:tr w:rsidR="00086780" w14:paraId="2CD58EC5" w14:textId="77777777" w:rsidTr="00086780">
        <w:tc>
          <w:tcPr>
            <w:tcW w:w="2638" w:type="dxa"/>
          </w:tcPr>
          <w:p w14:paraId="67B338CC" w14:textId="2501A961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MARS: Migraine and Retinal Stroke - A Population-Based Cohort Study of 39 </w:t>
            </w:r>
            <w:proofErr w:type="gram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Million</w:t>
            </w:r>
            <w:proofErr w:type="gram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Patients</w:t>
            </w:r>
          </w:p>
        </w:tc>
        <w:tc>
          <w:tcPr>
            <w:tcW w:w="1377" w:type="dxa"/>
          </w:tcPr>
          <w:p w14:paraId="2BF8142C" w14:textId="755474AC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4923" w:type="dxa"/>
          </w:tcPr>
          <w:p w14:paraId="6196D661" w14:textId="0340FE73" w:rsidR="00086780" w:rsidRPr="00086780" w:rsidRDefault="00086780" w:rsidP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https://dx.doi.org/10.1161/str.55.suppl_1.WP252</w:t>
            </w:r>
          </w:p>
        </w:tc>
        <w:tc>
          <w:tcPr>
            <w:tcW w:w="2132" w:type="dxa"/>
          </w:tcPr>
          <w:p w14:paraId="72AB3322" w14:textId="279DE71D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Abstract later published as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full-text</w:t>
            </w:r>
            <w:proofErr w:type="gramEnd"/>
          </w:p>
        </w:tc>
      </w:tr>
      <w:tr w:rsidR="00086780" w14:paraId="6D3D912C" w14:textId="77777777" w:rsidTr="00086780">
        <w:tc>
          <w:tcPr>
            <w:tcW w:w="2638" w:type="dxa"/>
          </w:tcPr>
          <w:p w14:paraId="17D2F94E" w14:textId="4B706305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Retinal artery occlusion in young patients without typical cardiovascular risk factors: </w:t>
            </w:r>
            <w:proofErr w:type="spellStart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etiologies</w:t>
            </w:r>
            <w:proofErr w:type="spellEnd"/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, prognosis, and suggested work-up.</w:t>
            </w:r>
          </w:p>
        </w:tc>
        <w:tc>
          <w:tcPr>
            <w:tcW w:w="1377" w:type="dxa"/>
          </w:tcPr>
          <w:p w14:paraId="6D0F8B81" w14:textId="0A6B8BB2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4923" w:type="dxa"/>
          </w:tcPr>
          <w:p w14:paraId="13B2E1BB" w14:textId="09B1EC09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780">
              <w:rPr>
                <w:rFonts w:ascii="Times New Roman" w:eastAsia="Times New Roman" w:hAnsi="Times New Roman" w:cs="Times New Roman"/>
                <w:sz w:val="24"/>
                <w:szCs w:val="24"/>
              </w:rPr>
              <w:t>https://dx.doi.org/10.1007/s00417-024-06527-5</w:t>
            </w:r>
          </w:p>
        </w:tc>
        <w:tc>
          <w:tcPr>
            <w:tcW w:w="2132" w:type="dxa"/>
          </w:tcPr>
          <w:p w14:paraId="508A85D8" w14:textId="1F15EE6A" w:rsidR="00086780" w:rsidRPr="00086780" w:rsidRDefault="00086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Wrong Outcomes</w:t>
            </w:r>
          </w:p>
        </w:tc>
      </w:tr>
    </w:tbl>
    <w:p w14:paraId="3916DD68" w14:textId="77777777" w:rsidR="00086780" w:rsidRDefault="0008678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38C98D" w14:textId="77777777" w:rsidR="006101E0" w:rsidRDefault="006101E0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4021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740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Effect measures reported in each included study</w:t>
      </w:r>
    </w:p>
    <w:p w14:paraId="5634CA91" w14:textId="77777777" w:rsidR="006101E0" w:rsidRDefault="006101E0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0340E7" w14:paraId="09634E26" w14:textId="77777777" w:rsidTr="006101E0">
        <w:tc>
          <w:tcPr>
            <w:tcW w:w="4509" w:type="dxa"/>
          </w:tcPr>
          <w:p w14:paraId="51262179" w14:textId="06387E3D" w:rsidR="000340E7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Study</w:t>
            </w:r>
          </w:p>
        </w:tc>
        <w:tc>
          <w:tcPr>
            <w:tcW w:w="4510" w:type="dxa"/>
          </w:tcPr>
          <w:p w14:paraId="3EDEEE28" w14:textId="59090F69" w:rsidR="000340E7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Effect Measure</w:t>
            </w:r>
          </w:p>
        </w:tc>
      </w:tr>
      <w:tr w:rsidR="006101E0" w14:paraId="6388E935" w14:textId="77777777" w:rsidTr="006101E0">
        <w:tc>
          <w:tcPr>
            <w:tcW w:w="4509" w:type="dxa"/>
          </w:tcPr>
          <w:p w14:paraId="10FF09D2" w14:textId="17EABBA9" w:rsidR="006101E0" w:rsidRPr="000340E7" w:rsidRDefault="003A6831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Al-</w:t>
            </w:r>
            <w:proofErr w:type="spellStart"/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Moujahed</w:t>
            </w:r>
            <w:proofErr w:type="spellEnd"/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2021</w:t>
            </w:r>
          </w:p>
        </w:tc>
        <w:tc>
          <w:tcPr>
            <w:tcW w:w="4510" w:type="dxa"/>
          </w:tcPr>
          <w:p w14:paraId="23287E7B" w14:textId="39548E9C" w:rsidR="006101E0" w:rsidRPr="000340E7" w:rsidRDefault="003A6831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HR</w:t>
            </w:r>
          </w:p>
        </w:tc>
      </w:tr>
      <w:tr w:rsidR="006101E0" w14:paraId="31312F3E" w14:textId="77777777" w:rsidTr="006101E0">
        <w:tc>
          <w:tcPr>
            <w:tcW w:w="4509" w:type="dxa"/>
          </w:tcPr>
          <w:p w14:paraId="16677CC2" w14:textId="302526EC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Battagliola</w:t>
            </w:r>
            <w:proofErr w:type="spellEnd"/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2021</w:t>
            </w:r>
          </w:p>
        </w:tc>
        <w:tc>
          <w:tcPr>
            <w:tcW w:w="4510" w:type="dxa"/>
          </w:tcPr>
          <w:p w14:paraId="1B29E489" w14:textId="3471D376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OR</w:t>
            </w:r>
          </w:p>
        </w:tc>
      </w:tr>
      <w:tr w:rsidR="006101E0" w14:paraId="2542866A" w14:textId="77777777" w:rsidTr="006101E0">
        <w:tc>
          <w:tcPr>
            <w:tcW w:w="4509" w:type="dxa"/>
          </w:tcPr>
          <w:p w14:paraId="46EE1E56" w14:textId="21C8BD53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Gil 2025</w:t>
            </w:r>
          </w:p>
        </w:tc>
        <w:tc>
          <w:tcPr>
            <w:tcW w:w="4510" w:type="dxa"/>
          </w:tcPr>
          <w:p w14:paraId="380EA7A7" w14:textId="6DCBB512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RR</w:t>
            </w:r>
          </w:p>
        </w:tc>
      </w:tr>
      <w:tr w:rsidR="006101E0" w14:paraId="4158375A" w14:textId="77777777" w:rsidTr="006101E0">
        <w:tc>
          <w:tcPr>
            <w:tcW w:w="4509" w:type="dxa"/>
          </w:tcPr>
          <w:p w14:paraId="042B54B2" w14:textId="5DEBB55D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Ho 2024</w:t>
            </w:r>
          </w:p>
        </w:tc>
        <w:tc>
          <w:tcPr>
            <w:tcW w:w="4510" w:type="dxa"/>
          </w:tcPr>
          <w:p w14:paraId="0D5CEF62" w14:textId="3B902BFD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HR</w:t>
            </w:r>
          </w:p>
        </w:tc>
      </w:tr>
      <w:tr w:rsidR="006101E0" w14:paraId="41B33D96" w14:textId="77777777" w:rsidTr="006101E0">
        <w:tc>
          <w:tcPr>
            <w:tcW w:w="4509" w:type="dxa"/>
          </w:tcPr>
          <w:p w14:paraId="70504CBC" w14:textId="2CBB82CC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Klein 2008</w:t>
            </w:r>
          </w:p>
        </w:tc>
        <w:tc>
          <w:tcPr>
            <w:tcW w:w="4510" w:type="dxa"/>
          </w:tcPr>
          <w:p w14:paraId="539CCEB8" w14:textId="7534EDAA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OR</w:t>
            </w:r>
          </w:p>
        </w:tc>
      </w:tr>
      <w:tr w:rsidR="006101E0" w14:paraId="74BDF33A" w14:textId="77777777" w:rsidTr="006101E0">
        <w:tc>
          <w:tcPr>
            <w:tcW w:w="4509" w:type="dxa"/>
          </w:tcPr>
          <w:p w14:paraId="144E8E0B" w14:textId="7C714E1B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Kuang 2022</w:t>
            </w:r>
          </w:p>
        </w:tc>
        <w:tc>
          <w:tcPr>
            <w:tcW w:w="4510" w:type="dxa"/>
          </w:tcPr>
          <w:p w14:paraId="24ABFAB7" w14:textId="057BDFE0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OR</w:t>
            </w:r>
          </w:p>
        </w:tc>
      </w:tr>
      <w:tr w:rsidR="006101E0" w14:paraId="23ED90B4" w14:textId="77777777" w:rsidTr="006101E0">
        <w:tc>
          <w:tcPr>
            <w:tcW w:w="4509" w:type="dxa"/>
          </w:tcPr>
          <w:p w14:paraId="3628F37A" w14:textId="25D65E8E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Lusk 2026</w:t>
            </w:r>
          </w:p>
        </w:tc>
        <w:tc>
          <w:tcPr>
            <w:tcW w:w="4510" w:type="dxa"/>
          </w:tcPr>
          <w:p w14:paraId="5C116F74" w14:textId="215B7B11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HR</w:t>
            </w:r>
          </w:p>
        </w:tc>
      </w:tr>
      <w:tr w:rsidR="006101E0" w14:paraId="0A41532B" w14:textId="77777777" w:rsidTr="006101E0">
        <w:tc>
          <w:tcPr>
            <w:tcW w:w="4509" w:type="dxa"/>
          </w:tcPr>
          <w:p w14:paraId="6BD521E1" w14:textId="15FEBF33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Lusk 2024</w:t>
            </w:r>
          </w:p>
        </w:tc>
        <w:tc>
          <w:tcPr>
            <w:tcW w:w="4510" w:type="dxa"/>
          </w:tcPr>
          <w:p w14:paraId="6A81A26E" w14:textId="21D73052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HR</w:t>
            </w:r>
          </w:p>
        </w:tc>
      </w:tr>
      <w:tr w:rsidR="006101E0" w14:paraId="0D763250" w14:textId="77777777" w:rsidTr="006101E0">
        <w:tc>
          <w:tcPr>
            <w:tcW w:w="4509" w:type="dxa"/>
          </w:tcPr>
          <w:p w14:paraId="0720601B" w14:textId="58FD6807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Nitzan 2026</w:t>
            </w:r>
          </w:p>
        </w:tc>
        <w:tc>
          <w:tcPr>
            <w:tcW w:w="4510" w:type="dxa"/>
          </w:tcPr>
          <w:p w14:paraId="0013AA3A" w14:textId="0E609C61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HR</w:t>
            </w:r>
          </w:p>
        </w:tc>
      </w:tr>
      <w:tr w:rsidR="006101E0" w14:paraId="44D66C99" w14:textId="77777777" w:rsidTr="006101E0">
        <w:tc>
          <w:tcPr>
            <w:tcW w:w="4509" w:type="dxa"/>
          </w:tcPr>
          <w:p w14:paraId="0A74E63B" w14:textId="272648C1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Tilleul 2011</w:t>
            </w:r>
          </w:p>
        </w:tc>
        <w:tc>
          <w:tcPr>
            <w:tcW w:w="4510" w:type="dxa"/>
          </w:tcPr>
          <w:p w14:paraId="41B12B49" w14:textId="024A0514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Raw percentage proportion of cases and control</w:t>
            </w:r>
          </w:p>
        </w:tc>
      </w:tr>
      <w:tr w:rsidR="006101E0" w14:paraId="6A941CC4" w14:textId="77777777" w:rsidTr="006101E0">
        <w:tc>
          <w:tcPr>
            <w:tcW w:w="4509" w:type="dxa"/>
          </w:tcPr>
          <w:p w14:paraId="7111127B" w14:textId="38788BF2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Uppuluri 2021</w:t>
            </w:r>
          </w:p>
        </w:tc>
        <w:tc>
          <w:tcPr>
            <w:tcW w:w="4510" w:type="dxa"/>
          </w:tcPr>
          <w:p w14:paraId="36FEDDEA" w14:textId="71F257DE" w:rsidR="006101E0" w:rsidRPr="000340E7" w:rsidRDefault="000340E7" w:rsidP="006101E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OR</w:t>
            </w:r>
          </w:p>
        </w:tc>
      </w:tr>
      <w:tr w:rsidR="000340E7" w14:paraId="239E4863" w14:textId="77777777" w:rsidTr="006101E0">
        <w:tc>
          <w:tcPr>
            <w:tcW w:w="4509" w:type="dxa"/>
          </w:tcPr>
          <w:p w14:paraId="4F208556" w14:textId="247D4C90" w:rsidR="000340E7" w:rsidRPr="000340E7" w:rsidRDefault="000340E7" w:rsidP="000340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Mansour 2017</w:t>
            </w:r>
          </w:p>
        </w:tc>
        <w:tc>
          <w:tcPr>
            <w:tcW w:w="4510" w:type="dxa"/>
          </w:tcPr>
          <w:p w14:paraId="2DA810EE" w14:textId="79B8E7CC" w:rsidR="000340E7" w:rsidRPr="000340E7" w:rsidRDefault="000340E7" w:rsidP="000340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Raw percentage proportion of cases and control</w:t>
            </w:r>
          </w:p>
        </w:tc>
      </w:tr>
      <w:tr w:rsidR="000340E7" w14:paraId="453238DD" w14:textId="77777777" w:rsidTr="006101E0">
        <w:tc>
          <w:tcPr>
            <w:tcW w:w="4509" w:type="dxa"/>
          </w:tcPr>
          <w:p w14:paraId="0A4BD436" w14:textId="1FF7D624" w:rsidR="000340E7" w:rsidRPr="000340E7" w:rsidRDefault="000340E7" w:rsidP="000340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Kumawat 2021</w:t>
            </w:r>
          </w:p>
        </w:tc>
        <w:tc>
          <w:tcPr>
            <w:tcW w:w="4510" w:type="dxa"/>
          </w:tcPr>
          <w:p w14:paraId="1A18D1B8" w14:textId="60606EA6" w:rsidR="000340E7" w:rsidRPr="000340E7" w:rsidRDefault="000340E7" w:rsidP="000340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340E7">
              <w:rPr>
                <w:rFonts w:ascii="Times New Roman" w:eastAsia="Times New Roman" w:hAnsi="Times New Roman" w:cs="Times New Roman"/>
                <w:sz w:val="32"/>
                <w:szCs w:val="32"/>
              </w:rPr>
              <w:t>OR</w:t>
            </w:r>
          </w:p>
        </w:tc>
      </w:tr>
    </w:tbl>
    <w:p w14:paraId="28310F3B" w14:textId="7A98E276" w:rsidR="006101E0" w:rsidRDefault="006101E0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40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1C484F8" w14:textId="77777777" w:rsidR="007134F5" w:rsidRDefault="007134F5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FCE784" w14:textId="6232ED9C" w:rsidR="00016C5E" w:rsidRDefault="00016C5E" w:rsidP="00016C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4021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3: Mapping of each study and its reported outcomes</w:t>
      </w:r>
    </w:p>
    <w:p w14:paraId="4623A850" w14:textId="77777777" w:rsidR="00016C5E" w:rsidRDefault="00016C5E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1340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1350"/>
        <w:gridCol w:w="990"/>
        <w:gridCol w:w="990"/>
        <w:gridCol w:w="990"/>
        <w:gridCol w:w="990"/>
        <w:gridCol w:w="900"/>
        <w:gridCol w:w="990"/>
        <w:gridCol w:w="990"/>
        <w:gridCol w:w="900"/>
        <w:gridCol w:w="900"/>
        <w:gridCol w:w="1350"/>
      </w:tblGrid>
      <w:tr w:rsidR="00803F43" w14:paraId="6CEB449C" w14:textId="03122C5E" w:rsidTr="00803F43">
        <w:trPr>
          <w:trHeight w:val="275"/>
        </w:trPr>
        <w:tc>
          <w:tcPr>
            <w:tcW w:w="1350" w:type="dxa"/>
            <w:vMerge w:val="restart"/>
          </w:tcPr>
          <w:p w14:paraId="56350CC8" w14:textId="58832653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8640" w:type="dxa"/>
            <w:gridSpan w:val="9"/>
          </w:tcPr>
          <w:p w14:paraId="7D677F48" w14:textId="603C9562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Reported?</w:t>
            </w:r>
          </w:p>
        </w:tc>
        <w:tc>
          <w:tcPr>
            <w:tcW w:w="1350" w:type="dxa"/>
            <w:vMerge w:val="restart"/>
          </w:tcPr>
          <w:p w14:paraId="6B3CC625" w14:textId="535FCA1C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803F43" w14:paraId="7C787506" w14:textId="158A7BE6" w:rsidTr="00803F43">
        <w:trPr>
          <w:trHeight w:val="141"/>
        </w:trPr>
        <w:tc>
          <w:tcPr>
            <w:tcW w:w="1350" w:type="dxa"/>
            <w:vMerge/>
          </w:tcPr>
          <w:p w14:paraId="18B40571" w14:textId="77777777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D4181C3" w14:textId="520E3244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Any RVE</w:t>
            </w:r>
          </w:p>
        </w:tc>
        <w:tc>
          <w:tcPr>
            <w:tcW w:w="990" w:type="dxa"/>
          </w:tcPr>
          <w:p w14:paraId="651BFB24" w14:textId="29DA2BBE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Any RAO</w:t>
            </w:r>
          </w:p>
        </w:tc>
        <w:tc>
          <w:tcPr>
            <w:tcW w:w="990" w:type="dxa"/>
          </w:tcPr>
          <w:p w14:paraId="7D7E8418" w14:textId="7A0C4BCF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CRAO</w:t>
            </w:r>
          </w:p>
        </w:tc>
        <w:tc>
          <w:tcPr>
            <w:tcW w:w="990" w:type="dxa"/>
          </w:tcPr>
          <w:p w14:paraId="799E7BC2" w14:textId="27AB7030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BRAO</w:t>
            </w:r>
          </w:p>
        </w:tc>
        <w:tc>
          <w:tcPr>
            <w:tcW w:w="900" w:type="dxa"/>
          </w:tcPr>
          <w:p w14:paraId="4FFEC92C" w14:textId="331E4D39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Any RVO</w:t>
            </w:r>
          </w:p>
        </w:tc>
        <w:tc>
          <w:tcPr>
            <w:tcW w:w="990" w:type="dxa"/>
          </w:tcPr>
          <w:p w14:paraId="2A152857" w14:textId="16DA0FBE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CRVO</w:t>
            </w:r>
          </w:p>
        </w:tc>
        <w:tc>
          <w:tcPr>
            <w:tcW w:w="990" w:type="dxa"/>
          </w:tcPr>
          <w:p w14:paraId="1D2768EA" w14:textId="70DE67BC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BRVO</w:t>
            </w:r>
          </w:p>
        </w:tc>
        <w:tc>
          <w:tcPr>
            <w:tcW w:w="900" w:type="dxa"/>
          </w:tcPr>
          <w:p w14:paraId="0BF09FAB" w14:textId="508F3C46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CSCR</w:t>
            </w:r>
          </w:p>
        </w:tc>
        <w:tc>
          <w:tcPr>
            <w:tcW w:w="900" w:type="dxa"/>
          </w:tcPr>
          <w:p w14:paraId="1ABDD460" w14:textId="290033AA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AMD</w:t>
            </w:r>
          </w:p>
        </w:tc>
        <w:tc>
          <w:tcPr>
            <w:tcW w:w="1350" w:type="dxa"/>
            <w:vMerge/>
          </w:tcPr>
          <w:p w14:paraId="7CBFD3BC" w14:textId="77777777" w:rsidR="00803F43" w:rsidRDefault="00803F43" w:rsidP="00610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3F43" w14:paraId="7EEFB984" w14:textId="662AC171" w:rsidTr="00803F43">
        <w:trPr>
          <w:trHeight w:val="265"/>
        </w:trPr>
        <w:tc>
          <w:tcPr>
            <w:tcW w:w="1350" w:type="dxa"/>
          </w:tcPr>
          <w:p w14:paraId="342E516E" w14:textId="5FD5E6EA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Al-</w:t>
            </w:r>
            <w:proofErr w:type="spellStart"/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Moujahed</w:t>
            </w:r>
            <w:proofErr w:type="spellEnd"/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 xml:space="preserve"> 2021</w:t>
            </w:r>
          </w:p>
        </w:tc>
        <w:tc>
          <w:tcPr>
            <w:tcW w:w="990" w:type="dxa"/>
          </w:tcPr>
          <w:p w14:paraId="6FF6B250" w14:textId="19B01B9F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6623A098" w14:textId="3F514242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7FD4D908" w14:textId="3250B21D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239704BD" w14:textId="0C6B9DDD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39D91CF" w14:textId="25C2C79B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B928F23" w14:textId="43F2FF4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0584A3E" w14:textId="176C362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6250DEE" w14:textId="68303DF4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4C6841FA" w14:textId="1DC5A697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114BE67E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26BF960C" w14:textId="27D62C78" w:rsidTr="00803F43">
        <w:trPr>
          <w:trHeight w:val="275"/>
        </w:trPr>
        <w:tc>
          <w:tcPr>
            <w:tcW w:w="1350" w:type="dxa"/>
          </w:tcPr>
          <w:p w14:paraId="4DACFEF4" w14:textId="2C088177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Battagliola</w:t>
            </w:r>
            <w:proofErr w:type="spellEnd"/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 xml:space="preserve"> 2021</w:t>
            </w:r>
          </w:p>
        </w:tc>
        <w:tc>
          <w:tcPr>
            <w:tcW w:w="990" w:type="dxa"/>
          </w:tcPr>
          <w:p w14:paraId="00BDB62E" w14:textId="3230AD8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0902A688" w14:textId="1793DA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5BB5C24" w14:textId="5B18D313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3FCAA0EA" w14:textId="3DA76D4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5B8C0C45" w14:textId="4E97F6D8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5DD576A2" w14:textId="369EE87D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70C3FBD9" w14:textId="2D65F9B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29A1A7E6" w14:textId="446B6C8D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7AF8EE0" w14:textId="4294A66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5E74B003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059ABD0F" w14:textId="3D915AAD" w:rsidTr="00803F43">
        <w:trPr>
          <w:trHeight w:val="275"/>
        </w:trPr>
        <w:tc>
          <w:tcPr>
            <w:tcW w:w="1350" w:type="dxa"/>
          </w:tcPr>
          <w:p w14:paraId="1EEC222D" w14:textId="5D5B7FA1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Gil 2025</w:t>
            </w:r>
          </w:p>
        </w:tc>
        <w:tc>
          <w:tcPr>
            <w:tcW w:w="990" w:type="dxa"/>
          </w:tcPr>
          <w:p w14:paraId="63E7EDB0" w14:textId="442AF4FB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539674DE" w14:textId="1E30BD08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E0E531F" w14:textId="62667144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697AA60" w14:textId="628C5BB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536FDDBF" w14:textId="44E8625E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4971DA18" w14:textId="5C3721E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EE06A87" w14:textId="3C28C362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226370D2" w14:textId="4C0DB1D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5AFB2D8A" w14:textId="5BBFA19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0C5074CB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3D587D8C" w14:textId="059D5057" w:rsidTr="00803F43">
        <w:trPr>
          <w:trHeight w:val="265"/>
        </w:trPr>
        <w:tc>
          <w:tcPr>
            <w:tcW w:w="1350" w:type="dxa"/>
          </w:tcPr>
          <w:p w14:paraId="1C53A5AB" w14:textId="1A3C35AE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Ho 2024</w:t>
            </w:r>
          </w:p>
        </w:tc>
        <w:tc>
          <w:tcPr>
            <w:tcW w:w="990" w:type="dxa"/>
          </w:tcPr>
          <w:p w14:paraId="500753F5" w14:textId="515E65C6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442CB8BE" w14:textId="2F9E52FF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02B82998" w14:textId="7E72DAD9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6E205427" w14:textId="6118D993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69495541" w14:textId="42DDA5F6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3E04E324" w14:textId="48BDAC94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054EBDDE" w14:textId="44DDF054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38D69702" w14:textId="1622B1D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61B1C9F" w14:textId="61A618B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7F1FBCBE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6D87C9B1" w14:textId="7F98CC7D" w:rsidTr="00803F43">
        <w:trPr>
          <w:trHeight w:val="275"/>
        </w:trPr>
        <w:tc>
          <w:tcPr>
            <w:tcW w:w="1350" w:type="dxa"/>
          </w:tcPr>
          <w:p w14:paraId="06D54306" w14:textId="12E42729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Klein 2008</w:t>
            </w:r>
          </w:p>
        </w:tc>
        <w:tc>
          <w:tcPr>
            <w:tcW w:w="990" w:type="dxa"/>
          </w:tcPr>
          <w:p w14:paraId="3E78E484" w14:textId="4A95E171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3EE383A7" w14:textId="4ED09F6B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393E867E" w14:textId="591C7201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2EBA6E09" w14:textId="334E6BDA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411C1614" w14:textId="3C70505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FBF920F" w14:textId="69655B0E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1B0BD7C3" w14:textId="0B1E4C02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306115DA" w14:textId="636E3636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00E80345" w14:textId="3C0EBA36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23E9E733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6E66815D" w14:textId="5F5758E1" w:rsidTr="00803F43">
        <w:trPr>
          <w:trHeight w:val="265"/>
        </w:trPr>
        <w:tc>
          <w:tcPr>
            <w:tcW w:w="1350" w:type="dxa"/>
          </w:tcPr>
          <w:p w14:paraId="0D516FA2" w14:textId="55BF064B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Kuang 2022</w:t>
            </w:r>
          </w:p>
        </w:tc>
        <w:tc>
          <w:tcPr>
            <w:tcW w:w="990" w:type="dxa"/>
          </w:tcPr>
          <w:p w14:paraId="083455B9" w14:textId="69313B99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AC952B4" w14:textId="34809899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78769B94" w14:textId="34A92C7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793B74F3" w14:textId="0F14371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7902759A" w14:textId="3BC5E01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2B37F49F" w14:textId="4A1B703B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0355743" w14:textId="02DC5667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9616F84" w14:textId="5378FC27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B6EE265" w14:textId="0FB5B039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350" w:type="dxa"/>
          </w:tcPr>
          <w:p w14:paraId="34F9A946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1B558A20" w14:textId="68DFADBB" w:rsidTr="00803F43">
        <w:trPr>
          <w:trHeight w:val="275"/>
        </w:trPr>
        <w:tc>
          <w:tcPr>
            <w:tcW w:w="1350" w:type="dxa"/>
          </w:tcPr>
          <w:p w14:paraId="6D7DC6B1" w14:textId="1C614024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Lusk 2024</w:t>
            </w:r>
          </w:p>
        </w:tc>
        <w:tc>
          <w:tcPr>
            <w:tcW w:w="990" w:type="dxa"/>
          </w:tcPr>
          <w:p w14:paraId="0D3C6286" w14:textId="313745F9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609C69A6" w14:textId="54878FE4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6B8DDD45" w14:textId="1EF74F1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3C6E8359" w14:textId="15922ABA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76B1BABB" w14:textId="3132695C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2F54D65E" w14:textId="19AD69D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01BEAD7" w14:textId="59EB720D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5A0D2D1E" w14:textId="7E13AA4B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E8F28BF" w14:textId="1C0A770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6818CDD3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59F524CE" w14:textId="1A9D1143" w:rsidTr="00803F43">
        <w:trPr>
          <w:trHeight w:val="275"/>
        </w:trPr>
        <w:tc>
          <w:tcPr>
            <w:tcW w:w="1350" w:type="dxa"/>
          </w:tcPr>
          <w:p w14:paraId="3BA0C092" w14:textId="59E67733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Tilleul 2011</w:t>
            </w:r>
          </w:p>
        </w:tc>
        <w:tc>
          <w:tcPr>
            <w:tcW w:w="990" w:type="dxa"/>
          </w:tcPr>
          <w:p w14:paraId="21087DCD" w14:textId="6AD39DFA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5DCEF65D" w14:textId="446AFF6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67CE4645" w14:textId="1D648759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6F6AA1E6" w14:textId="237DCBFB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68D1F6C7" w14:textId="1A0DFD8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6899B9E2" w14:textId="1DD5239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09CBDB26" w14:textId="7DD7340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6CA2F374" w14:textId="74A1CBC8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26029727" w14:textId="5884C6A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16AC099D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3DF6F8D2" w14:textId="60F99071" w:rsidTr="00803F43">
        <w:trPr>
          <w:trHeight w:val="265"/>
        </w:trPr>
        <w:tc>
          <w:tcPr>
            <w:tcW w:w="1350" w:type="dxa"/>
          </w:tcPr>
          <w:p w14:paraId="2C91DDFC" w14:textId="7977BC5C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Uppuluri 2021</w:t>
            </w:r>
          </w:p>
        </w:tc>
        <w:tc>
          <w:tcPr>
            <w:tcW w:w="990" w:type="dxa"/>
          </w:tcPr>
          <w:p w14:paraId="72FDDCA4" w14:textId="28402AB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3F43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10068674" w14:textId="57D5A3E8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6560C1D1" w14:textId="4271068E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4BF8592C" w14:textId="2C072EAE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181DC8E" w14:textId="7600BF31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1DC713B" w14:textId="2CC13D5C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CD0F4AE" w14:textId="3883454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5747AEA5" w14:textId="084FB36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E85BCE8" w14:textId="78C57AE2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61273908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3602287F" w14:textId="38C3DD05" w:rsidTr="00803F43">
        <w:trPr>
          <w:trHeight w:val="275"/>
        </w:trPr>
        <w:tc>
          <w:tcPr>
            <w:tcW w:w="1350" w:type="dxa"/>
          </w:tcPr>
          <w:p w14:paraId="46B463D6" w14:textId="018217A7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Lusk 2026</w:t>
            </w:r>
          </w:p>
        </w:tc>
        <w:tc>
          <w:tcPr>
            <w:tcW w:w="990" w:type="dxa"/>
          </w:tcPr>
          <w:p w14:paraId="1166D087" w14:textId="26252A96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305A7EF8" w14:textId="7ADF79B5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AC5C537" w14:textId="6A4D0974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302B8FA5" w14:textId="28709091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2327D6B" w14:textId="0166D3F6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3B4AFCEF" w14:textId="60DE2A34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3746BE4" w14:textId="460602AE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345BF8F3" w14:textId="6FA1A0D4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7EADB1D5" w14:textId="26A3DA21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4D02DEFC" w14:textId="011F3AF3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03F43">
              <w:rPr>
                <w:rFonts w:ascii="Times New Roman" w:eastAsia="Times New Roman" w:hAnsi="Times New Roman" w:cs="Times New Roman"/>
                <w:sz w:val="12"/>
                <w:szCs w:val="12"/>
              </w:rPr>
              <w:t>Lusk 2026 reports on the risk of CRAO in individuals using anti-CGRP therapies.</w:t>
            </w:r>
          </w:p>
        </w:tc>
      </w:tr>
      <w:tr w:rsidR="00803F43" w14:paraId="2FB6137A" w14:textId="02313F0B" w:rsidTr="00803F43">
        <w:trPr>
          <w:trHeight w:val="265"/>
        </w:trPr>
        <w:tc>
          <w:tcPr>
            <w:tcW w:w="1350" w:type="dxa"/>
          </w:tcPr>
          <w:p w14:paraId="0BD85393" w14:textId="76D20974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Nitzan 2026</w:t>
            </w:r>
          </w:p>
        </w:tc>
        <w:tc>
          <w:tcPr>
            <w:tcW w:w="990" w:type="dxa"/>
          </w:tcPr>
          <w:p w14:paraId="050AF42A" w14:textId="47FB6F1B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90" w:type="dxa"/>
          </w:tcPr>
          <w:p w14:paraId="1045A6DC" w14:textId="39FDD4A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B1EF0DB" w14:textId="0CE9B9C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D0ADE78" w14:textId="2A96A28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3505846D" w14:textId="15B3B3A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23692484" w14:textId="0C5BC260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2C20615" w14:textId="1F0481A4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78703F86" w14:textId="05806C8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67D92D10" w14:textId="4B08333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364C4623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2CC8A4D8" w14:textId="272B8EF3" w:rsidTr="00803F43">
        <w:trPr>
          <w:trHeight w:val="275"/>
        </w:trPr>
        <w:tc>
          <w:tcPr>
            <w:tcW w:w="1350" w:type="dxa"/>
          </w:tcPr>
          <w:p w14:paraId="77160CE7" w14:textId="72C19249" w:rsid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88B">
              <w:rPr>
                <w:rFonts w:asciiTheme="majorBidi" w:eastAsia="Times New Roman" w:hAnsiTheme="majorBidi" w:cstheme="majorBidi"/>
                <w:sz w:val="14"/>
                <w:szCs w:val="14"/>
              </w:rPr>
              <w:t>Mansour 2017</w:t>
            </w:r>
          </w:p>
        </w:tc>
        <w:tc>
          <w:tcPr>
            <w:tcW w:w="990" w:type="dxa"/>
          </w:tcPr>
          <w:p w14:paraId="23F9F51A" w14:textId="0A05193E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73CB199" w14:textId="4BF349DF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7E761B89" w14:textId="4F65BBFD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40B58A0" w14:textId="6FE5DC4C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12539D5D" w14:textId="2A0033C9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68304A1" w14:textId="373C8915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C4B87D1" w14:textId="0AEE3ECF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08A63FAF" w14:textId="657578EC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26F4E2C3" w14:textId="14A20D1E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4D17CFC7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F43" w14:paraId="78DB0646" w14:textId="258AD46B" w:rsidTr="00803F43">
        <w:trPr>
          <w:trHeight w:val="275"/>
        </w:trPr>
        <w:tc>
          <w:tcPr>
            <w:tcW w:w="1350" w:type="dxa"/>
          </w:tcPr>
          <w:p w14:paraId="2BE9118E" w14:textId="442A2988" w:rsidR="00803F43" w:rsidRPr="0042688B" w:rsidRDefault="00803F43" w:rsidP="007134F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sz w:val="14"/>
                <w:szCs w:val="14"/>
              </w:rPr>
              <w:t>Kumawat 20</w:t>
            </w:r>
            <w:r w:rsidR="00144405">
              <w:rPr>
                <w:rFonts w:asciiTheme="majorBidi" w:eastAsia="Times New Roman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990" w:type="dxa"/>
          </w:tcPr>
          <w:p w14:paraId="27534237" w14:textId="00A61C25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401FF25A" w14:textId="59D498B5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24A12D48" w14:textId="7D897543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652DAAD" w14:textId="604145D8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439C0F8A" w14:textId="64CF743E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550D022A" w14:textId="2863CAEA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6F18E7B6" w14:textId="70EC3096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297E24E2" w14:textId="4D8F2A1F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6759BE00" w14:textId="27DDF198" w:rsidR="00803F43" w:rsidRPr="00803F43" w:rsidRDefault="00016C5E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5A03DF84" w14:textId="77777777" w:rsidR="00803F43" w:rsidRPr="00803F43" w:rsidRDefault="00803F43" w:rsidP="007134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C21295" w14:textId="77777777" w:rsidR="007134F5" w:rsidRPr="00974021" w:rsidRDefault="007134F5" w:rsidP="006101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A98A71" w14:textId="77777777" w:rsidR="006101E0" w:rsidRDefault="006101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6101E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7F9B74-1BC0-4488-8BF4-3361A51410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83377D4-E056-4D30-A12B-ED68F5CD48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23"/>
    <w:rsid w:val="00016C5E"/>
    <w:rsid w:val="000340E7"/>
    <w:rsid w:val="00036E00"/>
    <w:rsid w:val="00086780"/>
    <w:rsid w:val="00144405"/>
    <w:rsid w:val="00230A4D"/>
    <w:rsid w:val="002D4699"/>
    <w:rsid w:val="003A6831"/>
    <w:rsid w:val="006101E0"/>
    <w:rsid w:val="007134F5"/>
    <w:rsid w:val="00803F43"/>
    <w:rsid w:val="00974021"/>
    <w:rsid w:val="00A478F3"/>
    <w:rsid w:val="00C24C30"/>
    <w:rsid w:val="00CA4EBC"/>
    <w:rsid w:val="00CE00F6"/>
    <w:rsid w:val="00F3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74BC"/>
  <w15:docId w15:val="{02272E01-FCC1-4AED-9137-3E5D6371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0867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67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358</Words>
  <Characters>2264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Mohammd Ibrahim</dc:creator>
  <cp:lastModifiedBy>'mohamed ibrahim abdelatty elsayed mohamed'</cp:lastModifiedBy>
  <cp:revision>5</cp:revision>
  <dcterms:created xsi:type="dcterms:W3CDTF">2026-03-13T10:00:00Z</dcterms:created>
  <dcterms:modified xsi:type="dcterms:W3CDTF">2026-03-25T19:21:00Z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187139da-4178-46b8-9bf8-afe3bef3dfe2</vt:lpwstr>
  </property>
</Properties>
</file>