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C2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Supplementary 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. Comparison between pre-enrollment diagnoses and current clinical diagnoses (ICHD-3) among patients with prior medical consultations (n=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,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133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). The Sankey diagram illustrates the diagnostic transition from previous clinical labels to ICHD-3-based specialist diagnoses, specifically focusing on the sub-population that had sought medical evaluation before registry enrollment (excluding ‘not consulted’ and ‘uncertain’ categories). Color denotes diagnostic accuracy (Blue: Correct prior diagnosis; Others: Misdiagnosed/Unresolved). The width of the flows is proportional to the patient volume within this consulted cohort.</w:t>
      </w:r>
    </w:p>
    <w:p w14:paraId="39C41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4935220" cy="4750435"/>
            <wp:effectExtent l="0" t="0" r="0" b="0"/>
            <wp:docPr id="1" name="图片 1" descr="Supplementary 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1"/>
                    <pic:cNvPicPr>
                      <a:picLocks noChangeAspect="1"/>
                    </pic:cNvPicPr>
                  </pic:nvPicPr>
                  <pic:blipFill>
                    <a:blip r:embed="rId4"/>
                    <a:srcRect r="1446" b="861"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D2A82"/>
    <w:rsid w:val="2A2D2A82"/>
    <w:rsid w:val="57E5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567</Characters>
  <Lines>0</Lines>
  <Paragraphs>0</Paragraphs>
  <TotalTime>64</TotalTime>
  <ScaleCrop>false</ScaleCrop>
  <LinksUpToDate>false</LinksUpToDate>
  <CharactersWithSpaces>644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2026-04-19T09:51:00Z</dcterms:created>
  <dc:creator>Ryan</dc:creator>
  <cp:lastModifiedBy>Ye Ran</cp:lastModifiedBy>
  <dcterms:modified xsi:type="dcterms:W3CDTF">2026-04-28T10:03:26Z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6346A062A7CD41528AD951C093991686_11</vt:lpwstr>
  </property>
  <property fmtid="{D5CDD505-2E9C-101B-9397-08002B2CF9AE}" pid="4" name="KSOTemplateDocerSaveRecord">
    <vt:lpwstr>eyJoZGlkIjoiN2E1YzhiMDYzNDE1MDU4Y2Q4NzI2MzNhYTAwYzU4ODMiLCJ1c2VySWQiOiI3MDYyMjkwMjMifQ==</vt:lpwstr>
  </property>
</Properties>
</file>