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BBF7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bookmarkStart w:id="0" w:name="Xd7f681b8deaf57d8ebb66b0f67e8d258c753274"/>
      <w:r>
        <w:rPr>
          <w:rFonts w:hint="default" w:ascii="Times New Roman" w:hAnsi="Times New Roman" w:cs="Times New Roman"/>
          <w:color w:val="auto"/>
          <w:sz w:val="24"/>
          <w:szCs w:val="24"/>
        </w:rPr>
        <w:t>Supplementary Table 1.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Geographical distribution of participants in the China Migraine Registry (CHIME) study</w:t>
      </w:r>
    </w:p>
    <w:tbl>
      <w:tblPr>
        <w:tblStyle w:val="21"/>
        <w:tblW w:w="0" w:type="auto"/>
        <w:jc w:val="center"/>
        <w:tblCellSpacing w:w="15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76"/>
        <w:gridCol w:w="2862"/>
        <w:gridCol w:w="1640"/>
      </w:tblGrid>
      <w:tr w14:paraId="63B5CDF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  <w:tblHeader/>
          <w:tblCellSpacing w:w="15" w:type="dxa"/>
          <w:jc w:val="center"/>
        </w:trPr>
        <w:tc>
          <w:tcPr>
            <w:tcW w:w="2431" w:type="dxa"/>
            <w:tcBorders>
              <w:bottom w:val="single" w:color="auto" w:sz="8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7E0B3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Province</w:t>
            </w:r>
          </w:p>
        </w:tc>
        <w:tc>
          <w:tcPr>
            <w:tcW w:w="2832" w:type="dxa"/>
            <w:tcBorders>
              <w:bottom w:val="single" w:color="auto" w:sz="8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12DE6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Number of Participants (n)</w:t>
            </w:r>
          </w:p>
        </w:tc>
        <w:tc>
          <w:tcPr>
            <w:tcW w:w="1595" w:type="dxa"/>
            <w:tcBorders>
              <w:bottom w:val="single" w:color="auto" w:sz="8" w:space="0"/>
            </w:tcBorders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2A007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Proportion (%)</w:t>
            </w:r>
          </w:p>
        </w:tc>
      </w:tr>
      <w:tr w14:paraId="65D4E20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" w:hRule="atLeast"/>
          <w:tblCellSpacing w:w="15" w:type="dxa"/>
          <w:jc w:val="center"/>
        </w:trPr>
        <w:tc>
          <w:tcPr>
            <w:tcW w:w="2431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1F744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Beijing</w:t>
            </w:r>
          </w:p>
        </w:tc>
        <w:tc>
          <w:tcPr>
            <w:tcW w:w="2832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D013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2826</w:t>
            </w:r>
          </w:p>
        </w:tc>
        <w:tc>
          <w:tcPr>
            <w:tcW w:w="159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7B274CCF">
            <w:pPr>
              <w:pStyle w:val="20"/>
              <w:keepNext w:val="0"/>
              <w:keepLines w:val="0"/>
              <w:pageBreakBefore w:val="0"/>
              <w:widowControl/>
              <w:suppressLineNumbers w:val="0"/>
              <w:pBdr>
                <w:top w:val="none" w:color="1F1F1F" w:sz="0" w:space="0"/>
                <w:left w:val="none" w:color="1F1F1F" w:sz="0" w:space="0"/>
                <w:bottom w:val="none" w:color="1F1F1F" w:sz="0" w:space="0"/>
                <w:right w:val="none" w:color="1F1F1F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  <w:t xml:space="preserve">23.92% </w:t>
            </w:r>
          </w:p>
        </w:tc>
      </w:tr>
      <w:tr w14:paraId="76F44F9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" w:hRule="atLeast"/>
          <w:tblCellSpacing w:w="15" w:type="dxa"/>
          <w:jc w:val="center"/>
        </w:trPr>
        <w:tc>
          <w:tcPr>
            <w:tcW w:w="2431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D15E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Shandong</w:t>
            </w:r>
          </w:p>
        </w:tc>
        <w:tc>
          <w:tcPr>
            <w:tcW w:w="2832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020D0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1034</w:t>
            </w:r>
          </w:p>
        </w:tc>
        <w:tc>
          <w:tcPr>
            <w:tcW w:w="159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1D4B89E1">
            <w:pPr>
              <w:pStyle w:val="20"/>
              <w:keepNext w:val="0"/>
              <w:keepLines w:val="0"/>
              <w:pageBreakBefore w:val="0"/>
              <w:widowControl/>
              <w:suppressLineNumbers w:val="0"/>
              <w:pBdr>
                <w:top w:val="none" w:color="1F1F1F" w:sz="0" w:space="0"/>
                <w:left w:val="none" w:color="1F1F1F" w:sz="0" w:space="0"/>
                <w:bottom w:val="none" w:color="1F1F1F" w:sz="0" w:space="0"/>
                <w:right w:val="none" w:color="1F1F1F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  <w:t xml:space="preserve">8.75% </w:t>
            </w:r>
          </w:p>
        </w:tc>
      </w:tr>
      <w:tr w14:paraId="4E7A2E6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" w:hRule="atLeast"/>
          <w:tblCellSpacing w:w="15" w:type="dxa"/>
          <w:jc w:val="center"/>
        </w:trPr>
        <w:tc>
          <w:tcPr>
            <w:tcW w:w="2431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80DC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Hunan</w:t>
            </w:r>
          </w:p>
        </w:tc>
        <w:tc>
          <w:tcPr>
            <w:tcW w:w="2832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DF82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834</w:t>
            </w:r>
          </w:p>
        </w:tc>
        <w:tc>
          <w:tcPr>
            <w:tcW w:w="159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0DBDB8B9">
            <w:pPr>
              <w:pStyle w:val="20"/>
              <w:keepNext w:val="0"/>
              <w:keepLines w:val="0"/>
              <w:pageBreakBefore w:val="0"/>
              <w:widowControl/>
              <w:suppressLineNumbers w:val="0"/>
              <w:pBdr>
                <w:top w:val="none" w:color="1F1F1F" w:sz="0" w:space="0"/>
                <w:left w:val="none" w:color="1F1F1F" w:sz="0" w:space="0"/>
                <w:bottom w:val="none" w:color="1F1F1F" w:sz="0" w:space="0"/>
                <w:right w:val="none" w:color="1F1F1F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  <w:t xml:space="preserve">7.06% </w:t>
            </w:r>
          </w:p>
        </w:tc>
      </w:tr>
      <w:tr w14:paraId="5A57936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" w:hRule="atLeast"/>
          <w:tblCellSpacing w:w="15" w:type="dxa"/>
          <w:jc w:val="center"/>
        </w:trPr>
        <w:tc>
          <w:tcPr>
            <w:tcW w:w="2431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07ABCB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Guangdong</w:t>
            </w:r>
          </w:p>
        </w:tc>
        <w:tc>
          <w:tcPr>
            <w:tcW w:w="2832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ABBD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822</w:t>
            </w:r>
          </w:p>
        </w:tc>
        <w:tc>
          <w:tcPr>
            <w:tcW w:w="159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4069831E">
            <w:pPr>
              <w:pStyle w:val="20"/>
              <w:keepNext w:val="0"/>
              <w:keepLines w:val="0"/>
              <w:pageBreakBefore w:val="0"/>
              <w:widowControl/>
              <w:suppressLineNumbers w:val="0"/>
              <w:pBdr>
                <w:top w:val="none" w:color="1F1F1F" w:sz="0" w:space="0"/>
                <w:left w:val="none" w:color="1F1F1F" w:sz="0" w:space="0"/>
                <w:bottom w:val="none" w:color="1F1F1F" w:sz="0" w:space="0"/>
                <w:right w:val="none" w:color="1F1F1F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  <w:t xml:space="preserve">6.96% </w:t>
            </w:r>
          </w:p>
        </w:tc>
      </w:tr>
      <w:tr w14:paraId="4B74830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" w:hRule="atLeast"/>
          <w:tblCellSpacing w:w="15" w:type="dxa"/>
          <w:jc w:val="center"/>
        </w:trPr>
        <w:tc>
          <w:tcPr>
            <w:tcW w:w="2431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F64C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Shanghai</w:t>
            </w:r>
          </w:p>
        </w:tc>
        <w:tc>
          <w:tcPr>
            <w:tcW w:w="2832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810C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778</w:t>
            </w:r>
          </w:p>
        </w:tc>
        <w:tc>
          <w:tcPr>
            <w:tcW w:w="159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6DCF807C">
            <w:pPr>
              <w:pStyle w:val="20"/>
              <w:keepNext w:val="0"/>
              <w:keepLines w:val="0"/>
              <w:pageBreakBefore w:val="0"/>
              <w:widowControl/>
              <w:suppressLineNumbers w:val="0"/>
              <w:pBdr>
                <w:top w:val="none" w:color="1F1F1F" w:sz="0" w:space="0"/>
                <w:left w:val="none" w:color="1F1F1F" w:sz="0" w:space="0"/>
                <w:bottom w:val="none" w:color="1F1F1F" w:sz="0" w:space="0"/>
                <w:right w:val="none" w:color="1F1F1F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  <w:t xml:space="preserve">6.59% </w:t>
            </w:r>
          </w:p>
        </w:tc>
      </w:tr>
      <w:tr w14:paraId="1F9EA80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" w:hRule="atLeast"/>
          <w:tblCellSpacing w:w="15" w:type="dxa"/>
          <w:jc w:val="center"/>
        </w:trPr>
        <w:tc>
          <w:tcPr>
            <w:tcW w:w="2431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E460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Fujian</w:t>
            </w:r>
          </w:p>
        </w:tc>
        <w:tc>
          <w:tcPr>
            <w:tcW w:w="2832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4D6CE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714</w:t>
            </w:r>
          </w:p>
        </w:tc>
        <w:tc>
          <w:tcPr>
            <w:tcW w:w="159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735325A7">
            <w:pPr>
              <w:pStyle w:val="20"/>
              <w:keepNext w:val="0"/>
              <w:keepLines w:val="0"/>
              <w:pageBreakBefore w:val="0"/>
              <w:widowControl/>
              <w:suppressLineNumbers w:val="0"/>
              <w:pBdr>
                <w:top w:val="none" w:color="1F1F1F" w:sz="0" w:space="0"/>
                <w:left w:val="none" w:color="1F1F1F" w:sz="0" w:space="0"/>
                <w:bottom w:val="none" w:color="1F1F1F" w:sz="0" w:space="0"/>
                <w:right w:val="none" w:color="1F1F1F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  <w:t xml:space="preserve">6.04% </w:t>
            </w:r>
          </w:p>
        </w:tc>
      </w:tr>
      <w:tr w14:paraId="3AE253A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" w:hRule="atLeast"/>
          <w:tblCellSpacing w:w="15" w:type="dxa"/>
          <w:jc w:val="center"/>
        </w:trPr>
        <w:tc>
          <w:tcPr>
            <w:tcW w:w="2431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7E86A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Zhejiang</w:t>
            </w:r>
          </w:p>
        </w:tc>
        <w:tc>
          <w:tcPr>
            <w:tcW w:w="2832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07CDA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525</w:t>
            </w:r>
          </w:p>
        </w:tc>
        <w:tc>
          <w:tcPr>
            <w:tcW w:w="159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22F8BC5B">
            <w:pPr>
              <w:pStyle w:val="20"/>
              <w:keepNext w:val="0"/>
              <w:keepLines w:val="0"/>
              <w:pageBreakBefore w:val="0"/>
              <w:widowControl/>
              <w:suppressLineNumbers w:val="0"/>
              <w:pBdr>
                <w:top w:val="none" w:color="1F1F1F" w:sz="0" w:space="0"/>
                <w:left w:val="none" w:color="1F1F1F" w:sz="0" w:space="0"/>
                <w:bottom w:val="none" w:color="1F1F1F" w:sz="0" w:space="0"/>
                <w:right w:val="none" w:color="1F1F1F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  <w:t xml:space="preserve">4.44% </w:t>
            </w:r>
          </w:p>
        </w:tc>
      </w:tr>
      <w:tr w14:paraId="44E81E6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" w:hRule="atLeast"/>
          <w:tblCellSpacing w:w="15" w:type="dxa"/>
          <w:jc w:val="center"/>
        </w:trPr>
        <w:tc>
          <w:tcPr>
            <w:tcW w:w="2431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1BE2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Jiangsu</w:t>
            </w:r>
          </w:p>
        </w:tc>
        <w:tc>
          <w:tcPr>
            <w:tcW w:w="2832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451D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479</w:t>
            </w:r>
          </w:p>
        </w:tc>
        <w:tc>
          <w:tcPr>
            <w:tcW w:w="159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3D0CF340">
            <w:pPr>
              <w:pStyle w:val="20"/>
              <w:keepNext w:val="0"/>
              <w:keepLines w:val="0"/>
              <w:pageBreakBefore w:val="0"/>
              <w:widowControl/>
              <w:suppressLineNumbers w:val="0"/>
              <w:pBdr>
                <w:top w:val="none" w:color="1F1F1F" w:sz="0" w:space="0"/>
                <w:left w:val="none" w:color="1F1F1F" w:sz="0" w:space="0"/>
                <w:bottom w:val="none" w:color="1F1F1F" w:sz="0" w:space="0"/>
                <w:right w:val="none" w:color="1F1F1F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  <w:t xml:space="preserve">4.05% </w:t>
            </w:r>
          </w:p>
        </w:tc>
      </w:tr>
      <w:tr w14:paraId="1770BE4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" w:hRule="atLeast"/>
          <w:tblCellSpacing w:w="15" w:type="dxa"/>
          <w:jc w:val="center"/>
        </w:trPr>
        <w:tc>
          <w:tcPr>
            <w:tcW w:w="2431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1498A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Jilin</w:t>
            </w:r>
          </w:p>
        </w:tc>
        <w:tc>
          <w:tcPr>
            <w:tcW w:w="2832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06356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477</w:t>
            </w:r>
          </w:p>
        </w:tc>
        <w:tc>
          <w:tcPr>
            <w:tcW w:w="159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27355384">
            <w:pPr>
              <w:pStyle w:val="20"/>
              <w:keepNext w:val="0"/>
              <w:keepLines w:val="0"/>
              <w:pageBreakBefore w:val="0"/>
              <w:widowControl/>
              <w:suppressLineNumbers w:val="0"/>
              <w:pBdr>
                <w:top w:val="none" w:color="1F1F1F" w:sz="0" w:space="0"/>
                <w:left w:val="none" w:color="1F1F1F" w:sz="0" w:space="0"/>
                <w:bottom w:val="none" w:color="1F1F1F" w:sz="0" w:space="0"/>
                <w:right w:val="none" w:color="1F1F1F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  <w:t xml:space="preserve">4.04% </w:t>
            </w:r>
          </w:p>
        </w:tc>
      </w:tr>
      <w:tr w14:paraId="5858F97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" w:hRule="atLeast"/>
          <w:tblCellSpacing w:w="15" w:type="dxa"/>
          <w:jc w:val="center"/>
        </w:trPr>
        <w:tc>
          <w:tcPr>
            <w:tcW w:w="2431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094DA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Chongqing</w:t>
            </w:r>
          </w:p>
        </w:tc>
        <w:tc>
          <w:tcPr>
            <w:tcW w:w="2832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45C65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467</w:t>
            </w:r>
          </w:p>
        </w:tc>
        <w:tc>
          <w:tcPr>
            <w:tcW w:w="159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4A2C1693">
            <w:pPr>
              <w:pStyle w:val="20"/>
              <w:keepNext w:val="0"/>
              <w:keepLines w:val="0"/>
              <w:pageBreakBefore w:val="0"/>
              <w:widowControl/>
              <w:suppressLineNumbers w:val="0"/>
              <w:pBdr>
                <w:top w:val="none" w:color="1F1F1F" w:sz="0" w:space="0"/>
                <w:left w:val="none" w:color="1F1F1F" w:sz="0" w:space="0"/>
                <w:bottom w:val="none" w:color="1F1F1F" w:sz="0" w:space="0"/>
                <w:right w:val="none" w:color="1F1F1F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  <w:t xml:space="preserve">3.95% </w:t>
            </w:r>
          </w:p>
        </w:tc>
      </w:tr>
      <w:tr w14:paraId="3B536E3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" w:hRule="atLeast"/>
          <w:tblCellSpacing w:w="15" w:type="dxa"/>
          <w:jc w:val="center"/>
        </w:trPr>
        <w:tc>
          <w:tcPr>
            <w:tcW w:w="2431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15772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Sichuan</w:t>
            </w:r>
          </w:p>
        </w:tc>
        <w:tc>
          <w:tcPr>
            <w:tcW w:w="2832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B6222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388</w:t>
            </w:r>
          </w:p>
        </w:tc>
        <w:tc>
          <w:tcPr>
            <w:tcW w:w="159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5A034AC0">
            <w:pPr>
              <w:pStyle w:val="20"/>
              <w:keepNext w:val="0"/>
              <w:keepLines w:val="0"/>
              <w:pageBreakBefore w:val="0"/>
              <w:widowControl/>
              <w:suppressLineNumbers w:val="0"/>
              <w:pBdr>
                <w:top w:val="none" w:color="1F1F1F" w:sz="0" w:space="0"/>
                <w:left w:val="none" w:color="1F1F1F" w:sz="0" w:space="0"/>
                <w:bottom w:val="none" w:color="1F1F1F" w:sz="0" w:space="0"/>
                <w:right w:val="none" w:color="1F1F1F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  <w:t xml:space="preserve">3.28% </w:t>
            </w:r>
          </w:p>
        </w:tc>
      </w:tr>
      <w:tr w14:paraId="62FD6FC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" w:hRule="atLeast"/>
          <w:tblCellSpacing w:w="15" w:type="dxa"/>
          <w:jc w:val="center"/>
        </w:trPr>
        <w:tc>
          <w:tcPr>
            <w:tcW w:w="2431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774CF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Liaoning</w:t>
            </w:r>
          </w:p>
        </w:tc>
        <w:tc>
          <w:tcPr>
            <w:tcW w:w="2832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0EAAB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338</w:t>
            </w:r>
          </w:p>
        </w:tc>
        <w:tc>
          <w:tcPr>
            <w:tcW w:w="159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25710E06">
            <w:pPr>
              <w:pStyle w:val="20"/>
              <w:keepNext w:val="0"/>
              <w:keepLines w:val="0"/>
              <w:pageBreakBefore w:val="0"/>
              <w:widowControl/>
              <w:suppressLineNumbers w:val="0"/>
              <w:pBdr>
                <w:top w:val="none" w:color="1F1F1F" w:sz="0" w:space="0"/>
                <w:left w:val="none" w:color="1F1F1F" w:sz="0" w:space="0"/>
                <w:bottom w:val="none" w:color="1F1F1F" w:sz="0" w:space="0"/>
                <w:right w:val="none" w:color="1F1F1F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  <w:t xml:space="preserve">2.86% </w:t>
            </w:r>
          </w:p>
        </w:tc>
      </w:tr>
      <w:tr w14:paraId="5E83CA3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" w:hRule="atLeast"/>
          <w:tblCellSpacing w:w="15" w:type="dxa"/>
          <w:jc w:val="center"/>
        </w:trPr>
        <w:tc>
          <w:tcPr>
            <w:tcW w:w="2431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C83D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Hubei</w:t>
            </w:r>
          </w:p>
        </w:tc>
        <w:tc>
          <w:tcPr>
            <w:tcW w:w="2832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D0E7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338</w:t>
            </w:r>
          </w:p>
        </w:tc>
        <w:tc>
          <w:tcPr>
            <w:tcW w:w="159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7491A205">
            <w:pPr>
              <w:pStyle w:val="20"/>
              <w:keepNext w:val="0"/>
              <w:keepLines w:val="0"/>
              <w:pageBreakBefore w:val="0"/>
              <w:widowControl/>
              <w:suppressLineNumbers w:val="0"/>
              <w:pBdr>
                <w:top w:val="none" w:color="1F1F1F" w:sz="0" w:space="0"/>
                <w:left w:val="none" w:color="1F1F1F" w:sz="0" w:space="0"/>
                <w:bottom w:val="none" w:color="1F1F1F" w:sz="0" w:space="0"/>
                <w:right w:val="none" w:color="1F1F1F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  <w:t xml:space="preserve">2.86% </w:t>
            </w:r>
          </w:p>
        </w:tc>
      </w:tr>
      <w:tr w14:paraId="57815A3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" w:hRule="atLeast"/>
          <w:tblCellSpacing w:w="15" w:type="dxa"/>
          <w:jc w:val="center"/>
        </w:trPr>
        <w:tc>
          <w:tcPr>
            <w:tcW w:w="2431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1355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Shaanxi</w:t>
            </w:r>
          </w:p>
        </w:tc>
        <w:tc>
          <w:tcPr>
            <w:tcW w:w="2832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B16F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334</w:t>
            </w:r>
          </w:p>
        </w:tc>
        <w:tc>
          <w:tcPr>
            <w:tcW w:w="159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763E1903">
            <w:pPr>
              <w:pStyle w:val="20"/>
              <w:keepNext w:val="0"/>
              <w:keepLines w:val="0"/>
              <w:pageBreakBefore w:val="0"/>
              <w:widowControl/>
              <w:suppressLineNumbers w:val="0"/>
              <w:pBdr>
                <w:top w:val="none" w:color="1F1F1F" w:sz="0" w:space="0"/>
                <w:left w:val="none" w:color="1F1F1F" w:sz="0" w:space="0"/>
                <w:bottom w:val="none" w:color="1F1F1F" w:sz="0" w:space="0"/>
                <w:right w:val="none" w:color="1F1F1F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  <w:t xml:space="preserve">2.83% </w:t>
            </w:r>
          </w:p>
        </w:tc>
      </w:tr>
      <w:tr w14:paraId="1A0B845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" w:hRule="atLeast"/>
          <w:tblCellSpacing w:w="15" w:type="dxa"/>
          <w:jc w:val="center"/>
        </w:trPr>
        <w:tc>
          <w:tcPr>
            <w:tcW w:w="2431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78D3B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Shanxi</w:t>
            </w:r>
          </w:p>
        </w:tc>
        <w:tc>
          <w:tcPr>
            <w:tcW w:w="2832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129C9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312</w:t>
            </w:r>
          </w:p>
        </w:tc>
        <w:tc>
          <w:tcPr>
            <w:tcW w:w="159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646793CA">
            <w:pPr>
              <w:pStyle w:val="20"/>
              <w:keepNext w:val="0"/>
              <w:keepLines w:val="0"/>
              <w:pageBreakBefore w:val="0"/>
              <w:widowControl/>
              <w:suppressLineNumbers w:val="0"/>
              <w:pBdr>
                <w:top w:val="none" w:color="1F1F1F" w:sz="0" w:space="0"/>
                <w:left w:val="none" w:color="1F1F1F" w:sz="0" w:space="0"/>
                <w:bottom w:val="none" w:color="1F1F1F" w:sz="0" w:space="0"/>
                <w:right w:val="none" w:color="1F1F1F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  <w:t xml:space="preserve">2.64% </w:t>
            </w:r>
          </w:p>
        </w:tc>
      </w:tr>
      <w:tr w14:paraId="06066DE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" w:hRule="atLeast"/>
          <w:tblCellSpacing w:w="15" w:type="dxa"/>
          <w:jc w:val="center"/>
        </w:trPr>
        <w:tc>
          <w:tcPr>
            <w:tcW w:w="2431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44825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Hebei</w:t>
            </w:r>
          </w:p>
        </w:tc>
        <w:tc>
          <w:tcPr>
            <w:tcW w:w="2832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4162C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255</w:t>
            </w:r>
          </w:p>
        </w:tc>
        <w:tc>
          <w:tcPr>
            <w:tcW w:w="159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636D6B2C">
            <w:pPr>
              <w:pStyle w:val="20"/>
              <w:keepNext w:val="0"/>
              <w:keepLines w:val="0"/>
              <w:pageBreakBefore w:val="0"/>
              <w:widowControl/>
              <w:suppressLineNumbers w:val="0"/>
              <w:pBdr>
                <w:top w:val="none" w:color="1F1F1F" w:sz="0" w:space="0"/>
                <w:left w:val="none" w:color="1F1F1F" w:sz="0" w:space="0"/>
                <w:bottom w:val="none" w:color="1F1F1F" w:sz="0" w:space="0"/>
                <w:right w:val="none" w:color="1F1F1F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  <w:t xml:space="preserve">2.16% </w:t>
            </w:r>
          </w:p>
        </w:tc>
      </w:tr>
      <w:tr w14:paraId="1FD5D97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" w:hRule="atLeast"/>
          <w:tblCellSpacing w:w="15" w:type="dxa"/>
          <w:jc w:val="center"/>
        </w:trPr>
        <w:tc>
          <w:tcPr>
            <w:tcW w:w="2431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42955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Guizhou</w:t>
            </w:r>
          </w:p>
        </w:tc>
        <w:tc>
          <w:tcPr>
            <w:tcW w:w="2832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808A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212</w:t>
            </w:r>
          </w:p>
        </w:tc>
        <w:tc>
          <w:tcPr>
            <w:tcW w:w="159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37AA01B5">
            <w:pPr>
              <w:pStyle w:val="20"/>
              <w:keepNext w:val="0"/>
              <w:keepLines w:val="0"/>
              <w:pageBreakBefore w:val="0"/>
              <w:widowControl/>
              <w:suppressLineNumbers w:val="0"/>
              <w:pBdr>
                <w:top w:val="none" w:color="1F1F1F" w:sz="0" w:space="0"/>
                <w:left w:val="none" w:color="1F1F1F" w:sz="0" w:space="0"/>
                <w:bottom w:val="none" w:color="1F1F1F" w:sz="0" w:space="0"/>
                <w:right w:val="none" w:color="1F1F1F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  <w:t xml:space="preserve">1.79% </w:t>
            </w:r>
          </w:p>
        </w:tc>
      </w:tr>
      <w:tr w14:paraId="59423EF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" w:hRule="atLeast"/>
          <w:tblCellSpacing w:w="15" w:type="dxa"/>
          <w:jc w:val="center"/>
        </w:trPr>
        <w:tc>
          <w:tcPr>
            <w:tcW w:w="2431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06906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Henan</w:t>
            </w:r>
          </w:p>
        </w:tc>
        <w:tc>
          <w:tcPr>
            <w:tcW w:w="2832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0AA12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176</w:t>
            </w:r>
          </w:p>
        </w:tc>
        <w:tc>
          <w:tcPr>
            <w:tcW w:w="159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17C3AEC1">
            <w:pPr>
              <w:pStyle w:val="20"/>
              <w:keepNext w:val="0"/>
              <w:keepLines w:val="0"/>
              <w:pageBreakBefore w:val="0"/>
              <w:widowControl/>
              <w:suppressLineNumbers w:val="0"/>
              <w:pBdr>
                <w:top w:val="none" w:color="1F1F1F" w:sz="0" w:space="0"/>
                <w:left w:val="none" w:color="1F1F1F" w:sz="0" w:space="0"/>
                <w:bottom w:val="none" w:color="1F1F1F" w:sz="0" w:space="0"/>
                <w:right w:val="none" w:color="1F1F1F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  <w:t xml:space="preserve">1.49% </w:t>
            </w:r>
          </w:p>
        </w:tc>
      </w:tr>
      <w:tr w14:paraId="1C689CE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" w:hRule="atLeast"/>
          <w:tblCellSpacing w:w="15" w:type="dxa"/>
          <w:jc w:val="center"/>
        </w:trPr>
        <w:tc>
          <w:tcPr>
            <w:tcW w:w="2431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472B8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Heilongjiang</w:t>
            </w:r>
          </w:p>
        </w:tc>
        <w:tc>
          <w:tcPr>
            <w:tcW w:w="2832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3F52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119</w:t>
            </w:r>
          </w:p>
        </w:tc>
        <w:tc>
          <w:tcPr>
            <w:tcW w:w="159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12D468D0">
            <w:pPr>
              <w:pStyle w:val="20"/>
              <w:keepNext w:val="0"/>
              <w:keepLines w:val="0"/>
              <w:pageBreakBefore w:val="0"/>
              <w:widowControl/>
              <w:suppressLineNumbers w:val="0"/>
              <w:pBdr>
                <w:top w:val="none" w:color="1F1F1F" w:sz="0" w:space="0"/>
                <w:left w:val="none" w:color="1F1F1F" w:sz="0" w:space="0"/>
                <w:bottom w:val="none" w:color="1F1F1F" w:sz="0" w:space="0"/>
                <w:right w:val="none" w:color="1F1F1F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  <w:t xml:space="preserve">1.01% </w:t>
            </w:r>
          </w:p>
        </w:tc>
      </w:tr>
      <w:tr w14:paraId="664D07E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" w:hRule="atLeast"/>
          <w:tblCellSpacing w:w="15" w:type="dxa"/>
          <w:jc w:val="center"/>
        </w:trPr>
        <w:tc>
          <w:tcPr>
            <w:tcW w:w="2431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416A0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Yunnan</w:t>
            </w:r>
          </w:p>
        </w:tc>
        <w:tc>
          <w:tcPr>
            <w:tcW w:w="2832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3B62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86</w:t>
            </w:r>
          </w:p>
        </w:tc>
        <w:tc>
          <w:tcPr>
            <w:tcW w:w="159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3270C7E7">
            <w:pPr>
              <w:pStyle w:val="20"/>
              <w:keepNext w:val="0"/>
              <w:keepLines w:val="0"/>
              <w:pageBreakBefore w:val="0"/>
              <w:widowControl/>
              <w:suppressLineNumbers w:val="0"/>
              <w:pBdr>
                <w:top w:val="none" w:color="1F1F1F" w:sz="0" w:space="0"/>
                <w:left w:val="none" w:color="1F1F1F" w:sz="0" w:space="0"/>
                <w:bottom w:val="none" w:color="1F1F1F" w:sz="0" w:space="0"/>
                <w:right w:val="none" w:color="1F1F1F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  <w:t xml:space="preserve">0.73% </w:t>
            </w:r>
          </w:p>
        </w:tc>
      </w:tr>
      <w:tr w14:paraId="7C6FED6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" w:hRule="atLeast"/>
          <w:tblCellSpacing w:w="15" w:type="dxa"/>
          <w:jc w:val="center"/>
        </w:trPr>
        <w:tc>
          <w:tcPr>
            <w:tcW w:w="2431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4EA7C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Guangxi</w:t>
            </w:r>
          </w:p>
        </w:tc>
        <w:tc>
          <w:tcPr>
            <w:tcW w:w="2832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C45FA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71</w:t>
            </w:r>
          </w:p>
        </w:tc>
        <w:tc>
          <w:tcPr>
            <w:tcW w:w="159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7CA64073">
            <w:pPr>
              <w:pStyle w:val="20"/>
              <w:keepNext w:val="0"/>
              <w:keepLines w:val="0"/>
              <w:pageBreakBefore w:val="0"/>
              <w:widowControl/>
              <w:suppressLineNumbers w:val="0"/>
              <w:pBdr>
                <w:top w:val="none" w:color="1F1F1F" w:sz="0" w:space="0"/>
                <w:left w:val="none" w:color="1F1F1F" w:sz="0" w:space="0"/>
                <w:bottom w:val="none" w:color="1F1F1F" w:sz="0" w:space="0"/>
                <w:right w:val="none" w:color="1F1F1F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  <w:t xml:space="preserve">0.60% </w:t>
            </w:r>
          </w:p>
        </w:tc>
      </w:tr>
      <w:tr w14:paraId="074BD7C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" w:hRule="atLeast"/>
          <w:tblCellSpacing w:w="15" w:type="dxa"/>
          <w:jc w:val="center"/>
        </w:trPr>
        <w:tc>
          <w:tcPr>
            <w:tcW w:w="2431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8083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Anhui</w:t>
            </w:r>
          </w:p>
        </w:tc>
        <w:tc>
          <w:tcPr>
            <w:tcW w:w="2832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AE49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53</w:t>
            </w:r>
          </w:p>
        </w:tc>
        <w:tc>
          <w:tcPr>
            <w:tcW w:w="159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7A989C20">
            <w:pPr>
              <w:pStyle w:val="20"/>
              <w:keepNext w:val="0"/>
              <w:keepLines w:val="0"/>
              <w:pageBreakBefore w:val="0"/>
              <w:widowControl/>
              <w:suppressLineNumbers w:val="0"/>
              <w:pBdr>
                <w:top w:val="none" w:color="1F1F1F" w:sz="0" w:space="0"/>
                <w:left w:val="none" w:color="1F1F1F" w:sz="0" w:space="0"/>
                <w:bottom w:val="none" w:color="1F1F1F" w:sz="0" w:space="0"/>
                <w:right w:val="none" w:color="1F1F1F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  <w:t xml:space="preserve">0.45% </w:t>
            </w:r>
          </w:p>
        </w:tc>
      </w:tr>
      <w:tr w14:paraId="2787838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" w:hRule="atLeast"/>
          <w:tblCellSpacing w:w="15" w:type="dxa"/>
          <w:jc w:val="center"/>
        </w:trPr>
        <w:tc>
          <w:tcPr>
            <w:tcW w:w="2431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08B5F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Jiangxi</w:t>
            </w:r>
          </w:p>
        </w:tc>
        <w:tc>
          <w:tcPr>
            <w:tcW w:w="2832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AF8F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46</w:t>
            </w:r>
          </w:p>
        </w:tc>
        <w:tc>
          <w:tcPr>
            <w:tcW w:w="159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72E92410">
            <w:pPr>
              <w:pStyle w:val="20"/>
              <w:keepNext w:val="0"/>
              <w:keepLines w:val="0"/>
              <w:pageBreakBefore w:val="0"/>
              <w:widowControl/>
              <w:suppressLineNumbers w:val="0"/>
              <w:pBdr>
                <w:top w:val="none" w:color="1F1F1F" w:sz="0" w:space="0"/>
                <w:left w:val="none" w:color="1F1F1F" w:sz="0" w:space="0"/>
                <w:bottom w:val="none" w:color="1F1F1F" w:sz="0" w:space="0"/>
                <w:right w:val="none" w:color="1F1F1F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  <w:t xml:space="preserve">0.39% </w:t>
            </w:r>
          </w:p>
        </w:tc>
      </w:tr>
      <w:tr w14:paraId="6FA006D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15" w:type="dxa"/>
          <w:jc w:val="center"/>
        </w:trPr>
        <w:tc>
          <w:tcPr>
            <w:tcW w:w="2431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0CFC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Gansu</w:t>
            </w:r>
          </w:p>
        </w:tc>
        <w:tc>
          <w:tcPr>
            <w:tcW w:w="2832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1C75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45</w:t>
            </w:r>
          </w:p>
        </w:tc>
        <w:tc>
          <w:tcPr>
            <w:tcW w:w="159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74033E29">
            <w:pPr>
              <w:pStyle w:val="20"/>
              <w:keepNext w:val="0"/>
              <w:keepLines w:val="0"/>
              <w:pageBreakBefore w:val="0"/>
              <w:widowControl/>
              <w:suppressLineNumbers w:val="0"/>
              <w:pBdr>
                <w:top w:val="none" w:color="1F1F1F" w:sz="0" w:space="0"/>
                <w:left w:val="none" w:color="1F1F1F" w:sz="0" w:space="0"/>
                <w:bottom w:val="none" w:color="1F1F1F" w:sz="0" w:space="0"/>
                <w:right w:val="none" w:color="1F1F1F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  <w:t xml:space="preserve">0.38% </w:t>
            </w:r>
          </w:p>
        </w:tc>
      </w:tr>
      <w:tr w14:paraId="3D11433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" w:hRule="atLeast"/>
          <w:tblCellSpacing w:w="15" w:type="dxa"/>
          <w:jc w:val="center"/>
        </w:trPr>
        <w:tc>
          <w:tcPr>
            <w:tcW w:w="2431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5436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Inner Mongolia</w:t>
            </w:r>
          </w:p>
        </w:tc>
        <w:tc>
          <w:tcPr>
            <w:tcW w:w="2832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12694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43</w:t>
            </w:r>
          </w:p>
        </w:tc>
        <w:tc>
          <w:tcPr>
            <w:tcW w:w="159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31C9E5B4">
            <w:pPr>
              <w:pStyle w:val="20"/>
              <w:keepNext w:val="0"/>
              <w:keepLines w:val="0"/>
              <w:pageBreakBefore w:val="0"/>
              <w:widowControl/>
              <w:suppressLineNumbers w:val="0"/>
              <w:pBdr>
                <w:top w:val="none" w:color="1F1F1F" w:sz="0" w:space="0"/>
                <w:left w:val="none" w:color="1F1F1F" w:sz="0" w:space="0"/>
                <w:bottom w:val="none" w:color="1F1F1F" w:sz="0" w:space="0"/>
                <w:right w:val="none" w:color="1F1F1F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  <w:t xml:space="preserve">0.36% </w:t>
            </w:r>
          </w:p>
        </w:tc>
      </w:tr>
      <w:tr w14:paraId="6DD844E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" w:hRule="atLeast"/>
          <w:tblCellSpacing w:w="15" w:type="dxa"/>
          <w:jc w:val="center"/>
        </w:trPr>
        <w:tc>
          <w:tcPr>
            <w:tcW w:w="2431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0ADD1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Qinghai</w:t>
            </w:r>
          </w:p>
        </w:tc>
        <w:tc>
          <w:tcPr>
            <w:tcW w:w="2832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601C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159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77EC5E3F">
            <w:pPr>
              <w:pStyle w:val="20"/>
              <w:keepNext w:val="0"/>
              <w:keepLines w:val="0"/>
              <w:pageBreakBefore w:val="0"/>
              <w:widowControl/>
              <w:suppressLineNumbers w:val="0"/>
              <w:pBdr>
                <w:top w:val="none" w:color="1F1F1F" w:sz="0" w:space="0"/>
                <w:left w:val="none" w:color="1F1F1F" w:sz="0" w:space="0"/>
                <w:bottom w:val="none" w:color="1F1F1F" w:sz="0" w:space="0"/>
                <w:right w:val="none" w:color="1F1F1F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  <w:t xml:space="preserve">0.25% </w:t>
            </w:r>
          </w:p>
        </w:tc>
      </w:tr>
      <w:tr w14:paraId="17BCCB9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" w:hRule="atLeast"/>
          <w:tblCellSpacing w:w="15" w:type="dxa"/>
          <w:jc w:val="center"/>
        </w:trPr>
        <w:tc>
          <w:tcPr>
            <w:tcW w:w="2431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E7EA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Hainan</w:t>
            </w:r>
          </w:p>
        </w:tc>
        <w:tc>
          <w:tcPr>
            <w:tcW w:w="2832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44DFD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10</w:t>
            </w:r>
          </w:p>
        </w:tc>
        <w:tc>
          <w:tcPr>
            <w:tcW w:w="159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3384BAA0">
            <w:pPr>
              <w:pStyle w:val="20"/>
              <w:keepNext w:val="0"/>
              <w:keepLines w:val="0"/>
              <w:pageBreakBefore w:val="0"/>
              <w:widowControl/>
              <w:suppressLineNumbers w:val="0"/>
              <w:pBdr>
                <w:top w:val="none" w:color="1F1F1F" w:sz="0" w:space="0"/>
                <w:left w:val="none" w:color="1F1F1F" w:sz="0" w:space="0"/>
                <w:bottom w:val="none" w:color="1F1F1F" w:sz="0" w:space="0"/>
                <w:right w:val="none" w:color="1F1F1F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  <w:t xml:space="preserve">0.08% </w:t>
            </w:r>
          </w:p>
        </w:tc>
      </w:tr>
      <w:tr w14:paraId="66B2950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" w:hRule="atLeast"/>
          <w:tblCellSpacing w:w="15" w:type="dxa"/>
          <w:jc w:val="center"/>
        </w:trPr>
        <w:tc>
          <w:tcPr>
            <w:tcW w:w="2431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78868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Xinjiang</w:t>
            </w:r>
          </w:p>
        </w:tc>
        <w:tc>
          <w:tcPr>
            <w:tcW w:w="2832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F028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159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0F7119C3">
            <w:pPr>
              <w:pStyle w:val="20"/>
              <w:keepNext w:val="0"/>
              <w:keepLines w:val="0"/>
              <w:pageBreakBefore w:val="0"/>
              <w:widowControl/>
              <w:suppressLineNumbers w:val="0"/>
              <w:pBdr>
                <w:top w:val="none" w:color="1F1F1F" w:sz="0" w:space="0"/>
                <w:left w:val="none" w:color="1F1F1F" w:sz="0" w:space="0"/>
                <w:bottom w:val="none" w:color="1F1F1F" w:sz="0" w:space="0"/>
                <w:right w:val="none" w:color="1F1F1F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  <w:t xml:space="preserve">0.02% </w:t>
            </w:r>
          </w:p>
        </w:tc>
      </w:tr>
      <w:tr w14:paraId="49200D9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15" w:type="dxa"/>
          <w:jc w:val="center"/>
        </w:trPr>
        <w:tc>
          <w:tcPr>
            <w:tcW w:w="2431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A02B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b/>
                <w:bCs/>
                <w:color w:val="1F1F1F"/>
                <w:kern w:val="0"/>
                <w:sz w:val="20"/>
                <w:szCs w:val="20"/>
                <w:lang w:val="en-US" w:eastAsia="zh-CN" w:bidi="ar"/>
              </w:rPr>
              <w:t>Total</w:t>
            </w:r>
          </w:p>
        </w:tc>
        <w:tc>
          <w:tcPr>
            <w:tcW w:w="2832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72E66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b/>
                <w:bCs/>
                <w:color w:val="1F1F1F"/>
                <w:kern w:val="0"/>
                <w:sz w:val="20"/>
                <w:szCs w:val="20"/>
                <w:lang w:val="en-US" w:eastAsia="zh-CN" w:bidi="ar"/>
              </w:rPr>
              <w:t>11,814</w:t>
            </w:r>
          </w:p>
        </w:tc>
        <w:tc>
          <w:tcPr>
            <w:tcW w:w="159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63E8A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b/>
                <w:bCs/>
                <w:color w:val="1F1F1F"/>
                <w:kern w:val="0"/>
                <w:sz w:val="20"/>
                <w:szCs w:val="20"/>
                <w:lang w:val="en-US" w:eastAsia="zh-CN" w:bidi="ar"/>
              </w:rPr>
              <w:t>100.00%</w:t>
            </w:r>
          </w:p>
        </w:tc>
      </w:tr>
    </w:tbl>
    <w:p w14:paraId="765D46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</w:p>
    <w:p w14:paraId="388FC9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eastAsia" w:ascii="Times New Roman" w:hAnsi="Times New Roman" w:cs="Times New Roman"/>
          <w:i w:val="0"/>
          <w:iCs w:val="0"/>
          <w:color w:val="auto"/>
          <w:lang w:val="en-US" w:eastAsia="zh-CN"/>
        </w:rPr>
        <w:t>Supplementary T</w:t>
      </w:r>
      <w:r>
        <w:rPr>
          <w:rFonts w:hint="default" w:ascii="Times New Roman" w:hAnsi="Times New Roman" w:cs="Times New Roman"/>
          <w:i w:val="0"/>
          <w:iCs w:val="0"/>
          <w:color w:val="auto"/>
        </w:rPr>
        <w:t xml:space="preserve">able </w:t>
      </w:r>
      <w:r>
        <w:rPr>
          <w:rFonts w:hint="eastAsia" w:ascii="Times New Roman" w:hAnsi="Times New Roman" w:cs="Times New Roman"/>
          <w:i w:val="0"/>
          <w:iCs w:val="0"/>
          <w:color w:val="auto"/>
          <w:lang w:val="en-US" w:eastAsia="zh-CN"/>
        </w:rPr>
        <w:t>2</w:t>
      </w:r>
      <w:r>
        <w:rPr>
          <w:rFonts w:hint="default" w:ascii="Times New Roman" w:hAnsi="Times New Roman" w:cs="Times New Roman"/>
          <w:i w:val="0"/>
          <w:iCs w:val="0"/>
          <w:color w:val="auto"/>
        </w:rPr>
        <w:t>. Demographics and Baseline Clinical Characteristics of the Study Population</w:t>
      </w:r>
    </w:p>
    <w:tbl>
      <w:tblPr>
        <w:tblStyle w:val="21"/>
        <w:tblW w:w="0" w:type="auto"/>
        <w:jc w:val="center"/>
        <w:tblCellSpacing w:w="14" w:type="dxa"/>
        <w:tblBorders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891"/>
        <w:gridCol w:w="1596"/>
        <w:gridCol w:w="1437"/>
        <w:gridCol w:w="1415"/>
        <w:gridCol w:w="1352"/>
        <w:gridCol w:w="831"/>
      </w:tblGrid>
      <w:tr w14:paraId="1D25D77E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Header/>
          <w:tblCellSpacing w:w="14" w:type="dxa"/>
          <w:jc w:val="center"/>
        </w:trPr>
        <w:tc>
          <w:tcPr>
            <w:tcW w:w="391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6E24E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sans-serif" w:cs="Times New Roman"/>
                <w:b/>
                <w:color w:val="1F1F1F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sans-serif" w:cs="Times New Roman"/>
                <w:b/>
                <w:color w:val="1F1F1F"/>
                <w:kern w:val="0"/>
                <w:sz w:val="20"/>
                <w:szCs w:val="20"/>
                <w:lang w:val="en-US" w:eastAsia="zh-CN" w:bidi="ar"/>
              </w:rPr>
              <w:t>Characteristics</w:t>
            </w:r>
          </w:p>
        </w:tc>
        <w:tc>
          <w:tcPr>
            <w:tcW w:w="159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27FEB5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b/>
                <w:color w:val="1F1F1F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sans-serif" w:cs="Times New Roman"/>
                <w:b/>
                <w:color w:val="1F1F1F"/>
                <w:kern w:val="0"/>
                <w:sz w:val="20"/>
                <w:szCs w:val="20"/>
                <w:lang w:val="en-US" w:eastAsia="zh-CN" w:bidi="ar"/>
              </w:rPr>
              <w:t>Total (n=11,814)</w:t>
            </w:r>
          </w:p>
        </w:tc>
        <w:tc>
          <w:tcPr>
            <w:tcW w:w="142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39E4F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b/>
                <w:color w:val="1F1F1F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sans-serif" w:cs="Times New Roman"/>
                <w:b/>
                <w:color w:val="1F1F1F"/>
                <w:kern w:val="0"/>
                <w:sz w:val="20"/>
                <w:szCs w:val="20"/>
                <w:lang w:val="en-US" w:eastAsia="zh-CN" w:bidi="ar"/>
              </w:rPr>
              <w:t>EM (n=10,123)</w:t>
            </w:r>
          </w:p>
        </w:tc>
        <w:tc>
          <w:tcPr>
            <w:tcW w:w="140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2B804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b/>
                <w:color w:val="1F1F1F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sans-serif" w:cs="Times New Roman"/>
                <w:b/>
                <w:color w:val="1F1F1F"/>
                <w:kern w:val="0"/>
                <w:sz w:val="20"/>
                <w:szCs w:val="20"/>
                <w:lang w:val="en-US" w:eastAsia="zh-CN" w:bidi="ar"/>
              </w:rPr>
              <w:t>CM (n=1,019)</w:t>
            </w:r>
          </w:p>
        </w:tc>
        <w:tc>
          <w:tcPr>
            <w:tcW w:w="134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3B41E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b/>
                <w:color w:val="1F1F1F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sans-serif" w:cs="Times New Roman"/>
                <w:b/>
                <w:color w:val="1F1F1F"/>
                <w:kern w:val="0"/>
                <w:sz w:val="20"/>
                <w:szCs w:val="20"/>
                <w:lang w:val="en-US" w:eastAsia="zh-CN" w:bidi="ar"/>
              </w:rPr>
              <w:t>PM (n=672)</w:t>
            </w:r>
          </w:p>
        </w:tc>
        <w:tc>
          <w:tcPr>
            <w:tcW w:w="80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-1" w:type="dxa"/>
            </w:tcMar>
            <w:vAlign w:val="center"/>
          </w:tcPr>
          <w:p w14:paraId="718E9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b/>
                <w:color w:val="1F1F1F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sans-serif" w:cs="Times New Roman"/>
                <w:b/>
                <w:color w:val="1F1F1F"/>
                <w:kern w:val="0"/>
                <w:sz w:val="20"/>
                <w:szCs w:val="20"/>
                <w:lang w:val="en-US" w:eastAsia="zh-CN" w:bidi="ar"/>
              </w:rPr>
              <w:t>P value</w:t>
            </w:r>
          </w:p>
        </w:tc>
      </w:tr>
      <w:tr w14:paraId="432BE5F8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14" w:type="dxa"/>
          <w:jc w:val="center"/>
        </w:trPr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108FF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color w:val="1F1F1F"/>
                <w:kern w:val="0"/>
                <w:sz w:val="20"/>
                <w:szCs w:val="20"/>
                <w:lang w:val="en-US" w:eastAsia="zh-CN" w:bidi="ar"/>
              </w:rPr>
              <w:t>Education, n (%)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303C0D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16FBCA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23945D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466162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-1" w:type="dxa"/>
            </w:tcMar>
            <w:vAlign w:val="center"/>
          </w:tcPr>
          <w:p w14:paraId="69ADD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&lt; 0.001</w:t>
            </w:r>
          </w:p>
        </w:tc>
      </w:tr>
      <w:tr w14:paraId="1F34789D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14" w:type="dxa"/>
          <w:jc w:val="center"/>
        </w:trPr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144C0F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High school or lower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546CC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3,881 (32.85%)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4134F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3,129 (30.91%)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2C9EC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537 (52.70%)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4C75D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215 (31.99%)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-1" w:type="dxa"/>
            </w:tcMar>
            <w:vAlign w:val="center"/>
          </w:tcPr>
          <w:p w14:paraId="6CBC39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</w:p>
        </w:tc>
      </w:tr>
      <w:tr w14:paraId="1D5B4599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14" w:type="dxa"/>
          <w:jc w:val="center"/>
        </w:trPr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6BA17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University degree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210A7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6,994 (59.20%)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65995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6,215 (61.40%)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5DC30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432 (42.39%)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5A694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347 (51.64%)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-1" w:type="dxa"/>
            </w:tcMar>
            <w:vAlign w:val="center"/>
          </w:tcPr>
          <w:p w14:paraId="703BFC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</w:p>
        </w:tc>
      </w:tr>
      <w:tr w14:paraId="6254D2D5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14" w:type="dxa"/>
          <w:jc w:val="center"/>
        </w:trPr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21908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Master or higher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3C51A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939 (7.95%)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33FA4D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779 (7.70%)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6677B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50 (4.91%)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7ECD9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110 (16.37%)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-1" w:type="dxa"/>
            </w:tcMar>
            <w:vAlign w:val="center"/>
          </w:tcPr>
          <w:p w14:paraId="5658E1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</w:p>
        </w:tc>
      </w:tr>
      <w:tr w14:paraId="2D3347AA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14" w:type="dxa"/>
          <w:jc w:val="center"/>
        </w:trPr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43D9C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color w:val="1F1F1F"/>
                <w:kern w:val="0"/>
                <w:sz w:val="20"/>
                <w:szCs w:val="20"/>
                <w:lang w:val="en-US" w:eastAsia="zh-CN" w:bidi="ar"/>
              </w:rPr>
              <w:t>Employment, n (%)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0067F0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3D38A0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23493C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75350F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-1" w:type="dxa"/>
            </w:tcMar>
            <w:vAlign w:val="center"/>
          </w:tcPr>
          <w:p w14:paraId="372DB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&lt; 0.001</w:t>
            </w:r>
          </w:p>
        </w:tc>
      </w:tr>
      <w:tr w14:paraId="08DD5D02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14" w:type="dxa"/>
          <w:jc w:val="center"/>
        </w:trPr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070AC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Full-time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732C7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8,096 (68.53%)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73C00B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7,076 (69.90%)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5FDD4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563 (55.25%)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1A815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457 (68.01%)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-1" w:type="dxa"/>
            </w:tcMar>
            <w:vAlign w:val="center"/>
          </w:tcPr>
          <w:p w14:paraId="7BC9FB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</w:p>
        </w:tc>
      </w:tr>
      <w:tr w14:paraId="44EBBE81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14" w:type="dxa"/>
          <w:jc w:val="center"/>
        </w:trPr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6E028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Others (Unemployed/Student/etc.)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1462A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3,718 (31.47%)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3CAE2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3,047 (30.10%)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0DD41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456 (44.75%)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49C8B4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215 (31.99%)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-1" w:type="dxa"/>
            </w:tcMar>
            <w:vAlign w:val="center"/>
          </w:tcPr>
          <w:p w14:paraId="40AFFD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</w:p>
        </w:tc>
      </w:tr>
      <w:tr w14:paraId="5F27E286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14" w:type="dxa"/>
          <w:jc w:val="center"/>
        </w:trPr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41ABE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color w:val="1F1F1F"/>
                <w:kern w:val="0"/>
                <w:sz w:val="20"/>
                <w:szCs w:val="20"/>
                <w:lang w:val="en-US" w:eastAsia="zh-CN" w:bidi="ar"/>
              </w:rPr>
              <w:t>Annual household income, n (%)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186AB0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1BBC58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013C2D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0F8E49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-1" w:type="dxa"/>
            </w:tcMar>
            <w:vAlign w:val="center"/>
          </w:tcPr>
          <w:p w14:paraId="51274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0.135</w:t>
            </w:r>
          </w:p>
        </w:tc>
      </w:tr>
      <w:tr w14:paraId="319ECF40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14" w:type="dxa"/>
          <w:jc w:val="center"/>
        </w:trPr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5E1E6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&lt; 80,000 ¥ (approx. &lt; 11,100 $)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39EA0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3,317 (28.08%)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43B88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2,772 (27.38%)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735BF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355 (34.84%)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4CF1E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190 (28.27%)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-1" w:type="dxa"/>
            </w:tcMar>
            <w:vAlign w:val="center"/>
          </w:tcPr>
          <w:p w14:paraId="682B24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</w:p>
        </w:tc>
      </w:tr>
      <w:tr w14:paraId="733F08FA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14" w:type="dxa"/>
          <w:jc w:val="center"/>
        </w:trPr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65186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80,000–150,000 ¥ (approx. 11,100–20,800 $)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1CE00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2,849 (24.12%)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1CB50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2,448 (24.18%)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13744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232 (22.77%)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35CFF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169 (25.15%)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-1" w:type="dxa"/>
            </w:tcMar>
            <w:vAlign w:val="center"/>
          </w:tcPr>
          <w:p w14:paraId="0FD77D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</w:p>
        </w:tc>
      </w:tr>
      <w:tr w14:paraId="024E9208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14" w:type="dxa"/>
          <w:jc w:val="center"/>
        </w:trPr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1D5E8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150,000–300,000 ¥ (approx. 20,800–41,700 $)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2172B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1,936 (16.39%)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16090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1,677 (16.57%)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40C3C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148 (14.52%)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287C8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111 (16.52%)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-1" w:type="dxa"/>
            </w:tcMar>
            <w:vAlign w:val="center"/>
          </w:tcPr>
          <w:p w14:paraId="3A6E0F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</w:p>
        </w:tc>
      </w:tr>
      <w:tr w14:paraId="38D038F4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14" w:type="dxa"/>
          <w:jc w:val="center"/>
        </w:trPr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2E80D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&gt; 300,000 ¥ (approx. &gt; 41,700 $)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2CD10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1,387 (11.74%)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79E91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1,223 (12.08%)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0509B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91 (8.93%)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10996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73 (10.86%)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-1" w:type="dxa"/>
            </w:tcMar>
            <w:vAlign w:val="center"/>
          </w:tcPr>
          <w:p w14:paraId="09D717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</w:p>
        </w:tc>
      </w:tr>
      <w:tr w14:paraId="1E32A828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14" w:type="dxa"/>
          <w:jc w:val="center"/>
        </w:trPr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1C8E2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Not willing to reveal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28650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2,325 (19.68%)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742AB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2,003 (19.79%)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347BC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193 (18.94%)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7774E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129 (19.20%)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-1" w:type="dxa"/>
            </w:tcMar>
            <w:vAlign w:val="center"/>
          </w:tcPr>
          <w:p w14:paraId="572B23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</w:p>
        </w:tc>
      </w:tr>
      <w:tr w14:paraId="1096BF81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14" w:type="dxa"/>
          <w:jc w:val="center"/>
        </w:trPr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3E713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sans-serif" w:cs="Times New Roman"/>
                <w:b/>
                <w:bCs/>
                <w:color w:val="1F1F1F"/>
                <w:kern w:val="0"/>
                <w:sz w:val="20"/>
                <w:szCs w:val="20"/>
                <w:lang w:val="en-US" w:eastAsia="zh-CN" w:bidi="ar"/>
              </w:rPr>
              <w:t>Ethnicity</w:t>
            </w:r>
            <w:r>
              <w:rPr>
                <w:rFonts w:hint="eastAsia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0"/>
                <w:szCs w:val="20"/>
                <w:vertAlign w:val="superscript"/>
                <w:lang w:val="en-US" w:eastAsia="zh-CN"/>
              </w:rPr>
              <w:t>a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54FD6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6DC0D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62998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63A6C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-1" w:type="dxa"/>
            </w:tcMar>
            <w:vAlign w:val="center"/>
          </w:tcPr>
          <w:p w14:paraId="59C4A0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</w:p>
        </w:tc>
      </w:tr>
      <w:tr w14:paraId="16DED462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14" w:type="dxa"/>
          <w:jc w:val="center"/>
        </w:trPr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1C4B4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Han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5B3639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11,079 (93.78%)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0FA00D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9.488 (93.73%)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6B503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996 (94.80%)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42F88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625 (93.01%)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-1" w:type="dxa"/>
            </w:tcMar>
            <w:vAlign w:val="center"/>
          </w:tcPr>
          <w:p w14:paraId="39E8A0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</w:p>
        </w:tc>
      </w:tr>
      <w:tr w14:paraId="3C69993B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14" w:type="dxa"/>
          <w:jc w:val="center"/>
        </w:trPr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7EA2F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Ethnic minorities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649819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723 (6.12%)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43553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627 (6.19%)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77C00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51 (5.00%)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90" w:type="dxa"/>
            </w:tcMar>
            <w:vAlign w:val="center"/>
          </w:tcPr>
          <w:p w14:paraId="1DBED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sans-serif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45 (6.70%)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-1" w:type="dxa"/>
            </w:tcMar>
            <w:vAlign w:val="center"/>
          </w:tcPr>
          <w:p w14:paraId="7C15FB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sans-serif" w:cs="Times New Roman"/>
                <w:color w:val="1F1F1F"/>
                <w:sz w:val="20"/>
                <w:szCs w:val="20"/>
              </w:rPr>
            </w:pPr>
          </w:p>
        </w:tc>
      </w:tr>
    </w:tbl>
    <w:p w14:paraId="4D636A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Times New Roman" w:hAnsi="Times New Roman" w:cs="Times New Roman"/>
          <w:i w:val="0"/>
          <w:iCs w:val="0"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olor w:val="auto"/>
          <w:sz w:val="20"/>
          <w:szCs w:val="20"/>
        </w:rPr>
        <w:t>Abbreviations: EM, episodic migraine; CM, chronic migraine; BMI, body mass index; SD, standard deviation.</w:t>
      </w:r>
    </w:p>
    <w:p w14:paraId="1A294F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Times New Roman" w:hAnsi="Times New Roman" w:cs="Times New Roman"/>
          <w:i w:val="0"/>
          <w:iCs w:val="0"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olor w:val="auto"/>
          <w:sz w:val="20"/>
          <w:szCs w:val="20"/>
        </w:rPr>
        <w:t xml:space="preserve">Annual household income was converted from CNY to USD based on the exchange rate of 1 USD ≈ 7.2 CNY. </w:t>
      </w:r>
    </w:p>
    <w:p w14:paraId="76766F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eastAsia" w:ascii="Times New Roman" w:hAnsi="Times New Roman" w:cs="Times New Roman"/>
          <w:i w:val="0"/>
          <w:iCs w:val="0"/>
          <w:color w:val="auto"/>
          <w:sz w:val="20"/>
          <w:szCs w:val="20"/>
          <w:vertAlign w:val="superscript"/>
          <w:lang w:val="en-US" w:eastAsia="zh-CN"/>
        </w:rPr>
        <w:t>a</w:t>
      </w:r>
      <w:r>
        <w:rPr>
          <w:rFonts w:hint="eastAsia" w:ascii="Times New Roman" w:hAnsi="Times New Roman" w:cs="Times New Roman"/>
          <w:i w:val="0"/>
          <w:iCs w:val="0"/>
          <w:color w:val="auto"/>
          <w:sz w:val="20"/>
          <w:szCs w:val="20"/>
          <w:lang w:val="en-US" w:eastAsia="zh-CN"/>
        </w:rPr>
        <w:t xml:space="preserve"> Ethnicity data missing, n = 12.</w:t>
      </w:r>
    </w:p>
    <w:p w14:paraId="3C6326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</w:p>
    <w:p w14:paraId="717FC6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Supplementary Table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3 Association Between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Diagnostic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Accuracy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and Consulting Physician Type</w:t>
      </w:r>
    </w:p>
    <w:tbl>
      <w:tblPr>
        <w:tblStyle w:val="21"/>
        <w:tblW w:w="0" w:type="auto"/>
        <w:jc w:val="center"/>
        <w:tblCellSpacing w:w="15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49"/>
        <w:gridCol w:w="1500"/>
        <w:gridCol w:w="1470"/>
        <w:gridCol w:w="1539"/>
        <w:gridCol w:w="1415"/>
        <w:gridCol w:w="1053"/>
      </w:tblGrid>
      <w:tr w14:paraId="6F6BD01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  <w:tblHeader/>
          <w:tblCellSpacing w:w="15" w:type="dxa"/>
          <w:jc w:val="center"/>
        </w:trPr>
        <w:tc>
          <w:tcPr>
            <w:tcW w:w="3504" w:type="dxa"/>
            <w:tcBorders>
              <w:bottom w:val="single" w:color="auto" w:sz="8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17FC591E">
            <w:pPr>
              <w:keepNext w:val="0"/>
              <w:keepLines w:val="0"/>
              <w:widowControl/>
              <w:suppressLineNumbers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Print" w:cs="Times New Roman"/>
                <w:b/>
                <w:color w:val="1F1F1F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Segoe Print" w:cs="Times New Roman"/>
                <w:b/>
                <w:color w:val="1F1F1F"/>
                <w:kern w:val="0"/>
                <w:sz w:val="20"/>
                <w:szCs w:val="20"/>
                <w:lang w:val="en-US" w:eastAsia="zh-CN" w:bidi="ar"/>
              </w:rPr>
              <w:t>Items</w:t>
            </w:r>
          </w:p>
        </w:tc>
        <w:tc>
          <w:tcPr>
            <w:tcW w:w="1470" w:type="dxa"/>
            <w:tcBorders>
              <w:bottom w:val="single" w:color="auto" w:sz="8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38CCF61">
            <w:pPr>
              <w:keepNext w:val="0"/>
              <w:keepLines w:val="0"/>
              <w:widowControl/>
              <w:suppressLineNumbers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Style w:val="23"/>
                <w:rFonts w:hint="default" w:ascii="Times New Roman" w:hAnsi="Times New Roman" w:eastAsia="Segoe Print" w:cs="Times New Roman"/>
                <w:b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Style w:val="23"/>
                <w:rFonts w:hint="default" w:ascii="Times New Roman" w:hAnsi="Times New Roman" w:eastAsia="Segoe Print" w:cs="Times New Roman"/>
                <w:b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Total </w:t>
            </w:r>
          </w:p>
          <w:p w14:paraId="4F5E1FFC">
            <w:pPr>
              <w:keepNext w:val="0"/>
              <w:keepLines w:val="0"/>
              <w:widowControl/>
              <w:suppressLineNumbers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Print" w:cs="Times New Roman"/>
                <w:b/>
                <w:color w:val="1F1F1F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Segoe Print" w:cs="Times New Roman"/>
                <w:b/>
                <w:color w:val="1F1F1F"/>
                <w:kern w:val="0"/>
                <w:sz w:val="20"/>
                <w:szCs w:val="20"/>
                <w:lang w:val="en-US" w:eastAsia="zh-CN" w:bidi="ar"/>
              </w:rPr>
              <w:t>(N=11,814)</w:t>
            </w:r>
          </w:p>
        </w:tc>
        <w:tc>
          <w:tcPr>
            <w:tcW w:w="1440" w:type="dxa"/>
            <w:tcBorders>
              <w:bottom w:val="single" w:color="auto" w:sz="8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3BD67B6">
            <w:pPr>
              <w:keepNext w:val="0"/>
              <w:keepLines w:val="0"/>
              <w:widowControl/>
              <w:suppressLineNumbers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Style w:val="23"/>
                <w:rFonts w:hint="default" w:ascii="Times New Roman" w:hAnsi="Times New Roman" w:eastAsia="Segoe Print" w:cs="Times New Roman"/>
                <w:b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Style w:val="23"/>
                <w:rFonts w:hint="default" w:ascii="Times New Roman" w:hAnsi="Times New Roman" w:eastAsia="Segoe Print" w:cs="Times New Roman"/>
                <w:b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Correct Diagnosis </w:t>
            </w:r>
          </w:p>
          <w:p w14:paraId="0E480FD9">
            <w:pPr>
              <w:keepNext w:val="0"/>
              <w:keepLines w:val="0"/>
              <w:widowControl/>
              <w:suppressLineNumbers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Print" w:cs="Times New Roman"/>
                <w:b/>
                <w:color w:val="1F1F1F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Segoe Print" w:cs="Times New Roman"/>
                <w:b/>
                <w:color w:val="1F1F1F"/>
                <w:kern w:val="0"/>
                <w:sz w:val="20"/>
                <w:szCs w:val="20"/>
                <w:lang w:val="en-US" w:eastAsia="zh-CN" w:bidi="ar"/>
              </w:rPr>
              <w:t>(n=3,662)</w:t>
            </w:r>
          </w:p>
        </w:tc>
        <w:tc>
          <w:tcPr>
            <w:tcW w:w="1509" w:type="dxa"/>
            <w:tcBorders>
              <w:bottom w:val="single" w:color="auto" w:sz="8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0047316B">
            <w:pPr>
              <w:keepNext w:val="0"/>
              <w:keepLines w:val="0"/>
              <w:widowControl/>
              <w:suppressLineNumbers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Style w:val="23"/>
                <w:rFonts w:hint="default" w:ascii="Times New Roman" w:hAnsi="Times New Roman" w:eastAsia="Segoe Print" w:cs="Times New Roman"/>
                <w:b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Style w:val="23"/>
                <w:rFonts w:hint="default" w:ascii="Times New Roman" w:hAnsi="Times New Roman" w:eastAsia="Segoe Print" w:cs="Times New Roman"/>
                <w:b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Misdiagnosis </w:t>
            </w:r>
          </w:p>
          <w:p w14:paraId="47B14829">
            <w:pPr>
              <w:keepNext w:val="0"/>
              <w:keepLines w:val="0"/>
              <w:widowControl/>
              <w:suppressLineNumbers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Print" w:cs="Times New Roman"/>
                <w:b/>
                <w:color w:val="1F1F1F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Segoe Print" w:cs="Times New Roman"/>
                <w:b/>
                <w:color w:val="1F1F1F"/>
                <w:kern w:val="0"/>
                <w:sz w:val="20"/>
                <w:szCs w:val="20"/>
                <w:lang w:val="en-US" w:eastAsia="zh-CN" w:bidi="ar"/>
              </w:rPr>
              <w:t>(n=3,079)</w:t>
            </w:r>
          </w:p>
        </w:tc>
        <w:tc>
          <w:tcPr>
            <w:tcW w:w="1385" w:type="dxa"/>
            <w:tcBorders>
              <w:bottom w:val="single" w:color="auto" w:sz="8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11785414">
            <w:pPr>
              <w:keepNext w:val="0"/>
              <w:keepLines w:val="0"/>
              <w:widowControl/>
              <w:suppressLineNumbers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Style w:val="23"/>
                <w:rFonts w:hint="default" w:ascii="Times New Roman" w:hAnsi="Times New Roman" w:eastAsia="Segoe Print" w:cs="Times New Roman"/>
                <w:b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Style w:val="23"/>
                <w:rFonts w:hint="default" w:ascii="Times New Roman" w:hAnsi="Times New Roman" w:eastAsia="Segoe Print" w:cs="Times New Roman"/>
                <w:b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Undiagnosed </w:t>
            </w:r>
          </w:p>
          <w:p w14:paraId="5B0ADBBD">
            <w:pPr>
              <w:keepNext w:val="0"/>
              <w:keepLines w:val="0"/>
              <w:widowControl/>
              <w:suppressLineNumbers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Print" w:cs="Times New Roman"/>
                <w:b/>
                <w:color w:val="1F1F1F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Segoe Print" w:cs="Times New Roman"/>
                <w:b/>
                <w:color w:val="1F1F1F"/>
                <w:kern w:val="0"/>
                <w:sz w:val="20"/>
                <w:szCs w:val="20"/>
                <w:lang w:val="en-US" w:eastAsia="zh-CN" w:bidi="ar"/>
              </w:rPr>
              <w:t>(n=5,073)</w:t>
            </w:r>
          </w:p>
        </w:tc>
        <w:tc>
          <w:tcPr>
            <w:tcW w:w="1008" w:type="dxa"/>
            <w:tcBorders>
              <w:bottom w:val="single" w:color="auto" w:sz="8" w:space="0"/>
            </w:tcBorders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55DB3948">
            <w:pPr>
              <w:keepNext w:val="0"/>
              <w:keepLines w:val="0"/>
              <w:widowControl/>
              <w:suppressLineNumbers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Print" w:cs="Times New Roman"/>
                <w:b/>
                <w:color w:val="1F1F1F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Segoe Print" w:cs="Times New Roman"/>
                <w:b/>
                <w:i/>
                <w:iCs/>
                <w:color w:val="1F1F1F"/>
                <w:kern w:val="0"/>
                <w:sz w:val="20"/>
                <w:szCs w:val="20"/>
                <w:lang w:val="en-US" w:eastAsia="zh-CN" w:bidi="ar"/>
              </w:rPr>
              <w:t>P</w:t>
            </w:r>
            <w:r>
              <w:rPr>
                <w:rStyle w:val="23"/>
                <w:rFonts w:hint="default" w:ascii="Times New Roman" w:hAnsi="Times New Roman" w:eastAsia="Segoe Print" w:cs="Times New Roman"/>
                <w:b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 value</w:t>
            </w:r>
          </w:p>
        </w:tc>
      </w:tr>
      <w:tr w14:paraId="7A5B8E3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tblCellSpacing w:w="15" w:type="dxa"/>
          <w:jc w:val="center"/>
        </w:trPr>
        <w:tc>
          <w:tcPr>
            <w:tcW w:w="3504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4655C35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Segoe Print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sz w:val="20"/>
                <w:szCs w:val="20"/>
                <w:lang w:val="en-US" w:eastAsia="zh-CN"/>
              </w:rPr>
              <w:t>Specialists</w:t>
            </w:r>
            <w:r>
              <w:rPr>
                <w:rFonts w:hint="eastAsia" w:ascii="Times New Roman" w:hAnsi="Times New Roman" w:eastAsia="Segoe Print" w:cs="Times New Roman"/>
                <w:b w:val="0"/>
                <w:bCs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Segoe Print" w:cs="Times New Roman"/>
                <w:b w:val="0"/>
                <w:bCs w:val="0"/>
                <w:sz w:val="20"/>
                <w:szCs w:val="20"/>
                <w:vertAlign w:val="superscript"/>
                <w:lang w:val="en-US" w:eastAsia="zh-CN" w:bidi="ar-SA"/>
              </w:rPr>
              <w:t>a</w:t>
            </w:r>
            <w:r>
              <w:rPr>
                <w:rFonts w:hint="default" w:ascii="Times New Roman" w:hAnsi="Times New Roman" w:eastAsia="Segoe Print" w:cs="Times New Roman"/>
                <w:b w:val="0"/>
                <w:bCs w:val="0"/>
                <w:sz w:val="20"/>
                <w:szCs w:val="20"/>
                <w:vertAlign w:val="baseline"/>
                <w:lang w:val="en-US" w:eastAsia="zh-CN" w:bidi="ar-SA"/>
              </w:rPr>
              <w:t>, n (%)</w:t>
            </w:r>
          </w:p>
        </w:tc>
        <w:tc>
          <w:tcPr>
            <w:tcW w:w="147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69DF006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Segoe Print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sz w:val="20"/>
                <w:szCs w:val="20"/>
              </w:rPr>
              <w:t xml:space="preserve">3,337 (28.25%) </w:t>
            </w:r>
          </w:p>
        </w:tc>
        <w:tc>
          <w:tcPr>
            <w:tcW w:w="144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77562B8D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Segoe Print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sz w:val="20"/>
                <w:szCs w:val="20"/>
              </w:rPr>
              <w:t xml:space="preserve">1,625 (48.70%) </w:t>
            </w:r>
          </w:p>
        </w:tc>
        <w:tc>
          <w:tcPr>
            <w:tcW w:w="1509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1C0DF305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Segoe Print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sz w:val="20"/>
                <w:szCs w:val="20"/>
              </w:rPr>
              <w:t xml:space="preserve">822 (24.63%) </w:t>
            </w:r>
          </w:p>
        </w:tc>
        <w:tc>
          <w:tcPr>
            <w:tcW w:w="1385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58C952F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Segoe Print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sz w:val="20"/>
                <w:szCs w:val="20"/>
              </w:rPr>
              <w:t xml:space="preserve">890 (26.67%) </w:t>
            </w:r>
          </w:p>
        </w:tc>
        <w:tc>
          <w:tcPr>
            <w:tcW w:w="1008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62D3E9CE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Segoe Print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sz w:val="20"/>
                <w:szCs w:val="20"/>
              </w:rPr>
              <w:t xml:space="preserve">&lt; 0.001 </w:t>
            </w:r>
          </w:p>
        </w:tc>
      </w:tr>
      <w:tr w14:paraId="672F50F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tblCellSpacing w:w="15" w:type="dxa"/>
          <w:jc w:val="center"/>
        </w:trPr>
        <w:tc>
          <w:tcPr>
            <w:tcW w:w="3504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74FA871A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Segoe Print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sz w:val="20"/>
                <w:szCs w:val="20"/>
                <w:lang w:val="en-US" w:eastAsia="zh-CN"/>
              </w:rPr>
              <w:t>Non-specialists</w:t>
            </w:r>
            <w:r>
              <w:rPr>
                <w:rFonts w:hint="default" w:ascii="Times New Roman" w:hAnsi="Times New Roman" w:eastAsia="Segoe Print" w:cs="Times New Roman"/>
                <w:b w:val="0"/>
                <w:bCs w:val="0"/>
                <w:sz w:val="20"/>
                <w:szCs w:val="20"/>
                <w:vertAlign w:val="baseline"/>
                <w:lang w:val="en-US" w:eastAsia="zh-CN" w:bidi="ar-SA"/>
              </w:rPr>
              <w:t>, n (%)</w:t>
            </w:r>
          </w:p>
        </w:tc>
        <w:tc>
          <w:tcPr>
            <w:tcW w:w="147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BA80456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Segoe Print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sz w:val="20"/>
                <w:szCs w:val="20"/>
              </w:rPr>
              <w:t xml:space="preserve">2,796 (23.67%) </w:t>
            </w:r>
          </w:p>
        </w:tc>
        <w:tc>
          <w:tcPr>
            <w:tcW w:w="144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7A8F48A0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Segoe Print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sz w:val="20"/>
                <w:szCs w:val="20"/>
              </w:rPr>
              <w:t xml:space="preserve">1,046 (37.41%) </w:t>
            </w:r>
          </w:p>
        </w:tc>
        <w:tc>
          <w:tcPr>
            <w:tcW w:w="1509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6D33F54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Segoe Print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sz w:val="20"/>
                <w:szCs w:val="20"/>
              </w:rPr>
              <w:t xml:space="preserve">944 (33.76%) </w:t>
            </w:r>
          </w:p>
        </w:tc>
        <w:tc>
          <w:tcPr>
            <w:tcW w:w="1385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F917C23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Segoe Print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sz w:val="20"/>
                <w:szCs w:val="20"/>
              </w:rPr>
              <w:t xml:space="preserve">806 (28.83%) </w:t>
            </w:r>
          </w:p>
        </w:tc>
        <w:tc>
          <w:tcPr>
            <w:tcW w:w="1008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67DDE1BA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Segoe Print" w:cs="Times New Roman"/>
                <w:sz w:val="20"/>
                <w:szCs w:val="20"/>
              </w:rPr>
            </w:pPr>
          </w:p>
        </w:tc>
      </w:tr>
      <w:tr w14:paraId="515BE2B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tblCellSpacing w:w="15" w:type="dxa"/>
          <w:jc w:val="center"/>
        </w:trPr>
        <w:tc>
          <w:tcPr>
            <w:tcW w:w="3504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46C3283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Segoe Print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sz w:val="20"/>
                <w:szCs w:val="20"/>
                <w:lang w:val="en-US" w:eastAsia="zh-CN"/>
              </w:rPr>
              <w:t>Uncertain / Not Consulted</w:t>
            </w:r>
            <w:r>
              <w:rPr>
                <w:rFonts w:hint="eastAsia" w:ascii="Times New Roman" w:hAnsi="Times New Roman" w:eastAsia="Segoe Print" w:cs="Times New Roman"/>
                <w:b w:val="0"/>
                <w:bCs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Segoe Print" w:cs="Times New Roman"/>
                <w:b w:val="0"/>
                <w:bCs w:val="0"/>
                <w:sz w:val="20"/>
                <w:szCs w:val="20"/>
                <w:vertAlign w:val="superscript"/>
                <w:lang w:val="en-US" w:eastAsia="zh-CN" w:bidi="ar-SA"/>
              </w:rPr>
              <w:t>a</w:t>
            </w:r>
            <w:r>
              <w:rPr>
                <w:rFonts w:hint="default" w:ascii="Times New Roman" w:hAnsi="Times New Roman" w:eastAsia="Segoe Print" w:cs="Times New Roman"/>
                <w:b w:val="0"/>
                <w:bCs w:val="0"/>
                <w:sz w:val="20"/>
                <w:szCs w:val="20"/>
                <w:vertAlign w:val="baseline"/>
                <w:lang w:val="en-US" w:eastAsia="zh-CN" w:bidi="ar-SA"/>
              </w:rPr>
              <w:t>, n (%)</w:t>
            </w:r>
          </w:p>
        </w:tc>
        <w:tc>
          <w:tcPr>
            <w:tcW w:w="147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4A4F219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Segoe Print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sz w:val="20"/>
                <w:szCs w:val="20"/>
              </w:rPr>
              <w:t xml:space="preserve">5,681 (48.09%) </w:t>
            </w:r>
          </w:p>
        </w:tc>
        <w:tc>
          <w:tcPr>
            <w:tcW w:w="144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1265780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Segoe Print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sz w:val="20"/>
                <w:szCs w:val="20"/>
              </w:rPr>
              <w:t xml:space="preserve">991 (17.44%) </w:t>
            </w:r>
          </w:p>
        </w:tc>
        <w:tc>
          <w:tcPr>
            <w:tcW w:w="1509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DEB7275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Segoe Print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sz w:val="20"/>
                <w:szCs w:val="20"/>
              </w:rPr>
              <w:t xml:space="preserve">1,313 (23.11%) </w:t>
            </w:r>
          </w:p>
        </w:tc>
        <w:tc>
          <w:tcPr>
            <w:tcW w:w="1385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4100E96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Segoe Print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sz w:val="20"/>
                <w:szCs w:val="20"/>
              </w:rPr>
              <w:t xml:space="preserve">3,377 (59.44%) </w:t>
            </w:r>
          </w:p>
        </w:tc>
        <w:tc>
          <w:tcPr>
            <w:tcW w:w="1008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5BBDDFBA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Segoe Print" w:cs="Times New Roman"/>
                <w:sz w:val="20"/>
                <w:szCs w:val="20"/>
              </w:rPr>
            </w:pPr>
          </w:p>
        </w:tc>
      </w:tr>
    </w:tbl>
    <w:p w14:paraId="26A2324A">
      <w:pPr>
        <w:pStyle w:val="6"/>
        <w:numPr>
          <w:ilvl w:val="-1"/>
          <w:numId w:val="0"/>
        </w:numP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0"/>
          <w:szCs w:val="20"/>
          <w:lang w:val="en-US" w:eastAsia="en-US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0"/>
          <w:szCs w:val="20"/>
          <w:vertAlign w:val="superscript"/>
          <w:lang w:val="en-US" w:eastAsia="zh-CN" w:bidi="ar-SA"/>
        </w:rPr>
        <w:t>a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0"/>
          <w:szCs w:val="20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0"/>
          <w:szCs w:val="20"/>
          <w:lang w:val="en-US" w:eastAsia="en-US" w:bidi="ar-SA"/>
        </w:rPr>
        <w:t>Consultation Type: Specialists refer to neurologists or headache specialists. Non-specialists include general practitioners, or clinicians and nurses from non-neurological departments</w:t>
      </w:r>
    </w:p>
    <w:p w14:paraId="1083296B">
      <w:pPr>
        <w:pStyle w:val="6"/>
        <w:numPr>
          <w:ilvl w:val="-1"/>
          <w:numId w:val="0"/>
        </w:numP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0"/>
          <w:szCs w:val="20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0"/>
          <w:szCs w:val="20"/>
          <w:vertAlign w:val="superscript"/>
          <w:lang w:val="en-US" w:eastAsia="zh-CN" w:bidi="ar-SA"/>
        </w:rPr>
        <w:t>b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0"/>
          <w:szCs w:val="20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0"/>
          <w:szCs w:val="20"/>
          <w:lang w:val="en-US" w:eastAsia="en-US" w:bidi="ar-SA"/>
        </w:rPr>
        <w:t>Due to eCRF design, patients who never sought care and those who could not recall their consultation history were combined as "Uncertain / Not Consulted"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0"/>
          <w:szCs w:val="20"/>
          <w:lang w:val="en-US" w:eastAsia="zh-CN" w:bidi="ar-SA"/>
        </w:rPr>
        <w:t>.</w:t>
      </w:r>
    </w:p>
    <w:p w14:paraId="5CADDC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</w:p>
    <w:p w14:paraId="1FB2C3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Supplementary Table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.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Association Between Healthcare Resource Utilization and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Diagnostic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Accuracy</w:t>
      </w:r>
    </w:p>
    <w:tbl>
      <w:tblPr>
        <w:tblStyle w:val="21"/>
        <w:tblW w:w="0" w:type="auto"/>
        <w:jc w:val="center"/>
        <w:tblCellSpacing w:w="15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6"/>
        <w:gridCol w:w="1901"/>
        <w:gridCol w:w="1901"/>
        <w:gridCol w:w="1903"/>
        <w:gridCol w:w="1440"/>
      </w:tblGrid>
      <w:tr w14:paraId="620CF8A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  <w:tblHeader/>
          <w:tblCellSpacing w:w="15" w:type="dxa"/>
          <w:jc w:val="center"/>
        </w:trPr>
        <w:tc>
          <w:tcPr>
            <w:tcW w:w="3241" w:type="dxa"/>
            <w:tcBorders>
              <w:bottom w:val="single" w:color="auto" w:sz="8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7D3BA26">
            <w:pPr>
              <w:keepNext w:val="0"/>
              <w:keepLines w:val="0"/>
              <w:widowControl/>
              <w:suppressLineNumbers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Print" w:cs="Times New Roman"/>
                <w:b/>
                <w:color w:val="1F1F1F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Segoe Print" w:cs="Times New Roman"/>
                <w:b/>
                <w:color w:val="1F1F1F"/>
                <w:kern w:val="0"/>
                <w:sz w:val="20"/>
                <w:szCs w:val="20"/>
                <w:lang w:val="en-US" w:eastAsia="zh-CN" w:bidi="ar"/>
              </w:rPr>
              <w:t>Items</w:t>
            </w:r>
          </w:p>
        </w:tc>
        <w:tc>
          <w:tcPr>
            <w:tcW w:w="1871" w:type="dxa"/>
            <w:tcBorders>
              <w:bottom w:val="single" w:color="auto" w:sz="8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40B450B4">
            <w:pPr>
              <w:keepNext w:val="0"/>
              <w:keepLines w:val="0"/>
              <w:widowControl/>
              <w:suppressLineNumbers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Style w:val="23"/>
                <w:rFonts w:hint="default" w:ascii="Times New Roman" w:hAnsi="Times New Roman" w:eastAsia="Segoe Print" w:cs="Times New Roman"/>
                <w:b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Style w:val="23"/>
                <w:rFonts w:hint="default" w:ascii="Times New Roman" w:hAnsi="Times New Roman" w:eastAsia="Segoe Print" w:cs="Times New Roman"/>
                <w:b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Correct Diagnosis </w:t>
            </w:r>
          </w:p>
          <w:p w14:paraId="444796CF">
            <w:pPr>
              <w:keepNext w:val="0"/>
              <w:keepLines w:val="0"/>
              <w:widowControl/>
              <w:suppressLineNumbers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Print" w:cs="Times New Roman"/>
                <w:b/>
                <w:color w:val="1F1F1F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Segoe Print" w:cs="Times New Roman"/>
                <w:b/>
                <w:color w:val="1F1F1F"/>
                <w:kern w:val="0"/>
                <w:sz w:val="20"/>
                <w:szCs w:val="20"/>
                <w:lang w:val="en-US" w:eastAsia="zh-CN" w:bidi="ar"/>
              </w:rPr>
              <w:t>(n=3,662)</w:t>
            </w:r>
          </w:p>
        </w:tc>
        <w:tc>
          <w:tcPr>
            <w:tcW w:w="1871" w:type="dxa"/>
            <w:tcBorders>
              <w:bottom w:val="single" w:color="auto" w:sz="8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99B2CCD">
            <w:pPr>
              <w:keepNext w:val="0"/>
              <w:keepLines w:val="0"/>
              <w:widowControl/>
              <w:suppressLineNumbers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Style w:val="23"/>
                <w:rFonts w:hint="default" w:ascii="Times New Roman" w:hAnsi="Times New Roman" w:eastAsia="Segoe Print" w:cs="Times New Roman"/>
                <w:b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Style w:val="23"/>
                <w:rFonts w:hint="default" w:ascii="Times New Roman" w:hAnsi="Times New Roman" w:eastAsia="Segoe Print" w:cs="Times New Roman"/>
                <w:b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Misdiagnosis </w:t>
            </w:r>
          </w:p>
          <w:p w14:paraId="1D8D812F">
            <w:pPr>
              <w:keepNext w:val="0"/>
              <w:keepLines w:val="0"/>
              <w:widowControl/>
              <w:suppressLineNumbers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Print" w:cs="Times New Roman"/>
                <w:b/>
                <w:color w:val="1F1F1F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Segoe Print" w:cs="Times New Roman"/>
                <w:b/>
                <w:color w:val="1F1F1F"/>
                <w:kern w:val="0"/>
                <w:sz w:val="20"/>
                <w:szCs w:val="20"/>
                <w:lang w:val="en-US" w:eastAsia="zh-CN" w:bidi="ar"/>
              </w:rPr>
              <w:t>(n=3,079)</w:t>
            </w:r>
          </w:p>
        </w:tc>
        <w:tc>
          <w:tcPr>
            <w:tcW w:w="1873" w:type="dxa"/>
            <w:tcBorders>
              <w:bottom w:val="single" w:color="auto" w:sz="8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09BAEA06">
            <w:pPr>
              <w:keepNext w:val="0"/>
              <w:keepLines w:val="0"/>
              <w:widowControl/>
              <w:suppressLineNumbers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Style w:val="23"/>
                <w:rFonts w:hint="default" w:ascii="Times New Roman" w:hAnsi="Times New Roman" w:eastAsia="Segoe Print" w:cs="Times New Roman"/>
                <w:b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Style w:val="23"/>
                <w:rFonts w:hint="default" w:ascii="Times New Roman" w:hAnsi="Times New Roman" w:eastAsia="Segoe Print" w:cs="Times New Roman"/>
                <w:b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Undiagnosed </w:t>
            </w:r>
          </w:p>
          <w:p w14:paraId="56D96DC5">
            <w:pPr>
              <w:keepNext w:val="0"/>
              <w:keepLines w:val="0"/>
              <w:widowControl/>
              <w:suppressLineNumbers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Print" w:cs="Times New Roman"/>
                <w:b/>
                <w:color w:val="1F1F1F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Segoe Print" w:cs="Times New Roman"/>
                <w:b/>
                <w:color w:val="1F1F1F"/>
                <w:kern w:val="0"/>
                <w:sz w:val="20"/>
                <w:szCs w:val="20"/>
                <w:lang w:val="en-US" w:eastAsia="zh-CN" w:bidi="ar"/>
              </w:rPr>
              <w:t>(n=5,073)</w:t>
            </w:r>
          </w:p>
        </w:tc>
        <w:tc>
          <w:tcPr>
            <w:tcW w:w="1395" w:type="dxa"/>
            <w:tcBorders>
              <w:bottom w:val="single" w:color="auto" w:sz="8" w:space="0"/>
            </w:tcBorders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135E2B60">
            <w:pPr>
              <w:keepNext w:val="0"/>
              <w:keepLines w:val="0"/>
              <w:widowControl/>
              <w:suppressLineNumbers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Print" w:cs="Times New Roman"/>
                <w:b/>
                <w:color w:val="1F1F1F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Segoe Print" w:cs="Times New Roman"/>
                <w:b/>
                <w:i/>
                <w:iCs/>
                <w:color w:val="1F1F1F"/>
                <w:kern w:val="0"/>
                <w:sz w:val="20"/>
                <w:szCs w:val="20"/>
                <w:lang w:val="en-US" w:eastAsia="zh-CN" w:bidi="ar"/>
              </w:rPr>
              <w:t>P</w:t>
            </w:r>
            <w:r>
              <w:rPr>
                <w:rStyle w:val="23"/>
                <w:rFonts w:hint="default" w:ascii="Times New Roman" w:hAnsi="Times New Roman" w:eastAsia="Segoe Print" w:cs="Times New Roman"/>
                <w:b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 value</w:t>
            </w:r>
          </w:p>
        </w:tc>
      </w:tr>
      <w:tr w14:paraId="0400800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tblCellSpacing w:w="15" w:type="dxa"/>
          <w:jc w:val="center"/>
        </w:trPr>
        <w:tc>
          <w:tcPr>
            <w:tcW w:w="3241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0061A77A">
            <w:pPr>
              <w:keepNext w:val="0"/>
              <w:keepLines w:val="0"/>
              <w:widowControl/>
              <w:suppressLineNumbers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Cranial Imaging </w:t>
            </w:r>
            <w:r>
              <w:rPr>
                <w:rFonts w:hint="eastAsia" w:ascii="Times New Roman" w:hAnsi="Times New Roman" w:eastAsia="Segoe Print" w:cs="Times New Roman"/>
                <w:b/>
                <w:sz w:val="20"/>
                <w:szCs w:val="20"/>
                <w:vertAlign w:val="superscript"/>
                <w:lang w:val="en-US" w:eastAsia="zh-CN"/>
              </w:rPr>
              <w:t>a</w:t>
            </w:r>
            <w:r>
              <w:rPr>
                <w:rFonts w:hint="default" w:ascii="Times New Roman" w:hAnsi="Times New Roman" w:eastAsia="Segoe Print" w:cs="Times New Roman"/>
                <w:b w:val="0"/>
                <w:bCs w:val="0"/>
                <w:color w:val="1F1F1F"/>
                <w:kern w:val="0"/>
                <w:sz w:val="20"/>
                <w:szCs w:val="20"/>
                <w:lang w:val="en-US" w:eastAsia="zh-CN" w:bidi="ar"/>
              </w:rPr>
              <w:t>, n (%)</w:t>
            </w:r>
          </w:p>
        </w:tc>
        <w:tc>
          <w:tcPr>
            <w:tcW w:w="1871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24AEBBB">
            <w:pPr>
              <w:keepNext w:val="0"/>
              <w:keepLines w:val="0"/>
              <w:widowControl/>
              <w:suppressLineNumbers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3,199 (87.36%)</w:t>
            </w:r>
          </w:p>
        </w:tc>
        <w:tc>
          <w:tcPr>
            <w:tcW w:w="1871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D5ECE72">
            <w:pPr>
              <w:keepNext w:val="0"/>
              <w:keepLines w:val="0"/>
              <w:widowControl/>
              <w:suppressLineNumbers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2,668 (86.65%)</w:t>
            </w:r>
          </w:p>
        </w:tc>
        <w:tc>
          <w:tcPr>
            <w:tcW w:w="1873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7977B55A">
            <w:pPr>
              <w:keepNext w:val="0"/>
              <w:keepLines w:val="0"/>
              <w:widowControl/>
              <w:suppressLineNumbers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1,080 (21.29%)</w:t>
            </w:r>
          </w:p>
        </w:tc>
        <w:tc>
          <w:tcPr>
            <w:tcW w:w="139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4CA6A870">
            <w:pPr>
              <w:pStyle w:val="20"/>
              <w:keepNext w:val="0"/>
              <w:keepLines w:val="0"/>
              <w:widowControl/>
              <w:suppressLineNumbers w:val="0"/>
              <w:pBdr>
                <w:top w:val="none" w:color="1F1F1F" w:sz="0" w:space="0"/>
                <w:left w:val="none" w:color="1F1F1F" w:sz="0" w:space="0"/>
                <w:bottom w:val="none" w:color="1F1F1F" w:sz="0" w:space="0"/>
                <w:right w:val="none" w:color="1F1F1F" w:sz="0" w:space="0"/>
              </w:pBdr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  <w:t xml:space="preserve">&lt; 0.001 </w:t>
            </w:r>
          </w:p>
        </w:tc>
      </w:tr>
      <w:tr w14:paraId="226ACDC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tblCellSpacing w:w="15" w:type="dxa"/>
          <w:jc w:val="center"/>
        </w:trPr>
        <w:tc>
          <w:tcPr>
            <w:tcW w:w="3241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CA3EB16">
            <w:pPr>
              <w:keepNext w:val="0"/>
              <w:keepLines w:val="0"/>
              <w:widowControl/>
              <w:suppressLineNumbers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Cervical Imaging </w:t>
            </w:r>
            <w:r>
              <w:rPr>
                <w:rFonts w:hint="eastAsia" w:ascii="Times New Roman" w:hAnsi="Times New Roman" w:eastAsia="Segoe Print" w:cs="Times New Roman"/>
                <w:b/>
                <w:sz w:val="20"/>
                <w:szCs w:val="20"/>
                <w:vertAlign w:val="superscript"/>
                <w:lang w:val="en-US" w:eastAsia="zh-CN"/>
              </w:rPr>
              <w:t>a</w:t>
            </w:r>
            <w:r>
              <w:rPr>
                <w:rFonts w:hint="default" w:ascii="Times New Roman" w:hAnsi="Times New Roman" w:eastAsia="Segoe Print" w:cs="Times New Roman"/>
                <w:b w:val="0"/>
                <w:bCs w:val="0"/>
                <w:color w:val="1F1F1F"/>
                <w:kern w:val="0"/>
                <w:sz w:val="20"/>
                <w:szCs w:val="20"/>
                <w:lang w:val="en-US" w:eastAsia="zh-CN" w:bidi="ar"/>
              </w:rPr>
              <w:t>, n (%)</w:t>
            </w:r>
          </w:p>
        </w:tc>
        <w:tc>
          <w:tcPr>
            <w:tcW w:w="1871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9A46BCD">
            <w:pPr>
              <w:keepNext w:val="0"/>
              <w:keepLines w:val="0"/>
              <w:widowControl/>
              <w:suppressLineNumbers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1,018 (27.80%)</w:t>
            </w:r>
          </w:p>
        </w:tc>
        <w:tc>
          <w:tcPr>
            <w:tcW w:w="1871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2697DEA">
            <w:pPr>
              <w:keepNext w:val="0"/>
              <w:keepLines w:val="0"/>
              <w:widowControl/>
              <w:suppressLineNumbers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953 (30.95%)</w:t>
            </w:r>
          </w:p>
        </w:tc>
        <w:tc>
          <w:tcPr>
            <w:tcW w:w="1873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467EF1E8">
            <w:pPr>
              <w:keepNext w:val="0"/>
              <w:keepLines w:val="0"/>
              <w:widowControl/>
              <w:suppressLineNumbers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348 (6.86%)</w:t>
            </w:r>
          </w:p>
        </w:tc>
        <w:tc>
          <w:tcPr>
            <w:tcW w:w="139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516AC076">
            <w:pPr>
              <w:pStyle w:val="20"/>
              <w:keepNext w:val="0"/>
              <w:keepLines w:val="0"/>
              <w:widowControl/>
              <w:suppressLineNumbers w:val="0"/>
              <w:pBdr>
                <w:top w:val="none" w:color="1F1F1F" w:sz="0" w:space="0"/>
                <w:left w:val="none" w:color="1F1F1F" w:sz="0" w:space="0"/>
                <w:bottom w:val="none" w:color="1F1F1F" w:sz="0" w:space="0"/>
                <w:right w:val="none" w:color="1F1F1F" w:sz="0" w:space="0"/>
              </w:pBdr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  <w:t xml:space="preserve">&lt; 0.001 </w:t>
            </w:r>
          </w:p>
        </w:tc>
      </w:tr>
      <w:tr w14:paraId="17F9194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tblCellSpacing w:w="15" w:type="dxa"/>
          <w:jc w:val="center"/>
        </w:trPr>
        <w:tc>
          <w:tcPr>
            <w:tcW w:w="3241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002C7751">
            <w:pPr>
              <w:keepNext w:val="0"/>
              <w:keepLines w:val="0"/>
              <w:widowControl/>
              <w:suppressLineNumbers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EEG</w:t>
            </w:r>
            <w:r>
              <w:rPr>
                <w:rFonts w:hint="default" w:ascii="Times New Roman" w:hAnsi="Times New Roman" w:eastAsia="Segoe Print" w:cs="Times New Roman"/>
                <w:b w:val="0"/>
                <w:bCs w:val="0"/>
                <w:color w:val="1F1F1F"/>
                <w:kern w:val="0"/>
                <w:sz w:val="20"/>
                <w:szCs w:val="20"/>
                <w:lang w:val="en-US" w:eastAsia="zh-CN" w:bidi="ar"/>
              </w:rPr>
              <w:t>, n (%)</w:t>
            </w:r>
          </w:p>
        </w:tc>
        <w:tc>
          <w:tcPr>
            <w:tcW w:w="1871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3400F3C">
            <w:pPr>
              <w:keepNext w:val="0"/>
              <w:keepLines w:val="0"/>
              <w:widowControl/>
              <w:suppressLineNumbers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737 (20.13%)</w:t>
            </w:r>
          </w:p>
        </w:tc>
        <w:tc>
          <w:tcPr>
            <w:tcW w:w="1871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1B22D77">
            <w:pPr>
              <w:keepNext w:val="0"/>
              <w:keepLines w:val="0"/>
              <w:widowControl/>
              <w:suppressLineNumbers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510 (16.56%)</w:t>
            </w:r>
          </w:p>
        </w:tc>
        <w:tc>
          <w:tcPr>
            <w:tcW w:w="1873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7A076052">
            <w:pPr>
              <w:keepNext w:val="0"/>
              <w:keepLines w:val="0"/>
              <w:widowControl/>
              <w:suppressLineNumbers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193 (3.80%)</w:t>
            </w:r>
          </w:p>
        </w:tc>
        <w:tc>
          <w:tcPr>
            <w:tcW w:w="139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332736D0">
            <w:pPr>
              <w:pStyle w:val="20"/>
              <w:keepNext w:val="0"/>
              <w:keepLines w:val="0"/>
              <w:widowControl/>
              <w:suppressLineNumbers w:val="0"/>
              <w:pBdr>
                <w:top w:val="none" w:color="1F1F1F" w:sz="0" w:space="0"/>
                <w:left w:val="none" w:color="1F1F1F" w:sz="0" w:space="0"/>
                <w:bottom w:val="none" w:color="1F1F1F" w:sz="0" w:space="0"/>
                <w:right w:val="none" w:color="1F1F1F" w:sz="0" w:space="0"/>
              </w:pBdr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  <w:t xml:space="preserve">&lt; 0.001 </w:t>
            </w:r>
          </w:p>
        </w:tc>
      </w:tr>
      <w:tr w14:paraId="3AC0D67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tblCellSpacing w:w="15" w:type="dxa"/>
          <w:jc w:val="center"/>
        </w:trPr>
        <w:tc>
          <w:tcPr>
            <w:tcW w:w="3241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73F1F43">
            <w:pPr>
              <w:keepNext w:val="0"/>
              <w:keepLines w:val="0"/>
              <w:widowControl/>
              <w:suppressLineNumbers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TCD</w:t>
            </w:r>
            <w:r>
              <w:rPr>
                <w:rFonts w:hint="default" w:ascii="Times New Roman" w:hAnsi="Times New Roman" w:eastAsia="Segoe Print" w:cs="Times New Roman"/>
                <w:b w:val="0"/>
                <w:bCs w:val="0"/>
                <w:color w:val="1F1F1F"/>
                <w:kern w:val="0"/>
                <w:sz w:val="20"/>
                <w:szCs w:val="20"/>
                <w:lang w:val="en-US" w:eastAsia="zh-CN" w:bidi="ar"/>
              </w:rPr>
              <w:t>, n (%)</w:t>
            </w:r>
          </w:p>
        </w:tc>
        <w:tc>
          <w:tcPr>
            <w:tcW w:w="1871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BF7D28D">
            <w:pPr>
              <w:keepNext w:val="0"/>
              <w:keepLines w:val="0"/>
              <w:widowControl/>
              <w:suppressLineNumbers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526 (14.36%)</w:t>
            </w:r>
          </w:p>
        </w:tc>
        <w:tc>
          <w:tcPr>
            <w:tcW w:w="1871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A7932D4">
            <w:pPr>
              <w:keepNext w:val="0"/>
              <w:keepLines w:val="0"/>
              <w:widowControl/>
              <w:suppressLineNumbers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393 (12.73%)</w:t>
            </w:r>
          </w:p>
        </w:tc>
        <w:tc>
          <w:tcPr>
            <w:tcW w:w="1873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05D85F1">
            <w:pPr>
              <w:keepNext w:val="0"/>
              <w:keepLines w:val="0"/>
              <w:widowControl/>
              <w:suppressLineNumbers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147 (2.90%)</w:t>
            </w:r>
          </w:p>
        </w:tc>
        <w:tc>
          <w:tcPr>
            <w:tcW w:w="139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5A76EDA3">
            <w:pPr>
              <w:pStyle w:val="20"/>
              <w:keepNext w:val="0"/>
              <w:keepLines w:val="0"/>
              <w:widowControl/>
              <w:suppressLineNumbers w:val="0"/>
              <w:pBdr>
                <w:top w:val="none" w:color="1F1F1F" w:sz="0" w:space="0"/>
                <w:left w:val="none" w:color="1F1F1F" w:sz="0" w:space="0"/>
                <w:bottom w:val="none" w:color="1F1F1F" w:sz="0" w:space="0"/>
                <w:right w:val="none" w:color="1F1F1F" w:sz="0" w:space="0"/>
              </w:pBdr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  <w:t xml:space="preserve">&lt; 0.001 </w:t>
            </w:r>
          </w:p>
        </w:tc>
      </w:tr>
      <w:tr w14:paraId="176C93B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tblCellSpacing w:w="15" w:type="dxa"/>
          <w:jc w:val="center"/>
        </w:trPr>
        <w:tc>
          <w:tcPr>
            <w:tcW w:w="3241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1199E6CA">
            <w:pPr>
              <w:keepNext w:val="0"/>
              <w:keepLines w:val="0"/>
              <w:widowControl/>
              <w:suppressLineNumbers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Echocardiography</w:t>
            </w:r>
            <w:r>
              <w:rPr>
                <w:rFonts w:hint="default" w:ascii="Times New Roman" w:hAnsi="Times New Roman" w:eastAsia="Segoe Print" w:cs="Times New Roman"/>
                <w:b w:val="0"/>
                <w:bCs w:val="0"/>
                <w:color w:val="1F1F1F"/>
                <w:kern w:val="0"/>
                <w:sz w:val="20"/>
                <w:szCs w:val="20"/>
                <w:lang w:val="en-US" w:eastAsia="zh-CN" w:bidi="ar"/>
              </w:rPr>
              <w:t>, n (%)</w:t>
            </w:r>
          </w:p>
        </w:tc>
        <w:tc>
          <w:tcPr>
            <w:tcW w:w="1871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77AE80CD">
            <w:pPr>
              <w:keepNext w:val="0"/>
              <w:keepLines w:val="0"/>
              <w:widowControl/>
              <w:suppressLineNumbers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720 (19.66%)</w:t>
            </w:r>
          </w:p>
        </w:tc>
        <w:tc>
          <w:tcPr>
            <w:tcW w:w="1871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4A1AE965">
            <w:pPr>
              <w:keepNext w:val="0"/>
              <w:keepLines w:val="0"/>
              <w:widowControl/>
              <w:suppressLineNumbers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403 (13.09%)</w:t>
            </w:r>
          </w:p>
        </w:tc>
        <w:tc>
          <w:tcPr>
            <w:tcW w:w="1873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4AEFB204">
            <w:pPr>
              <w:keepNext w:val="0"/>
              <w:keepLines w:val="0"/>
              <w:widowControl/>
              <w:suppressLineNumbers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260 (5.13%)</w:t>
            </w:r>
          </w:p>
        </w:tc>
        <w:tc>
          <w:tcPr>
            <w:tcW w:w="139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744470EE">
            <w:pPr>
              <w:pStyle w:val="20"/>
              <w:keepNext w:val="0"/>
              <w:keepLines w:val="0"/>
              <w:widowControl/>
              <w:suppressLineNumbers w:val="0"/>
              <w:pBdr>
                <w:top w:val="none" w:color="1F1F1F" w:sz="0" w:space="0"/>
                <w:left w:val="none" w:color="1F1F1F" w:sz="0" w:space="0"/>
                <w:bottom w:val="none" w:color="1F1F1F" w:sz="0" w:space="0"/>
                <w:right w:val="none" w:color="1F1F1F" w:sz="0" w:space="0"/>
              </w:pBdr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  <w:t xml:space="preserve">&lt; 0.001 </w:t>
            </w:r>
          </w:p>
        </w:tc>
      </w:tr>
      <w:tr w14:paraId="4AD1DCC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15" w:type="dxa"/>
          <w:jc w:val="center"/>
        </w:trPr>
        <w:tc>
          <w:tcPr>
            <w:tcW w:w="3241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AE49973">
            <w:pPr>
              <w:keepNext w:val="0"/>
              <w:keepLines w:val="0"/>
              <w:widowControl/>
              <w:suppressLineNumbers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PFO Screening</w:t>
            </w:r>
            <w:r>
              <w:rPr>
                <w:rFonts w:hint="default" w:ascii="Times New Roman" w:hAnsi="Times New Roman" w:eastAsia="Segoe Print" w:cs="Times New Roman"/>
                <w:b w:val="0"/>
                <w:bCs w:val="0"/>
                <w:color w:val="1F1F1F"/>
                <w:kern w:val="0"/>
                <w:sz w:val="20"/>
                <w:szCs w:val="20"/>
                <w:lang w:val="en-US" w:eastAsia="zh-CN" w:bidi="ar"/>
              </w:rPr>
              <w:t>, n (%)</w:t>
            </w:r>
          </w:p>
        </w:tc>
        <w:tc>
          <w:tcPr>
            <w:tcW w:w="1871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4630FDC">
            <w:pPr>
              <w:keepNext w:val="0"/>
              <w:keepLines w:val="0"/>
              <w:widowControl/>
              <w:suppressLineNumbers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942 (25.72%)</w:t>
            </w:r>
          </w:p>
        </w:tc>
        <w:tc>
          <w:tcPr>
            <w:tcW w:w="1871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026E03B">
            <w:pPr>
              <w:keepNext w:val="0"/>
              <w:keepLines w:val="0"/>
              <w:widowControl/>
              <w:suppressLineNumbers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377 (12.24%)</w:t>
            </w:r>
          </w:p>
        </w:tc>
        <w:tc>
          <w:tcPr>
            <w:tcW w:w="1873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AC9CA17">
            <w:pPr>
              <w:keepNext w:val="0"/>
              <w:keepLines w:val="0"/>
              <w:widowControl/>
              <w:suppressLineNumbers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272 (5.36%)</w:t>
            </w:r>
          </w:p>
        </w:tc>
        <w:tc>
          <w:tcPr>
            <w:tcW w:w="139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60E14EDF">
            <w:pPr>
              <w:pStyle w:val="20"/>
              <w:keepNext w:val="0"/>
              <w:keepLines w:val="0"/>
              <w:widowControl/>
              <w:suppressLineNumbers w:val="0"/>
              <w:pBdr>
                <w:top w:val="none" w:color="1F1F1F" w:sz="0" w:space="0"/>
                <w:left w:val="none" w:color="1F1F1F" w:sz="0" w:space="0"/>
                <w:bottom w:val="none" w:color="1F1F1F" w:sz="0" w:space="0"/>
                <w:right w:val="none" w:color="1F1F1F" w:sz="0" w:space="0"/>
              </w:pBdr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  <w:t xml:space="preserve">&lt; 0.001 </w:t>
            </w:r>
          </w:p>
        </w:tc>
      </w:tr>
      <w:tr w14:paraId="69B8E41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tblCellSpacing w:w="15" w:type="dxa"/>
          <w:jc w:val="center"/>
        </w:trPr>
        <w:tc>
          <w:tcPr>
            <w:tcW w:w="3241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034AA44A">
            <w:pPr>
              <w:keepNext w:val="0"/>
              <w:keepLines w:val="0"/>
              <w:widowControl/>
              <w:suppressLineNumbers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Other Examinations</w:t>
            </w:r>
            <w:r>
              <w:rPr>
                <w:rFonts w:hint="default" w:ascii="Times New Roman" w:hAnsi="Times New Roman" w:eastAsia="Segoe Print" w:cs="Times New Roman"/>
                <w:b w:val="0"/>
                <w:bCs w:val="0"/>
                <w:color w:val="1F1F1F"/>
                <w:kern w:val="0"/>
                <w:sz w:val="20"/>
                <w:szCs w:val="20"/>
                <w:lang w:val="en-US" w:eastAsia="zh-CN" w:bidi="ar"/>
              </w:rPr>
              <w:t>, n (%)</w:t>
            </w:r>
          </w:p>
        </w:tc>
        <w:tc>
          <w:tcPr>
            <w:tcW w:w="1871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99CF135">
            <w:pPr>
              <w:keepNext w:val="0"/>
              <w:keepLines w:val="0"/>
              <w:widowControl/>
              <w:suppressLineNumbers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90 (2.46%)</w:t>
            </w:r>
          </w:p>
        </w:tc>
        <w:tc>
          <w:tcPr>
            <w:tcW w:w="1871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7D51B016">
            <w:pPr>
              <w:keepNext w:val="0"/>
              <w:keepLines w:val="0"/>
              <w:widowControl/>
              <w:suppressLineNumbers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78 (2.53%)</w:t>
            </w:r>
          </w:p>
        </w:tc>
        <w:tc>
          <w:tcPr>
            <w:tcW w:w="1873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7997BD82">
            <w:pPr>
              <w:keepNext w:val="0"/>
              <w:keepLines w:val="0"/>
              <w:widowControl/>
              <w:suppressLineNumbers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53 (1.04%)</w:t>
            </w:r>
          </w:p>
        </w:tc>
        <w:tc>
          <w:tcPr>
            <w:tcW w:w="139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2D84BF52">
            <w:pPr>
              <w:pStyle w:val="20"/>
              <w:keepNext w:val="0"/>
              <w:keepLines w:val="0"/>
              <w:widowControl/>
              <w:suppressLineNumbers w:val="0"/>
              <w:pBdr>
                <w:top w:val="none" w:color="1F1F1F" w:sz="0" w:space="0"/>
                <w:left w:val="none" w:color="1F1F1F" w:sz="0" w:space="0"/>
                <w:bottom w:val="none" w:color="1F1F1F" w:sz="0" w:space="0"/>
                <w:right w:val="none" w:color="1F1F1F" w:sz="0" w:space="0"/>
              </w:pBdr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  <w:t xml:space="preserve">&lt; 0.001 </w:t>
            </w:r>
          </w:p>
        </w:tc>
      </w:tr>
      <w:tr w14:paraId="66D8E5D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tblCellSpacing w:w="15" w:type="dxa"/>
          <w:jc w:val="center"/>
        </w:trPr>
        <w:tc>
          <w:tcPr>
            <w:tcW w:w="3241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1DC48D98">
            <w:pPr>
              <w:keepNext w:val="0"/>
              <w:keepLines w:val="0"/>
              <w:widowControl/>
              <w:suppressLineNumbers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At least one exam</w:t>
            </w:r>
            <w:r>
              <w:rPr>
                <w:rFonts w:hint="default" w:ascii="Times New Roman" w:hAnsi="Times New Roman" w:eastAsia="Segoe Print" w:cs="Times New Roman"/>
                <w:b w:val="0"/>
                <w:bCs w:val="0"/>
                <w:color w:val="1F1F1F"/>
                <w:kern w:val="0"/>
                <w:sz w:val="20"/>
                <w:szCs w:val="20"/>
                <w:lang w:val="en-US" w:eastAsia="zh-CN" w:bidi="ar"/>
              </w:rPr>
              <w:t>, n (%)</w:t>
            </w:r>
          </w:p>
        </w:tc>
        <w:tc>
          <w:tcPr>
            <w:tcW w:w="1871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604C51F">
            <w:pPr>
              <w:keepNext w:val="0"/>
              <w:keepLines w:val="0"/>
              <w:widowControl/>
              <w:suppressLineNumbers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highlight w:val="none"/>
                <w:lang w:val="en-US" w:eastAsia="zh-CN" w:bidi="ar"/>
              </w:rPr>
              <w:t>,348</w:t>
            </w: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highlight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highlight w:val="none"/>
                <w:lang w:val="en-US" w:eastAsia="zh-CN" w:bidi="ar"/>
              </w:rPr>
              <w:t>91.43</w:t>
            </w: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highlight w:val="none"/>
                <w:lang w:val="en-US" w:eastAsia="zh-CN" w:bidi="ar"/>
              </w:rPr>
              <w:t>%)</w:t>
            </w:r>
          </w:p>
        </w:tc>
        <w:tc>
          <w:tcPr>
            <w:tcW w:w="1871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678E818">
            <w:pPr>
              <w:keepNext w:val="0"/>
              <w:keepLines w:val="0"/>
              <w:widowControl/>
              <w:suppressLineNumbers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2,838 (92.17%)</w:t>
            </w:r>
          </w:p>
        </w:tc>
        <w:tc>
          <w:tcPr>
            <w:tcW w:w="1873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35F0CC2">
            <w:pPr>
              <w:keepNext w:val="0"/>
              <w:keepLines w:val="0"/>
              <w:widowControl/>
              <w:suppressLineNumbers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1,184</w:t>
            </w: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23.34</w:t>
            </w: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%)</w:t>
            </w:r>
          </w:p>
        </w:tc>
        <w:tc>
          <w:tcPr>
            <w:tcW w:w="139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421BE0E1">
            <w:pPr>
              <w:pStyle w:val="20"/>
              <w:keepNext w:val="0"/>
              <w:keepLines w:val="0"/>
              <w:widowControl/>
              <w:suppressLineNumbers w:val="0"/>
              <w:pBdr>
                <w:top w:val="none" w:color="1F1F1F" w:sz="0" w:space="0"/>
                <w:left w:val="none" w:color="1F1F1F" w:sz="0" w:space="0"/>
                <w:bottom w:val="none" w:color="1F1F1F" w:sz="0" w:space="0"/>
                <w:right w:val="none" w:color="1F1F1F" w:sz="0" w:space="0"/>
              </w:pBdr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  <w:t xml:space="preserve">&lt; 0.001 </w:t>
            </w:r>
          </w:p>
        </w:tc>
      </w:tr>
    </w:tbl>
    <w:p w14:paraId="4394DDA0">
      <w:pPr>
        <w:pStyle w:val="3"/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  <w:vertAlign w:val="superscript"/>
          <w:lang w:val="en-US" w:eastAsia="zh-CN"/>
        </w:rPr>
        <w:t>a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Imaging Utilization: Cranial and Cervical imaging include both CT and MRI modalities.</w:t>
      </w:r>
    </w:p>
    <w:p w14:paraId="657A2963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textAlignment w:val="auto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>Abbre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viation: PFO: patent foramen ovale,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EEG: Electroencephalogra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phy,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TCD: Transcranial Doppler.</w:t>
      </w:r>
    </w:p>
    <w:p w14:paraId="2A21B419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textAlignment w:val="auto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Note: Percentages for individual investigations may not sum to the total percentage of investigated patients because participants could select more than one type of investigation.</w:t>
      </w:r>
    </w:p>
    <w:p w14:paraId="1D060D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</w:p>
    <w:p w14:paraId="183C7B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</w:p>
    <w:p w14:paraId="180BA1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</w:p>
    <w:p w14:paraId="3214A6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Supplementary Table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5 Association Between Healthcare Resource Utilization and Consulting Physician Type</w:t>
      </w:r>
    </w:p>
    <w:tbl>
      <w:tblPr>
        <w:tblStyle w:val="21"/>
        <w:tblW w:w="10812" w:type="dxa"/>
        <w:tblCellSpacing w:w="15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25"/>
        <w:gridCol w:w="1669"/>
        <w:gridCol w:w="1669"/>
        <w:gridCol w:w="1669"/>
        <w:gridCol w:w="1670"/>
        <w:gridCol w:w="1110"/>
      </w:tblGrid>
      <w:tr w14:paraId="1B5B4A4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15" w:type="dxa"/>
        </w:trPr>
        <w:tc>
          <w:tcPr>
            <w:tcW w:w="2980" w:type="dxa"/>
            <w:tcBorders>
              <w:bottom w:val="single" w:color="auto" w:sz="8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43143D4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Items</w:t>
            </w:r>
          </w:p>
        </w:tc>
        <w:tc>
          <w:tcPr>
            <w:tcW w:w="1639" w:type="dxa"/>
            <w:tcBorders>
              <w:bottom w:val="single" w:color="auto" w:sz="8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7E112CF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Style w:val="23"/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Style w:val="23"/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Total </w:t>
            </w:r>
          </w:p>
          <w:p w14:paraId="2E0DF7B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(N=11,814)</w:t>
            </w:r>
          </w:p>
        </w:tc>
        <w:tc>
          <w:tcPr>
            <w:tcW w:w="1639" w:type="dxa"/>
            <w:tcBorders>
              <w:bottom w:val="single" w:color="auto" w:sz="8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946494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Specialists </w:t>
            </w:r>
            <w:r>
              <w:rPr>
                <w:rStyle w:val="23"/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vertAlign w:val="superscript"/>
                <w:lang w:val="en-US" w:eastAsia="zh-CN" w:bidi="ar"/>
              </w:rPr>
              <w:t xml:space="preserve">a </w:t>
            </w:r>
            <w:r>
              <w:rPr>
                <w:rStyle w:val="23"/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(n=3,337)</w:t>
            </w:r>
          </w:p>
        </w:tc>
        <w:tc>
          <w:tcPr>
            <w:tcW w:w="1639" w:type="dxa"/>
            <w:tcBorders>
              <w:bottom w:val="single" w:color="auto" w:sz="8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4782D32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Non-specialists</w:t>
            </w: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23"/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vertAlign w:val="superscript"/>
                <w:lang w:val="en-US" w:eastAsia="zh-CN" w:bidi="ar"/>
              </w:rPr>
              <w:t>a</w:t>
            </w:r>
            <w:r>
              <w:rPr>
                <w:rStyle w:val="23"/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 (n=2,796)</w:t>
            </w:r>
          </w:p>
        </w:tc>
        <w:tc>
          <w:tcPr>
            <w:tcW w:w="1640" w:type="dxa"/>
            <w:tcBorders>
              <w:bottom w:val="single" w:color="auto" w:sz="8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3E4720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Uncertain / Not Consulted (n=5,681)</w:t>
            </w:r>
          </w:p>
        </w:tc>
        <w:tc>
          <w:tcPr>
            <w:tcW w:w="1065" w:type="dxa"/>
            <w:tcBorders>
              <w:bottom w:val="single" w:color="auto" w:sz="8" w:space="0"/>
            </w:tcBorders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29DDF73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Segoe Print" w:cs="Times New Roman"/>
                <w:i/>
                <w:iCs/>
                <w:color w:val="1F1F1F"/>
                <w:kern w:val="0"/>
                <w:sz w:val="20"/>
                <w:szCs w:val="20"/>
                <w:lang w:val="en-US" w:eastAsia="zh-CN" w:bidi="ar"/>
              </w:rPr>
              <w:t>P</w:t>
            </w:r>
            <w:r>
              <w:rPr>
                <w:rStyle w:val="23"/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 value</w:t>
            </w:r>
          </w:p>
        </w:tc>
      </w:tr>
      <w:tr w14:paraId="07D4682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298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321F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Cranial Imaging </w:t>
            </w:r>
            <w:r>
              <w:rPr>
                <w:rStyle w:val="23"/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vertAlign w:val="superscript"/>
                <w:lang w:val="en-US" w:eastAsia="zh-CN" w:bidi="ar"/>
              </w:rPr>
              <w:t>b</w:t>
            </w:r>
            <w:r>
              <w:rPr>
                <w:rFonts w:hint="default" w:ascii="Times New Roman" w:hAnsi="Times New Roman" w:eastAsia="Segoe Print" w:cs="Times New Roman"/>
                <w:b w:val="0"/>
                <w:bCs w:val="0"/>
                <w:color w:val="1F1F1F"/>
                <w:kern w:val="0"/>
                <w:sz w:val="20"/>
                <w:szCs w:val="20"/>
                <w:lang w:val="en-US" w:eastAsia="zh-CN" w:bidi="ar"/>
              </w:rPr>
              <w:t>, n (%)</w:t>
            </w:r>
          </w:p>
        </w:tc>
        <w:tc>
          <w:tcPr>
            <w:tcW w:w="1639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A7D9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6,947 (58.80%)</w:t>
            </w:r>
          </w:p>
        </w:tc>
        <w:tc>
          <w:tcPr>
            <w:tcW w:w="1639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3794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2,412 (72.28%)</w:t>
            </w:r>
          </w:p>
        </w:tc>
        <w:tc>
          <w:tcPr>
            <w:tcW w:w="1639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BC4B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2,102 (75.18%)</w:t>
            </w:r>
          </w:p>
        </w:tc>
        <w:tc>
          <w:tcPr>
            <w:tcW w:w="164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9DD2A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2,433 (42.83%)</w:t>
            </w:r>
          </w:p>
        </w:tc>
        <w:tc>
          <w:tcPr>
            <w:tcW w:w="106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5B03D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0.010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2AB34C8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298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9051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Cervical Imaging </w:t>
            </w:r>
            <w:r>
              <w:rPr>
                <w:rStyle w:val="23"/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vertAlign w:val="superscript"/>
                <w:lang w:val="en-US" w:eastAsia="zh-CN" w:bidi="ar"/>
              </w:rPr>
              <w:t>b</w:t>
            </w:r>
            <w:r>
              <w:rPr>
                <w:rFonts w:hint="default" w:ascii="Times New Roman" w:hAnsi="Times New Roman" w:eastAsia="Segoe Print" w:cs="Times New Roman"/>
                <w:b w:val="0"/>
                <w:bCs w:val="0"/>
                <w:color w:val="1F1F1F"/>
                <w:kern w:val="0"/>
                <w:sz w:val="20"/>
                <w:szCs w:val="20"/>
                <w:lang w:val="en-US" w:eastAsia="zh-CN" w:bidi="ar"/>
              </w:rPr>
              <w:t>, n (%)</w:t>
            </w:r>
          </w:p>
        </w:tc>
        <w:tc>
          <w:tcPr>
            <w:tcW w:w="1639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C89C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2,319 (19.63%)</w:t>
            </w:r>
          </w:p>
        </w:tc>
        <w:tc>
          <w:tcPr>
            <w:tcW w:w="1639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3D41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886 (26.55%)</w:t>
            </w:r>
          </w:p>
        </w:tc>
        <w:tc>
          <w:tcPr>
            <w:tcW w:w="1639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743A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729 (26.07%)</w:t>
            </w:r>
          </w:p>
        </w:tc>
        <w:tc>
          <w:tcPr>
            <w:tcW w:w="164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1CD4D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704 (12.39%)</w:t>
            </w:r>
          </w:p>
        </w:tc>
        <w:tc>
          <w:tcPr>
            <w:tcW w:w="106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6A848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0.672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 w14:paraId="32ABDB3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298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7F359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EEG</w:t>
            </w:r>
            <w:r>
              <w:rPr>
                <w:rFonts w:hint="default" w:ascii="Times New Roman" w:hAnsi="Times New Roman" w:eastAsia="Segoe Print" w:cs="Times New Roman"/>
                <w:b w:val="0"/>
                <w:bCs w:val="0"/>
                <w:color w:val="1F1F1F"/>
                <w:kern w:val="0"/>
                <w:sz w:val="20"/>
                <w:szCs w:val="20"/>
                <w:lang w:val="en-US" w:eastAsia="zh-CN" w:bidi="ar"/>
              </w:rPr>
              <w:t>, n (%)</w:t>
            </w:r>
          </w:p>
        </w:tc>
        <w:tc>
          <w:tcPr>
            <w:tcW w:w="1639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80E7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1,440 (12.19%)</w:t>
            </w:r>
          </w:p>
        </w:tc>
        <w:tc>
          <w:tcPr>
            <w:tcW w:w="1639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2E8D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553 (16.57%)</w:t>
            </w:r>
          </w:p>
        </w:tc>
        <w:tc>
          <w:tcPr>
            <w:tcW w:w="1639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DC22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445 (15.92%)</w:t>
            </w:r>
          </w:p>
        </w:tc>
        <w:tc>
          <w:tcPr>
            <w:tcW w:w="164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4D061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442 (7.78%)</w:t>
            </w:r>
          </w:p>
        </w:tc>
        <w:tc>
          <w:tcPr>
            <w:tcW w:w="106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7E609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0.488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246BF74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298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7E4F8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TCD</w:t>
            </w:r>
            <w:r>
              <w:rPr>
                <w:rFonts w:hint="default" w:ascii="Times New Roman" w:hAnsi="Times New Roman" w:eastAsia="Segoe Print" w:cs="Times New Roman"/>
                <w:b w:val="0"/>
                <w:bCs w:val="0"/>
                <w:color w:val="1F1F1F"/>
                <w:kern w:val="0"/>
                <w:sz w:val="20"/>
                <w:szCs w:val="20"/>
                <w:lang w:val="en-US" w:eastAsia="zh-CN" w:bidi="ar"/>
              </w:rPr>
              <w:t>, n (%)</w:t>
            </w:r>
          </w:p>
        </w:tc>
        <w:tc>
          <w:tcPr>
            <w:tcW w:w="1639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0650C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1,065 (9.01%)</w:t>
            </w:r>
          </w:p>
        </w:tc>
        <w:tc>
          <w:tcPr>
            <w:tcW w:w="1639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154F9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428 (12.83%)</w:t>
            </w:r>
          </w:p>
        </w:tc>
        <w:tc>
          <w:tcPr>
            <w:tcW w:w="1639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63E2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313 (11.19%)</w:t>
            </w:r>
          </w:p>
        </w:tc>
        <w:tc>
          <w:tcPr>
            <w:tcW w:w="164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142DC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324 (5.70%)</w:t>
            </w:r>
          </w:p>
        </w:tc>
        <w:tc>
          <w:tcPr>
            <w:tcW w:w="106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6A131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0.05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09</w:t>
            </w:r>
          </w:p>
        </w:tc>
      </w:tr>
      <w:tr w14:paraId="4BDBFD1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298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7B48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Echocardiography</w:t>
            </w:r>
            <w:r>
              <w:rPr>
                <w:rFonts w:hint="default" w:ascii="Times New Roman" w:hAnsi="Times New Roman" w:eastAsia="Segoe Print" w:cs="Times New Roman"/>
                <w:b w:val="0"/>
                <w:bCs w:val="0"/>
                <w:color w:val="1F1F1F"/>
                <w:kern w:val="0"/>
                <w:sz w:val="20"/>
                <w:szCs w:val="20"/>
                <w:lang w:val="en-US" w:eastAsia="zh-CN" w:bidi="ar"/>
              </w:rPr>
              <w:t>, n (%)</w:t>
            </w:r>
          </w:p>
        </w:tc>
        <w:tc>
          <w:tcPr>
            <w:tcW w:w="1639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A623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1,383 (11.71%)</w:t>
            </w:r>
          </w:p>
        </w:tc>
        <w:tc>
          <w:tcPr>
            <w:tcW w:w="1639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FB2B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548 (16.42%)</w:t>
            </w:r>
          </w:p>
        </w:tc>
        <w:tc>
          <w:tcPr>
            <w:tcW w:w="1639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792BE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462 (16.52%)</w:t>
            </w:r>
          </w:p>
        </w:tc>
        <w:tc>
          <w:tcPr>
            <w:tcW w:w="164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7D428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373 (6.57%)</w:t>
            </w:r>
          </w:p>
        </w:tc>
        <w:tc>
          <w:tcPr>
            <w:tcW w:w="106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5DE3C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0.91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49</w:t>
            </w:r>
          </w:p>
        </w:tc>
      </w:tr>
      <w:tr w14:paraId="5C52B08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298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6246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PFO Screening</w:t>
            </w:r>
            <w:r>
              <w:rPr>
                <w:rFonts w:hint="default" w:ascii="Times New Roman" w:hAnsi="Times New Roman" w:eastAsia="Segoe Print" w:cs="Times New Roman"/>
                <w:b w:val="0"/>
                <w:bCs w:val="0"/>
                <w:color w:val="1F1F1F"/>
                <w:kern w:val="0"/>
                <w:sz w:val="20"/>
                <w:szCs w:val="20"/>
                <w:lang w:val="en-US" w:eastAsia="zh-CN" w:bidi="ar"/>
              </w:rPr>
              <w:t>, n (%)</w:t>
            </w:r>
          </w:p>
        </w:tc>
        <w:tc>
          <w:tcPr>
            <w:tcW w:w="1639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75A33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1,591 (13.47%)</w:t>
            </w:r>
          </w:p>
        </w:tc>
        <w:tc>
          <w:tcPr>
            <w:tcW w:w="1639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75BB7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942 (28.23%)</w:t>
            </w:r>
          </w:p>
        </w:tc>
        <w:tc>
          <w:tcPr>
            <w:tcW w:w="1639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2698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377 (13.48%)</w:t>
            </w:r>
          </w:p>
        </w:tc>
        <w:tc>
          <w:tcPr>
            <w:tcW w:w="164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F0DE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272 (4.79%)</w:t>
            </w:r>
          </w:p>
        </w:tc>
        <w:tc>
          <w:tcPr>
            <w:tcW w:w="106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55457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0.019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7DA4262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298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74461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Other Examinations</w:t>
            </w:r>
            <w:r>
              <w:rPr>
                <w:rFonts w:hint="default" w:ascii="Times New Roman" w:hAnsi="Times New Roman" w:eastAsia="Segoe Print" w:cs="Times New Roman"/>
                <w:b w:val="0"/>
                <w:bCs w:val="0"/>
                <w:color w:val="1F1F1F"/>
                <w:kern w:val="0"/>
                <w:sz w:val="20"/>
                <w:szCs w:val="20"/>
                <w:lang w:val="en-US" w:eastAsia="zh-CN" w:bidi="ar"/>
              </w:rPr>
              <w:t>, n (%)</w:t>
            </w:r>
          </w:p>
        </w:tc>
        <w:tc>
          <w:tcPr>
            <w:tcW w:w="1639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1DD44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221 (1.87%)</w:t>
            </w:r>
          </w:p>
        </w:tc>
        <w:tc>
          <w:tcPr>
            <w:tcW w:w="1639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F3D5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61 (1.83%)</w:t>
            </w:r>
          </w:p>
        </w:tc>
        <w:tc>
          <w:tcPr>
            <w:tcW w:w="1639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4316A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77 (2.75%)</w:t>
            </w:r>
          </w:p>
        </w:tc>
        <w:tc>
          <w:tcPr>
            <w:tcW w:w="164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51A8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83 (1.46%)</w:t>
            </w:r>
          </w:p>
        </w:tc>
        <w:tc>
          <w:tcPr>
            <w:tcW w:w="106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504B2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0.01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49</w:t>
            </w:r>
          </w:p>
        </w:tc>
      </w:tr>
      <w:tr w14:paraId="3B6FC0D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298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DEC5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At least one exam </w:t>
            </w:r>
            <w:r>
              <w:rPr>
                <w:rStyle w:val="23"/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vertAlign w:val="superscript"/>
                <w:lang w:val="en-US" w:eastAsia="zh-CN" w:bidi="ar"/>
              </w:rPr>
              <w:t>[</w:t>
            </w:r>
            <w:r>
              <w:rPr>
                <w:rStyle w:val="23"/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vertAlign w:val="superscript"/>
                <w:lang w:val="en-US" w:eastAsia="zh-CN" w:bidi="ar"/>
              </w:rPr>
              <w:t>e</w:t>
            </w:r>
            <w:r>
              <w:rPr>
                <w:rStyle w:val="23"/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vertAlign w:val="superscript"/>
                <w:lang w:val="en-US" w:eastAsia="zh-CN" w:bidi="ar"/>
              </w:rPr>
              <w:t>]</w:t>
            </w:r>
            <w:r>
              <w:rPr>
                <w:rFonts w:hint="default" w:ascii="Times New Roman" w:hAnsi="Times New Roman" w:eastAsia="Segoe Print" w:cs="Times New Roman"/>
                <w:b w:val="0"/>
                <w:bCs w:val="0"/>
                <w:color w:val="1F1F1F"/>
                <w:kern w:val="0"/>
                <w:sz w:val="20"/>
                <w:szCs w:val="20"/>
                <w:lang w:val="en-US" w:eastAsia="zh-CN" w:bidi="ar"/>
              </w:rPr>
              <w:t>, n (%)</w:t>
            </w:r>
          </w:p>
        </w:tc>
        <w:tc>
          <w:tcPr>
            <w:tcW w:w="1639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E65AF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7,370 (62.38%)</w:t>
            </w:r>
          </w:p>
        </w:tc>
        <w:tc>
          <w:tcPr>
            <w:tcW w:w="1639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4E63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2,827 (84.72%)</w:t>
            </w:r>
          </w:p>
        </w:tc>
        <w:tc>
          <w:tcPr>
            <w:tcW w:w="1639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CD67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2,408 (86.12%)</w:t>
            </w:r>
          </w:p>
        </w:tc>
        <w:tc>
          <w:tcPr>
            <w:tcW w:w="164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FCFC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2,135 (37.58%)</w:t>
            </w:r>
          </w:p>
        </w:tc>
        <w:tc>
          <w:tcPr>
            <w:tcW w:w="106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1DBE9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t>&lt;0.001</w:t>
            </w:r>
          </w:p>
        </w:tc>
      </w:tr>
    </w:tbl>
    <w:p w14:paraId="0E9DEB0D">
      <w:pPr>
        <w:pStyle w:val="3"/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textAlignment w:val="auto"/>
        <w:rPr>
          <w:rFonts w:hint="default" w:ascii="Times New Roman" w:hAnsi="Times New Roman" w:cs="Times New Roman"/>
          <w:sz w:val="20"/>
          <w:szCs w:val="20"/>
          <w:lang w:val="en-US"/>
        </w:rPr>
      </w:pPr>
      <w:r>
        <w:rPr>
          <w:rFonts w:hint="eastAsia" w:ascii="Times New Roman" w:hAnsi="Times New Roman" w:cs="Times New Roman"/>
          <w:sz w:val="20"/>
          <w:szCs w:val="20"/>
          <w:vertAlign w:val="superscript"/>
          <w:lang w:val="en-US" w:eastAsia="zh-CN"/>
        </w:rPr>
        <w:t>a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  <w:lang w:val="en-US"/>
        </w:rPr>
        <w:t>Consultation Type: Specialists refer to neurologists or headache specialists. Non-specialists include general practitioners, or clinicians and nurses from non-neurological departments.</w:t>
      </w:r>
    </w:p>
    <w:p w14:paraId="118A203E">
      <w:pPr>
        <w:pStyle w:val="3"/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  <w:vertAlign w:val="superscript"/>
          <w:lang w:val="en-US" w:eastAsia="zh-CN"/>
        </w:rPr>
        <w:t>b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Imaging Utilization: Cranial and Cervical imaging include both CT and MRI modalities.</w:t>
      </w:r>
    </w:p>
    <w:p w14:paraId="3670D19E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textAlignment w:val="auto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>Abbre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viation: PFO: patent foramen ovale,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EEG: Electroencephalogra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phy,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TCD: Transcranial Doppler.</w:t>
      </w:r>
    </w:p>
    <w:p w14:paraId="18549B72">
      <w:pPr>
        <w:pStyle w:val="3"/>
        <w:numPr>
          <w:ilvl w:val="0"/>
          <w:numId w:val="1"/>
        </w:numPr>
        <w:rPr>
          <w:rFonts w:hint="default"/>
          <w:lang w:val="en-US" w:eastAsia="en-US"/>
        </w:rPr>
        <w:sectPr>
          <w:pgSz w:w="11906" w:h="16838"/>
          <w:pgMar w:top="720" w:right="720" w:bottom="720" w:left="720" w:header="851" w:footer="992" w:gutter="0"/>
          <w:cols w:space="425" w:num="1"/>
          <w:docGrid w:type="lines" w:linePitch="312" w:charSpace="0"/>
        </w:sectPr>
      </w:pPr>
    </w:p>
    <w:p w14:paraId="7BC86F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Supplementary Table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. Detailed A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cute Phase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Pharmacological Treatment Profile of the CHIME Cohort</w:t>
      </w:r>
    </w:p>
    <w:tbl>
      <w:tblPr>
        <w:tblStyle w:val="46"/>
        <w:tblW w:w="4941" w:type="pct"/>
        <w:tblInd w:w="0" w:type="dxa"/>
        <w:tblBorders>
          <w:top w:val="single" w:color="auto" w:sz="4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9"/>
        <w:gridCol w:w="1672"/>
        <w:gridCol w:w="1609"/>
        <w:gridCol w:w="1544"/>
        <w:gridCol w:w="1425"/>
        <w:gridCol w:w="1037"/>
        <w:gridCol w:w="900"/>
      </w:tblGrid>
      <w:tr w14:paraId="1ED65B5E"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tblHeader/>
        </w:trPr>
        <w:tc>
          <w:tcPr>
            <w:tcW w:w="1122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47CB2403">
            <w:pPr>
              <w:pStyle w:val="29"/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 xml:space="preserve">Medication Classification </w:t>
            </w:r>
          </w:p>
          <w:p w14:paraId="19270D24">
            <w:pPr>
              <w:pStyle w:val="29"/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and Individual Agents</w:t>
            </w:r>
          </w:p>
        </w:tc>
        <w:tc>
          <w:tcPr>
            <w:tcW w:w="791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3CA72EDB">
            <w:pPr>
              <w:pStyle w:val="29"/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Style w:val="23"/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Total</w:t>
            </w:r>
            <w:r>
              <w:rPr>
                <w:rStyle w:val="23"/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23"/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(n=11,814)</w:t>
            </w:r>
          </w:p>
        </w:tc>
        <w:tc>
          <w:tcPr>
            <w:tcW w:w="762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08C34511">
            <w:pPr>
              <w:pStyle w:val="29"/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EM Group (n=10,123)</w:t>
            </w:r>
          </w:p>
        </w:tc>
        <w:tc>
          <w:tcPr>
            <w:tcW w:w="731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1FA8C8EF">
            <w:pPr>
              <w:pStyle w:val="29"/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CM Group (n=1,019)</w:t>
            </w:r>
          </w:p>
        </w:tc>
        <w:tc>
          <w:tcPr>
            <w:tcW w:w="674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4616CAAE">
            <w:pPr>
              <w:pStyle w:val="29"/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PM Group (n=672)</w:t>
            </w:r>
          </w:p>
        </w:tc>
        <w:tc>
          <w:tcPr>
            <w:tcW w:w="491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55380FAA">
            <w:pPr>
              <w:pStyle w:val="29"/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Style w:val="23"/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426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3A5DDD8F">
            <w:pPr>
              <w:pStyle w:val="29"/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EM vs. CM</w:t>
            </w:r>
          </w:p>
          <w:p w14:paraId="52A974B7">
            <w:pPr>
              <w:pStyle w:val="29"/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</w:p>
        </w:tc>
      </w:tr>
      <w:tr w14:paraId="152A97D9"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122" w:type="pct"/>
            <w:vAlign w:val="center"/>
          </w:tcPr>
          <w:p w14:paraId="7D435A65">
            <w:pPr>
              <w:pStyle w:val="29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Non-specific Analgesics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(NSAIDs/Others)</w:t>
            </w:r>
          </w:p>
        </w:tc>
        <w:tc>
          <w:tcPr>
            <w:tcW w:w="791" w:type="pct"/>
            <w:vAlign w:val="center"/>
          </w:tcPr>
          <w:p w14:paraId="4FDFA4BF">
            <w:pPr>
              <w:pStyle w:val="29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6,574 (55.65%)</w:t>
            </w:r>
          </w:p>
        </w:tc>
        <w:tc>
          <w:tcPr>
            <w:tcW w:w="762" w:type="pct"/>
            <w:vAlign w:val="center"/>
          </w:tcPr>
          <w:p w14:paraId="4A9FBB98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,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788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(5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18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%)</w:t>
            </w:r>
          </w:p>
        </w:tc>
        <w:tc>
          <w:tcPr>
            <w:tcW w:w="731" w:type="pct"/>
            <w:vAlign w:val="center"/>
          </w:tcPr>
          <w:p w14:paraId="29702597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483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(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47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40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%)</w:t>
            </w:r>
          </w:p>
        </w:tc>
        <w:tc>
          <w:tcPr>
            <w:tcW w:w="674" w:type="pct"/>
            <w:vAlign w:val="center"/>
          </w:tcPr>
          <w:p w14:paraId="4046E98F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3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03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(4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09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%)</w:t>
            </w:r>
          </w:p>
        </w:tc>
        <w:tc>
          <w:tcPr>
            <w:tcW w:w="491" w:type="pct"/>
            <w:vAlign w:val="center"/>
          </w:tcPr>
          <w:p w14:paraId="6E7D3118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&lt;0.001</w:t>
            </w:r>
          </w:p>
        </w:tc>
        <w:tc>
          <w:tcPr>
            <w:tcW w:w="426" w:type="pct"/>
            <w:vAlign w:val="center"/>
          </w:tcPr>
          <w:p w14:paraId="01A55788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&lt;0.001</w:t>
            </w:r>
          </w:p>
        </w:tc>
      </w:tr>
      <w:tr w14:paraId="19B6FB12"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122" w:type="pct"/>
            <w:vAlign w:val="center"/>
          </w:tcPr>
          <w:p w14:paraId="550E2772">
            <w:pPr>
              <w:pStyle w:val="29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 Ibuprofen</w:t>
            </w:r>
          </w:p>
        </w:tc>
        <w:tc>
          <w:tcPr>
            <w:tcW w:w="791" w:type="pct"/>
            <w:vAlign w:val="center"/>
          </w:tcPr>
          <w:p w14:paraId="375B1102">
            <w:pPr>
              <w:pStyle w:val="29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4,926 (41.70%)</w:t>
            </w:r>
          </w:p>
        </w:tc>
        <w:tc>
          <w:tcPr>
            <w:tcW w:w="762" w:type="pct"/>
            <w:vAlign w:val="center"/>
          </w:tcPr>
          <w:p w14:paraId="076A40BD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4,374 (43.21%)</w:t>
            </w:r>
          </w:p>
        </w:tc>
        <w:tc>
          <w:tcPr>
            <w:tcW w:w="731" w:type="pct"/>
            <w:vAlign w:val="center"/>
          </w:tcPr>
          <w:p w14:paraId="68FC76A6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314 (30.81%)</w:t>
            </w:r>
          </w:p>
        </w:tc>
        <w:tc>
          <w:tcPr>
            <w:tcW w:w="674" w:type="pct"/>
            <w:vAlign w:val="center"/>
          </w:tcPr>
          <w:p w14:paraId="54ED83F9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238 (35.42%)</w:t>
            </w:r>
          </w:p>
        </w:tc>
        <w:tc>
          <w:tcPr>
            <w:tcW w:w="491" w:type="pct"/>
            <w:vAlign w:val="center"/>
          </w:tcPr>
          <w:p w14:paraId="6717B743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&lt;0.001</w:t>
            </w:r>
          </w:p>
        </w:tc>
        <w:tc>
          <w:tcPr>
            <w:tcW w:w="426" w:type="pct"/>
            <w:vAlign w:val="center"/>
          </w:tcPr>
          <w:p w14:paraId="0176EBE5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&lt;0.001</w:t>
            </w:r>
          </w:p>
        </w:tc>
      </w:tr>
      <w:tr w14:paraId="5290CE3E"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122" w:type="pct"/>
            <w:vAlign w:val="center"/>
          </w:tcPr>
          <w:p w14:paraId="733A4DC9">
            <w:pPr>
              <w:pStyle w:val="29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 Acetaminophen</w:t>
            </w:r>
          </w:p>
        </w:tc>
        <w:tc>
          <w:tcPr>
            <w:tcW w:w="791" w:type="pct"/>
            <w:vAlign w:val="center"/>
          </w:tcPr>
          <w:p w14:paraId="5B53B3A5">
            <w:pPr>
              <w:pStyle w:val="29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2,101 (17.78%)</w:t>
            </w:r>
          </w:p>
        </w:tc>
        <w:tc>
          <w:tcPr>
            <w:tcW w:w="762" w:type="pct"/>
            <w:vAlign w:val="center"/>
          </w:tcPr>
          <w:p w14:paraId="08CE153B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1,827 (18.05%)</w:t>
            </w:r>
          </w:p>
        </w:tc>
        <w:tc>
          <w:tcPr>
            <w:tcW w:w="731" w:type="pct"/>
            <w:vAlign w:val="center"/>
          </w:tcPr>
          <w:p w14:paraId="5C481347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189 (18.55%)</w:t>
            </w:r>
          </w:p>
        </w:tc>
        <w:tc>
          <w:tcPr>
            <w:tcW w:w="674" w:type="pct"/>
            <w:vAlign w:val="center"/>
          </w:tcPr>
          <w:p w14:paraId="0546262F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85 (12.65%)</w:t>
            </w:r>
          </w:p>
        </w:tc>
        <w:tc>
          <w:tcPr>
            <w:tcW w:w="491" w:type="pct"/>
            <w:vAlign w:val="center"/>
          </w:tcPr>
          <w:p w14:paraId="5B69C374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0.0015</w:t>
            </w:r>
          </w:p>
        </w:tc>
        <w:tc>
          <w:tcPr>
            <w:tcW w:w="426" w:type="pct"/>
            <w:vAlign w:val="center"/>
          </w:tcPr>
          <w:p w14:paraId="2E9F1A35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0.693</w:t>
            </w:r>
          </w:p>
        </w:tc>
      </w:tr>
      <w:tr w14:paraId="60750764"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122" w:type="pct"/>
            <w:vAlign w:val="center"/>
          </w:tcPr>
          <w:p w14:paraId="6C1FD339">
            <w:pPr>
              <w:pStyle w:val="29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 Diclofenac</w:t>
            </w:r>
          </w:p>
        </w:tc>
        <w:tc>
          <w:tcPr>
            <w:tcW w:w="791" w:type="pct"/>
            <w:vAlign w:val="center"/>
          </w:tcPr>
          <w:p w14:paraId="4E8B36C4">
            <w:pPr>
              <w:pStyle w:val="29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291 (2.46%)</w:t>
            </w:r>
          </w:p>
        </w:tc>
        <w:tc>
          <w:tcPr>
            <w:tcW w:w="762" w:type="pct"/>
            <w:vAlign w:val="center"/>
          </w:tcPr>
          <w:p w14:paraId="794EB41A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244 (2.41%)</w:t>
            </w:r>
          </w:p>
        </w:tc>
        <w:tc>
          <w:tcPr>
            <w:tcW w:w="731" w:type="pct"/>
            <w:vAlign w:val="center"/>
          </w:tcPr>
          <w:p w14:paraId="798C1CD6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35 (3.43%)</w:t>
            </w:r>
          </w:p>
        </w:tc>
        <w:tc>
          <w:tcPr>
            <w:tcW w:w="674" w:type="pct"/>
            <w:vAlign w:val="center"/>
          </w:tcPr>
          <w:p w14:paraId="5678CA5A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12 (1.79%)</w:t>
            </w:r>
          </w:p>
        </w:tc>
        <w:tc>
          <w:tcPr>
            <w:tcW w:w="491" w:type="pct"/>
            <w:vAlign w:val="center"/>
          </w:tcPr>
          <w:p w14:paraId="061A2809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0.067</w:t>
            </w:r>
          </w:p>
        </w:tc>
        <w:tc>
          <w:tcPr>
            <w:tcW w:w="426" w:type="pct"/>
            <w:vAlign w:val="center"/>
          </w:tcPr>
          <w:p w14:paraId="59871B7A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0.046</w:t>
            </w:r>
          </w:p>
        </w:tc>
      </w:tr>
      <w:tr w14:paraId="602FE23A"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122" w:type="pct"/>
            <w:vAlign w:val="center"/>
          </w:tcPr>
          <w:p w14:paraId="052EC8D0">
            <w:pPr>
              <w:pStyle w:val="29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 Loxoprofen</w:t>
            </w:r>
          </w:p>
        </w:tc>
        <w:tc>
          <w:tcPr>
            <w:tcW w:w="791" w:type="pct"/>
            <w:vAlign w:val="center"/>
          </w:tcPr>
          <w:p w14:paraId="4470823C">
            <w:pPr>
              <w:pStyle w:val="29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267 (2.26%)</w:t>
            </w:r>
          </w:p>
        </w:tc>
        <w:tc>
          <w:tcPr>
            <w:tcW w:w="762" w:type="pct"/>
            <w:vAlign w:val="center"/>
          </w:tcPr>
          <w:p w14:paraId="3F355F8B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219 (2.16%)</w:t>
            </w:r>
          </w:p>
        </w:tc>
        <w:tc>
          <w:tcPr>
            <w:tcW w:w="731" w:type="pct"/>
            <w:vAlign w:val="center"/>
          </w:tcPr>
          <w:p w14:paraId="73537416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33 (3.24%)</w:t>
            </w:r>
          </w:p>
        </w:tc>
        <w:tc>
          <w:tcPr>
            <w:tcW w:w="674" w:type="pct"/>
            <w:vAlign w:val="center"/>
          </w:tcPr>
          <w:p w14:paraId="6C4A372F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15 (2.23%)</w:t>
            </w:r>
          </w:p>
        </w:tc>
        <w:tc>
          <w:tcPr>
            <w:tcW w:w="491" w:type="pct"/>
            <w:vAlign w:val="center"/>
          </w:tcPr>
          <w:p w14:paraId="6C68F3CC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0.089</w:t>
            </w:r>
          </w:p>
        </w:tc>
        <w:tc>
          <w:tcPr>
            <w:tcW w:w="426" w:type="pct"/>
            <w:vAlign w:val="center"/>
          </w:tcPr>
          <w:p w14:paraId="117169E4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0.028</w:t>
            </w:r>
          </w:p>
        </w:tc>
      </w:tr>
      <w:tr w14:paraId="442EA89C"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122" w:type="pct"/>
            <w:vAlign w:val="center"/>
          </w:tcPr>
          <w:p w14:paraId="23C844C7">
            <w:pPr>
              <w:pStyle w:val="29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 Celecoxib</w:t>
            </w:r>
          </w:p>
        </w:tc>
        <w:tc>
          <w:tcPr>
            <w:tcW w:w="791" w:type="pct"/>
            <w:vAlign w:val="center"/>
          </w:tcPr>
          <w:p w14:paraId="08973269">
            <w:pPr>
              <w:pStyle w:val="29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154 (1.30%)</w:t>
            </w:r>
          </w:p>
        </w:tc>
        <w:tc>
          <w:tcPr>
            <w:tcW w:w="762" w:type="pct"/>
            <w:vAlign w:val="center"/>
          </w:tcPr>
          <w:p w14:paraId="09EE490C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130 (1.28%)</w:t>
            </w:r>
          </w:p>
        </w:tc>
        <w:tc>
          <w:tcPr>
            <w:tcW w:w="731" w:type="pct"/>
            <w:vAlign w:val="center"/>
          </w:tcPr>
          <w:p w14:paraId="363A7C04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21 (2.06%)</w:t>
            </w:r>
          </w:p>
        </w:tc>
        <w:tc>
          <w:tcPr>
            <w:tcW w:w="674" w:type="pct"/>
            <w:vAlign w:val="center"/>
          </w:tcPr>
          <w:p w14:paraId="389B94EE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3 (0.45%)</w:t>
            </w:r>
          </w:p>
        </w:tc>
        <w:tc>
          <w:tcPr>
            <w:tcW w:w="491" w:type="pct"/>
            <w:vAlign w:val="center"/>
          </w:tcPr>
          <w:p w14:paraId="1903F10B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0.015</w:t>
            </w:r>
          </w:p>
        </w:tc>
        <w:tc>
          <w:tcPr>
            <w:tcW w:w="426" w:type="pct"/>
            <w:vAlign w:val="center"/>
          </w:tcPr>
          <w:p w14:paraId="7166682F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0.046</w:t>
            </w:r>
          </w:p>
        </w:tc>
      </w:tr>
      <w:tr w14:paraId="7D07A292"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122" w:type="pct"/>
            <w:vAlign w:val="center"/>
          </w:tcPr>
          <w:p w14:paraId="5E4649AF">
            <w:pPr>
              <w:pStyle w:val="29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 Aspirin</w:t>
            </w:r>
          </w:p>
        </w:tc>
        <w:tc>
          <w:tcPr>
            <w:tcW w:w="791" w:type="pct"/>
            <w:vAlign w:val="center"/>
          </w:tcPr>
          <w:p w14:paraId="14C4DE98">
            <w:pPr>
              <w:pStyle w:val="29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115 (0.97%)</w:t>
            </w:r>
          </w:p>
        </w:tc>
        <w:tc>
          <w:tcPr>
            <w:tcW w:w="762" w:type="pct"/>
            <w:vAlign w:val="center"/>
          </w:tcPr>
          <w:p w14:paraId="434F5BCF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98 (0.97%)</w:t>
            </w:r>
          </w:p>
        </w:tc>
        <w:tc>
          <w:tcPr>
            <w:tcW w:w="731" w:type="pct"/>
            <w:vAlign w:val="center"/>
          </w:tcPr>
          <w:p w14:paraId="671A5887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15 (1.47%)</w:t>
            </w:r>
          </w:p>
        </w:tc>
        <w:tc>
          <w:tcPr>
            <w:tcW w:w="674" w:type="pct"/>
            <w:vAlign w:val="center"/>
          </w:tcPr>
          <w:p w14:paraId="492CB158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2 (0.30%)</w:t>
            </w:r>
          </w:p>
        </w:tc>
        <w:tc>
          <w:tcPr>
            <w:tcW w:w="491" w:type="pct"/>
            <w:vAlign w:val="center"/>
          </w:tcPr>
          <w:p w14:paraId="4734B2ED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0.055</w:t>
            </w:r>
          </w:p>
        </w:tc>
        <w:tc>
          <w:tcPr>
            <w:tcW w:w="426" w:type="pct"/>
            <w:vAlign w:val="center"/>
          </w:tcPr>
          <w:p w14:paraId="670B990A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0.126</w:t>
            </w:r>
          </w:p>
        </w:tc>
      </w:tr>
      <w:tr w14:paraId="174074E8"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122" w:type="pct"/>
            <w:vAlign w:val="center"/>
          </w:tcPr>
          <w:p w14:paraId="675A7805">
            <w:pPr>
              <w:pStyle w:val="29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 Naproxen</w:t>
            </w:r>
          </w:p>
        </w:tc>
        <w:tc>
          <w:tcPr>
            <w:tcW w:w="791" w:type="pct"/>
            <w:vAlign w:val="center"/>
          </w:tcPr>
          <w:p w14:paraId="2683ED8D">
            <w:pPr>
              <w:pStyle w:val="29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80 (0.68%)</w:t>
            </w:r>
          </w:p>
        </w:tc>
        <w:tc>
          <w:tcPr>
            <w:tcW w:w="762" w:type="pct"/>
            <w:vAlign w:val="center"/>
          </w:tcPr>
          <w:p w14:paraId="1A00786E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72 (0.71%)</w:t>
            </w:r>
          </w:p>
        </w:tc>
        <w:tc>
          <w:tcPr>
            <w:tcW w:w="731" w:type="pct"/>
            <w:vAlign w:val="center"/>
          </w:tcPr>
          <w:p w14:paraId="244C0F1D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8 (0.79%)</w:t>
            </w:r>
          </w:p>
        </w:tc>
        <w:tc>
          <w:tcPr>
            <w:tcW w:w="674" w:type="pct"/>
            <w:vAlign w:val="center"/>
          </w:tcPr>
          <w:p w14:paraId="7DB889C1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0 (0.00%)</w:t>
            </w:r>
          </w:p>
        </w:tc>
        <w:tc>
          <w:tcPr>
            <w:tcW w:w="491" w:type="pct"/>
            <w:vAlign w:val="center"/>
          </w:tcPr>
          <w:p w14:paraId="44C7E517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0.085</w:t>
            </w:r>
          </w:p>
        </w:tc>
        <w:tc>
          <w:tcPr>
            <w:tcW w:w="426" w:type="pct"/>
            <w:vAlign w:val="center"/>
          </w:tcPr>
          <w:p w14:paraId="07E0637B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0.790</w:t>
            </w:r>
          </w:p>
        </w:tc>
      </w:tr>
      <w:tr w14:paraId="456281E4"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122" w:type="pct"/>
            <w:vAlign w:val="center"/>
          </w:tcPr>
          <w:p w14:paraId="77B954FE">
            <w:pPr>
              <w:pStyle w:val="29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 Indomethacin</w:t>
            </w:r>
          </w:p>
        </w:tc>
        <w:tc>
          <w:tcPr>
            <w:tcW w:w="791" w:type="pct"/>
            <w:vAlign w:val="center"/>
          </w:tcPr>
          <w:p w14:paraId="432552A7">
            <w:pPr>
              <w:pStyle w:val="29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42 (0.36%)</w:t>
            </w:r>
          </w:p>
        </w:tc>
        <w:tc>
          <w:tcPr>
            <w:tcW w:w="762" w:type="pct"/>
            <w:vAlign w:val="center"/>
          </w:tcPr>
          <w:p w14:paraId="143AC9B7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29 (0.29%)</w:t>
            </w:r>
          </w:p>
        </w:tc>
        <w:tc>
          <w:tcPr>
            <w:tcW w:w="731" w:type="pct"/>
            <w:vAlign w:val="center"/>
          </w:tcPr>
          <w:p w14:paraId="1DEDF3BE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13 (1.28%)</w:t>
            </w:r>
          </w:p>
        </w:tc>
        <w:tc>
          <w:tcPr>
            <w:tcW w:w="674" w:type="pct"/>
            <w:vAlign w:val="center"/>
          </w:tcPr>
          <w:p w14:paraId="09F7EE80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0 (0.00%)</w:t>
            </w:r>
          </w:p>
        </w:tc>
        <w:tc>
          <w:tcPr>
            <w:tcW w:w="491" w:type="pct"/>
            <w:vAlign w:val="center"/>
          </w:tcPr>
          <w:p w14:paraId="71A9B618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&lt;0.001</w:t>
            </w:r>
          </w:p>
        </w:tc>
        <w:tc>
          <w:tcPr>
            <w:tcW w:w="426" w:type="pct"/>
            <w:vAlign w:val="center"/>
          </w:tcPr>
          <w:p w14:paraId="28834E9C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&lt;0.001</w:t>
            </w:r>
          </w:p>
        </w:tc>
      </w:tr>
      <w:tr w14:paraId="55319CFE"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122" w:type="pct"/>
            <w:vAlign w:val="center"/>
          </w:tcPr>
          <w:p w14:paraId="7980DE49">
            <w:pPr>
              <w:pStyle w:val="29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 Tolfenamic acid</w:t>
            </w:r>
          </w:p>
        </w:tc>
        <w:tc>
          <w:tcPr>
            <w:tcW w:w="791" w:type="pct"/>
            <w:vAlign w:val="center"/>
          </w:tcPr>
          <w:p w14:paraId="0E0E3B7E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0 (0.00%)</w:t>
            </w:r>
          </w:p>
        </w:tc>
        <w:tc>
          <w:tcPr>
            <w:tcW w:w="762" w:type="pct"/>
            <w:vAlign w:val="center"/>
          </w:tcPr>
          <w:p w14:paraId="36DBCE78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0 (0.00%)</w:t>
            </w:r>
          </w:p>
        </w:tc>
        <w:tc>
          <w:tcPr>
            <w:tcW w:w="731" w:type="pct"/>
            <w:vAlign w:val="center"/>
          </w:tcPr>
          <w:p w14:paraId="63636750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0 (0.00%)</w:t>
            </w:r>
          </w:p>
        </w:tc>
        <w:tc>
          <w:tcPr>
            <w:tcW w:w="674" w:type="pct"/>
            <w:vAlign w:val="center"/>
          </w:tcPr>
          <w:p w14:paraId="7570081B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0 (0.00%)</w:t>
            </w:r>
          </w:p>
        </w:tc>
        <w:tc>
          <w:tcPr>
            <w:tcW w:w="491" w:type="pct"/>
            <w:vAlign w:val="center"/>
          </w:tcPr>
          <w:p w14:paraId="6D891141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-</w:t>
            </w:r>
          </w:p>
        </w:tc>
        <w:tc>
          <w:tcPr>
            <w:tcW w:w="426" w:type="pct"/>
            <w:vAlign w:val="center"/>
          </w:tcPr>
          <w:p w14:paraId="5ADA10DF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-</w:t>
            </w:r>
          </w:p>
        </w:tc>
      </w:tr>
      <w:tr w14:paraId="2C388DB3"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122" w:type="pct"/>
            <w:vAlign w:val="center"/>
          </w:tcPr>
          <w:p w14:paraId="13536287">
            <w:pPr>
              <w:pStyle w:val="29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 Antipyrine</w:t>
            </w:r>
          </w:p>
        </w:tc>
        <w:tc>
          <w:tcPr>
            <w:tcW w:w="791" w:type="pct"/>
            <w:vAlign w:val="center"/>
          </w:tcPr>
          <w:p w14:paraId="122135A0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0 (0.00%)</w:t>
            </w:r>
          </w:p>
        </w:tc>
        <w:tc>
          <w:tcPr>
            <w:tcW w:w="762" w:type="pct"/>
            <w:vAlign w:val="center"/>
          </w:tcPr>
          <w:p w14:paraId="4F846997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0 (0.00%)</w:t>
            </w:r>
          </w:p>
        </w:tc>
        <w:tc>
          <w:tcPr>
            <w:tcW w:w="731" w:type="pct"/>
            <w:vAlign w:val="center"/>
          </w:tcPr>
          <w:p w14:paraId="4650E320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0 (0.00%)</w:t>
            </w:r>
          </w:p>
        </w:tc>
        <w:tc>
          <w:tcPr>
            <w:tcW w:w="674" w:type="pct"/>
            <w:vAlign w:val="center"/>
          </w:tcPr>
          <w:p w14:paraId="2B3E19DF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0 (0.00%)</w:t>
            </w:r>
          </w:p>
        </w:tc>
        <w:tc>
          <w:tcPr>
            <w:tcW w:w="491" w:type="pct"/>
            <w:vAlign w:val="center"/>
          </w:tcPr>
          <w:p w14:paraId="1D508F6A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-</w:t>
            </w:r>
          </w:p>
        </w:tc>
        <w:tc>
          <w:tcPr>
            <w:tcW w:w="426" w:type="pct"/>
            <w:vAlign w:val="center"/>
          </w:tcPr>
          <w:p w14:paraId="46C64C80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-</w:t>
            </w:r>
          </w:p>
        </w:tc>
      </w:tr>
      <w:tr w14:paraId="4C29A3BD"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2" w:type="pct"/>
            <w:vAlign w:val="center"/>
          </w:tcPr>
          <w:p w14:paraId="243CB359">
            <w:pPr>
              <w:pStyle w:val="29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Specific Migraine Medications</w:t>
            </w:r>
          </w:p>
        </w:tc>
        <w:tc>
          <w:tcPr>
            <w:tcW w:w="791" w:type="pct"/>
            <w:vAlign w:val="center"/>
          </w:tcPr>
          <w:p w14:paraId="2C86AFF4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762" w:type="pct"/>
            <w:vAlign w:val="center"/>
          </w:tcPr>
          <w:p w14:paraId="6AFCFEE2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731" w:type="pct"/>
            <w:vAlign w:val="center"/>
          </w:tcPr>
          <w:p w14:paraId="10804647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674" w:type="pct"/>
            <w:vAlign w:val="center"/>
          </w:tcPr>
          <w:p w14:paraId="60C2A5B5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91" w:type="pct"/>
            <w:vAlign w:val="center"/>
          </w:tcPr>
          <w:p w14:paraId="3D7E45A2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26" w:type="pct"/>
            <w:vAlign w:val="center"/>
          </w:tcPr>
          <w:p w14:paraId="49C43ED6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14:paraId="082A155B"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122" w:type="pct"/>
            <w:vAlign w:val="center"/>
          </w:tcPr>
          <w:p w14:paraId="24CD6D8E">
            <w:pPr>
              <w:pStyle w:val="29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- Triptans (Overall)</w:t>
            </w:r>
          </w:p>
        </w:tc>
        <w:tc>
          <w:tcPr>
            <w:tcW w:w="791" w:type="pct"/>
            <w:vAlign w:val="center"/>
          </w:tcPr>
          <w:p w14:paraId="0594C3E3">
            <w:pPr>
              <w:pStyle w:val="29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1,679 (14.21%)</w:t>
            </w:r>
          </w:p>
        </w:tc>
        <w:tc>
          <w:tcPr>
            <w:tcW w:w="762" w:type="pct"/>
            <w:vAlign w:val="center"/>
          </w:tcPr>
          <w:p w14:paraId="452B390E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1,435 (14.18%)</w:t>
            </w:r>
          </w:p>
        </w:tc>
        <w:tc>
          <w:tcPr>
            <w:tcW w:w="731" w:type="pct"/>
            <w:vAlign w:val="center"/>
          </w:tcPr>
          <w:p w14:paraId="057D1864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175 (17.17%)</w:t>
            </w:r>
          </w:p>
        </w:tc>
        <w:tc>
          <w:tcPr>
            <w:tcW w:w="674" w:type="pct"/>
            <w:vAlign w:val="center"/>
          </w:tcPr>
          <w:p w14:paraId="151BAAA4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69 (10.27%)</w:t>
            </w:r>
          </w:p>
        </w:tc>
        <w:tc>
          <w:tcPr>
            <w:tcW w:w="491" w:type="pct"/>
            <w:vAlign w:val="center"/>
          </w:tcPr>
          <w:p w14:paraId="429F40DD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&lt;0.001</w:t>
            </w:r>
          </w:p>
        </w:tc>
        <w:tc>
          <w:tcPr>
            <w:tcW w:w="426" w:type="pct"/>
            <w:vAlign w:val="center"/>
          </w:tcPr>
          <w:p w14:paraId="27EEC576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0.010</w:t>
            </w:r>
          </w:p>
        </w:tc>
      </w:tr>
      <w:tr w14:paraId="42916D74"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122" w:type="pct"/>
            <w:vAlign w:val="center"/>
          </w:tcPr>
          <w:p w14:paraId="087A8305">
            <w:pPr>
              <w:pStyle w:val="29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 Zolmitriptan</w:t>
            </w:r>
          </w:p>
        </w:tc>
        <w:tc>
          <w:tcPr>
            <w:tcW w:w="791" w:type="pct"/>
            <w:vAlign w:val="center"/>
          </w:tcPr>
          <w:p w14:paraId="4808F0B5">
            <w:pPr>
              <w:pStyle w:val="29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968 (8.19%)</w:t>
            </w:r>
          </w:p>
        </w:tc>
        <w:tc>
          <w:tcPr>
            <w:tcW w:w="762" w:type="pct"/>
            <w:vAlign w:val="center"/>
          </w:tcPr>
          <w:p w14:paraId="52C27ADC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805 (7.95%)</w:t>
            </w:r>
          </w:p>
        </w:tc>
        <w:tc>
          <w:tcPr>
            <w:tcW w:w="731" w:type="pct"/>
            <w:vAlign w:val="center"/>
          </w:tcPr>
          <w:p w14:paraId="6DA32685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122 (11.97%)</w:t>
            </w:r>
          </w:p>
        </w:tc>
        <w:tc>
          <w:tcPr>
            <w:tcW w:w="674" w:type="pct"/>
            <w:vAlign w:val="center"/>
          </w:tcPr>
          <w:p w14:paraId="21341229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41 (6.10%)</w:t>
            </w:r>
          </w:p>
        </w:tc>
        <w:tc>
          <w:tcPr>
            <w:tcW w:w="491" w:type="pct"/>
            <w:vAlign w:val="center"/>
          </w:tcPr>
          <w:p w14:paraId="536FB5D3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&lt;0.001</w:t>
            </w:r>
          </w:p>
        </w:tc>
        <w:tc>
          <w:tcPr>
            <w:tcW w:w="426" w:type="pct"/>
            <w:vAlign w:val="center"/>
          </w:tcPr>
          <w:p w14:paraId="41470518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&lt;0.001</w:t>
            </w:r>
          </w:p>
        </w:tc>
      </w:tr>
      <w:tr w14:paraId="5E848729"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122" w:type="pct"/>
            <w:vAlign w:val="center"/>
          </w:tcPr>
          <w:p w14:paraId="38F9BE90">
            <w:pPr>
              <w:pStyle w:val="29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 Rizatriptan</w:t>
            </w:r>
          </w:p>
        </w:tc>
        <w:tc>
          <w:tcPr>
            <w:tcW w:w="791" w:type="pct"/>
            <w:vAlign w:val="center"/>
          </w:tcPr>
          <w:p w14:paraId="69489303">
            <w:pPr>
              <w:pStyle w:val="29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796 (6.74%)</w:t>
            </w:r>
          </w:p>
        </w:tc>
        <w:tc>
          <w:tcPr>
            <w:tcW w:w="762" w:type="pct"/>
            <w:vAlign w:val="center"/>
          </w:tcPr>
          <w:p w14:paraId="4DB77FB5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696 (6.88%)</w:t>
            </w:r>
          </w:p>
        </w:tc>
        <w:tc>
          <w:tcPr>
            <w:tcW w:w="731" w:type="pct"/>
            <w:vAlign w:val="center"/>
          </w:tcPr>
          <w:p w14:paraId="16F5494B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70 (6.87%)</w:t>
            </w:r>
          </w:p>
        </w:tc>
        <w:tc>
          <w:tcPr>
            <w:tcW w:w="674" w:type="pct"/>
            <w:vAlign w:val="center"/>
          </w:tcPr>
          <w:p w14:paraId="1599AE27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30 (4.46%)</w:t>
            </w:r>
          </w:p>
        </w:tc>
        <w:tc>
          <w:tcPr>
            <w:tcW w:w="491" w:type="pct"/>
            <w:vAlign w:val="center"/>
          </w:tcPr>
          <w:p w14:paraId="1233E06E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0.053</w:t>
            </w:r>
          </w:p>
        </w:tc>
        <w:tc>
          <w:tcPr>
            <w:tcW w:w="426" w:type="pct"/>
            <w:vAlign w:val="center"/>
          </w:tcPr>
          <w:p w14:paraId="0E4AE16A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0.994</w:t>
            </w:r>
          </w:p>
        </w:tc>
      </w:tr>
      <w:tr w14:paraId="52DD26E6"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122" w:type="pct"/>
            <w:vAlign w:val="center"/>
          </w:tcPr>
          <w:p w14:paraId="0549BD91">
            <w:pPr>
              <w:pStyle w:val="29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 Sumatriptan</w:t>
            </w:r>
          </w:p>
        </w:tc>
        <w:tc>
          <w:tcPr>
            <w:tcW w:w="791" w:type="pct"/>
            <w:vAlign w:val="center"/>
          </w:tcPr>
          <w:p w14:paraId="4E640060">
            <w:pPr>
              <w:pStyle w:val="29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35 (0.30%)</w:t>
            </w:r>
          </w:p>
        </w:tc>
        <w:tc>
          <w:tcPr>
            <w:tcW w:w="762" w:type="pct"/>
            <w:vAlign w:val="center"/>
          </w:tcPr>
          <w:p w14:paraId="2CE349E1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31 (0.31%)</w:t>
            </w:r>
          </w:p>
        </w:tc>
        <w:tc>
          <w:tcPr>
            <w:tcW w:w="731" w:type="pct"/>
            <w:vAlign w:val="center"/>
          </w:tcPr>
          <w:p w14:paraId="71907E8F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2 (0.20%)</w:t>
            </w:r>
          </w:p>
        </w:tc>
        <w:tc>
          <w:tcPr>
            <w:tcW w:w="674" w:type="pct"/>
            <w:vAlign w:val="center"/>
          </w:tcPr>
          <w:p w14:paraId="65493FEE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2 (0.30%)</w:t>
            </w:r>
          </w:p>
        </w:tc>
        <w:tc>
          <w:tcPr>
            <w:tcW w:w="491" w:type="pct"/>
            <w:vAlign w:val="center"/>
          </w:tcPr>
          <w:p w14:paraId="0ADCDAB5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0.827</w:t>
            </w:r>
          </w:p>
        </w:tc>
        <w:tc>
          <w:tcPr>
            <w:tcW w:w="426" w:type="pct"/>
            <w:vAlign w:val="center"/>
          </w:tcPr>
          <w:p w14:paraId="56898695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0.765</w:t>
            </w:r>
          </w:p>
        </w:tc>
      </w:tr>
      <w:tr w14:paraId="4C429EFE"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122" w:type="pct"/>
            <w:vAlign w:val="center"/>
          </w:tcPr>
          <w:p w14:paraId="4C27C593">
            <w:pPr>
              <w:pStyle w:val="29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- Gepants (Overall)</w:t>
            </w:r>
          </w:p>
        </w:tc>
        <w:tc>
          <w:tcPr>
            <w:tcW w:w="791" w:type="pct"/>
            <w:vAlign w:val="center"/>
          </w:tcPr>
          <w:p w14:paraId="388BD515">
            <w:pPr>
              <w:pStyle w:val="29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362 (3.06%)</w:t>
            </w:r>
          </w:p>
        </w:tc>
        <w:tc>
          <w:tcPr>
            <w:tcW w:w="762" w:type="pct"/>
            <w:vAlign w:val="center"/>
          </w:tcPr>
          <w:p w14:paraId="7F35E8D5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313 (3.09%)</w:t>
            </w:r>
          </w:p>
        </w:tc>
        <w:tc>
          <w:tcPr>
            <w:tcW w:w="731" w:type="pct"/>
            <w:vAlign w:val="center"/>
          </w:tcPr>
          <w:p w14:paraId="64C1BCAE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40 (3.93%)</w:t>
            </w:r>
          </w:p>
        </w:tc>
        <w:tc>
          <w:tcPr>
            <w:tcW w:w="674" w:type="pct"/>
            <w:vAlign w:val="center"/>
          </w:tcPr>
          <w:p w14:paraId="7D4E9C37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9 (1.34%)</w:t>
            </w:r>
          </w:p>
        </w:tc>
        <w:tc>
          <w:tcPr>
            <w:tcW w:w="491" w:type="pct"/>
            <w:vAlign w:val="center"/>
          </w:tcPr>
          <w:p w14:paraId="3809E2D5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0.010</w:t>
            </w:r>
          </w:p>
        </w:tc>
        <w:tc>
          <w:tcPr>
            <w:tcW w:w="426" w:type="pct"/>
            <w:vAlign w:val="center"/>
          </w:tcPr>
          <w:p w14:paraId="5D4B86B1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0.148</w:t>
            </w:r>
          </w:p>
        </w:tc>
      </w:tr>
      <w:tr w14:paraId="726CCEB1"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122" w:type="pct"/>
            <w:vAlign w:val="center"/>
          </w:tcPr>
          <w:p w14:paraId="50C27529">
            <w:pPr>
              <w:pStyle w:val="29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 Rimegepant</w:t>
            </w:r>
          </w:p>
        </w:tc>
        <w:tc>
          <w:tcPr>
            <w:tcW w:w="791" w:type="pct"/>
            <w:vAlign w:val="center"/>
          </w:tcPr>
          <w:p w14:paraId="179D2F7F">
            <w:pPr>
              <w:pStyle w:val="29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361 (3.06%)</w:t>
            </w:r>
          </w:p>
        </w:tc>
        <w:tc>
          <w:tcPr>
            <w:tcW w:w="762" w:type="pct"/>
            <w:vAlign w:val="center"/>
          </w:tcPr>
          <w:p w14:paraId="7E76C8BA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312 (3.08%)</w:t>
            </w:r>
          </w:p>
        </w:tc>
        <w:tc>
          <w:tcPr>
            <w:tcW w:w="731" w:type="pct"/>
            <w:vAlign w:val="center"/>
          </w:tcPr>
          <w:p w14:paraId="23B0CA8A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40 (3.93%)</w:t>
            </w:r>
          </w:p>
        </w:tc>
        <w:tc>
          <w:tcPr>
            <w:tcW w:w="674" w:type="pct"/>
            <w:vAlign w:val="center"/>
          </w:tcPr>
          <w:p w14:paraId="79300A44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9 (1.34%)</w:t>
            </w:r>
          </w:p>
        </w:tc>
        <w:tc>
          <w:tcPr>
            <w:tcW w:w="491" w:type="pct"/>
            <w:vAlign w:val="center"/>
          </w:tcPr>
          <w:p w14:paraId="2070417E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0.010</w:t>
            </w:r>
          </w:p>
        </w:tc>
        <w:tc>
          <w:tcPr>
            <w:tcW w:w="426" w:type="pct"/>
            <w:vAlign w:val="center"/>
          </w:tcPr>
          <w:p w14:paraId="083BDE7A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0.142</w:t>
            </w:r>
          </w:p>
        </w:tc>
      </w:tr>
      <w:tr w14:paraId="213E4FB1"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122" w:type="pct"/>
            <w:vAlign w:val="center"/>
          </w:tcPr>
          <w:p w14:paraId="1DC8AFB9">
            <w:pPr>
              <w:pStyle w:val="29"/>
              <w:jc w:val="left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 Ubrogepan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791" w:type="pct"/>
            <w:vAlign w:val="center"/>
          </w:tcPr>
          <w:p w14:paraId="6A082092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1 (0.01%)</w:t>
            </w:r>
          </w:p>
        </w:tc>
        <w:tc>
          <w:tcPr>
            <w:tcW w:w="762" w:type="pct"/>
            <w:vAlign w:val="center"/>
          </w:tcPr>
          <w:p w14:paraId="6894080A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1 (0.01%)</w:t>
            </w:r>
          </w:p>
        </w:tc>
        <w:tc>
          <w:tcPr>
            <w:tcW w:w="731" w:type="pct"/>
            <w:vAlign w:val="center"/>
          </w:tcPr>
          <w:p w14:paraId="38E654FB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0 (0.00%)</w:t>
            </w:r>
          </w:p>
        </w:tc>
        <w:tc>
          <w:tcPr>
            <w:tcW w:w="674" w:type="pct"/>
            <w:vAlign w:val="center"/>
          </w:tcPr>
          <w:p w14:paraId="0C54B673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0 (0.00%)</w:t>
            </w:r>
          </w:p>
        </w:tc>
        <w:tc>
          <w:tcPr>
            <w:tcW w:w="491" w:type="pct"/>
            <w:vAlign w:val="center"/>
          </w:tcPr>
          <w:p w14:paraId="2FEA2F88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0.920</w:t>
            </w:r>
          </w:p>
        </w:tc>
        <w:tc>
          <w:tcPr>
            <w:tcW w:w="426" w:type="pct"/>
            <w:vAlign w:val="center"/>
          </w:tcPr>
          <w:p w14:paraId="6A1BE8CA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1.000</w:t>
            </w:r>
          </w:p>
        </w:tc>
      </w:tr>
      <w:tr w14:paraId="5A36AB8E"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2" w:type="pct"/>
            <w:vAlign w:val="center"/>
          </w:tcPr>
          <w:p w14:paraId="562FEE0C">
            <w:pPr>
              <w:pStyle w:val="29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- Ergot Derivatives (Overall)</w:t>
            </w:r>
          </w:p>
        </w:tc>
        <w:tc>
          <w:tcPr>
            <w:tcW w:w="791" w:type="pct"/>
            <w:vAlign w:val="center"/>
          </w:tcPr>
          <w:p w14:paraId="20219C00">
            <w:pPr>
              <w:pStyle w:val="29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14 (0.12%)</w:t>
            </w:r>
          </w:p>
        </w:tc>
        <w:tc>
          <w:tcPr>
            <w:tcW w:w="762" w:type="pct"/>
            <w:vAlign w:val="center"/>
          </w:tcPr>
          <w:p w14:paraId="6D0151FB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12 (0.12%)</w:t>
            </w:r>
          </w:p>
        </w:tc>
        <w:tc>
          <w:tcPr>
            <w:tcW w:w="731" w:type="pct"/>
            <w:vAlign w:val="center"/>
          </w:tcPr>
          <w:p w14:paraId="72ABC7A8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1 (0.10%)</w:t>
            </w:r>
          </w:p>
        </w:tc>
        <w:tc>
          <w:tcPr>
            <w:tcW w:w="674" w:type="pct"/>
            <w:vAlign w:val="center"/>
          </w:tcPr>
          <w:p w14:paraId="217C6ABE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1 (0.15%)</w:t>
            </w:r>
          </w:p>
        </w:tc>
        <w:tc>
          <w:tcPr>
            <w:tcW w:w="491" w:type="pct"/>
            <w:vAlign w:val="center"/>
          </w:tcPr>
          <w:p w14:paraId="00833C7F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0.957</w:t>
            </w:r>
          </w:p>
        </w:tc>
        <w:tc>
          <w:tcPr>
            <w:tcW w:w="426" w:type="pct"/>
            <w:vAlign w:val="center"/>
          </w:tcPr>
          <w:p w14:paraId="0C28D10B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0.856</w:t>
            </w:r>
          </w:p>
        </w:tc>
      </w:tr>
      <w:tr w14:paraId="36979958"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122" w:type="pct"/>
            <w:vAlign w:val="center"/>
          </w:tcPr>
          <w:p w14:paraId="7B5A17E3">
            <w:pPr>
              <w:pStyle w:val="29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 Ergotamine Tartrate</w:t>
            </w:r>
          </w:p>
        </w:tc>
        <w:tc>
          <w:tcPr>
            <w:tcW w:w="791" w:type="pct"/>
            <w:vAlign w:val="center"/>
          </w:tcPr>
          <w:p w14:paraId="3B6F4AF0">
            <w:pPr>
              <w:pStyle w:val="29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6 (0.05%)</w:t>
            </w:r>
          </w:p>
        </w:tc>
        <w:tc>
          <w:tcPr>
            <w:tcW w:w="762" w:type="pct"/>
            <w:vAlign w:val="center"/>
          </w:tcPr>
          <w:p w14:paraId="27F967C0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5 (0.05%)</w:t>
            </w:r>
          </w:p>
        </w:tc>
        <w:tc>
          <w:tcPr>
            <w:tcW w:w="731" w:type="pct"/>
            <w:vAlign w:val="center"/>
          </w:tcPr>
          <w:p w14:paraId="3FB01C92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1 (0.10%)</w:t>
            </w:r>
          </w:p>
        </w:tc>
        <w:tc>
          <w:tcPr>
            <w:tcW w:w="674" w:type="pct"/>
            <w:vAlign w:val="center"/>
          </w:tcPr>
          <w:p w14:paraId="02B7FDD8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0 (0.00%)</w:t>
            </w:r>
          </w:p>
        </w:tc>
        <w:tc>
          <w:tcPr>
            <w:tcW w:w="491" w:type="pct"/>
            <w:vAlign w:val="center"/>
          </w:tcPr>
          <w:p w14:paraId="24ABD126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0.672</w:t>
            </w:r>
          </w:p>
        </w:tc>
        <w:tc>
          <w:tcPr>
            <w:tcW w:w="426" w:type="pct"/>
            <w:vAlign w:val="center"/>
          </w:tcPr>
          <w:p w14:paraId="732DC445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0.438</w:t>
            </w:r>
          </w:p>
        </w:tc>
      </w:tr>
      <w:tr w14:paraId="5B1428CC"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122" w:type="pct"/>
            <w:vAlign w:val="center"/>
          </w:tcPr>
          <w:p w14:paraId="5318563F">
            <w:pPr>
              <w:pStyle w:val="29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 Dihydroergotamine</w:t>
            </w:r>
          </w:p>
        </w:tc>
        <w:tc>
          <w:tcPr>
            <w:tcW w:w="791" w:type="pct"/>
            <w:vAlign w:val="center"/>
          </w:tcPr>
          <w:p w14:paraId="3CEB5619">
            <w:pPr>
              <w:pStyle w:val="29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8 (0.07%)</w:t>
            </w:r>
          </w:p>
        </w:tc>
        <w:tc>
          <w:tcPr>
            <w:tcW w:w="762" w:type="pct"/>
            <w:vAlign w:val="center"/>
          </w:tcPr>
          <w:p w14:paraId="17C87004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7 (0.07%)</w:t>
            </w:r>
          </w:p>
        </w:tc>
        <w:tc>
          <w:tcPr>
            <w:tcW w:w="731" w:type="pct"/>
            <w:vAlign w:val="center"/>
          </w:tcPr>
          <w:p w14:paraId="537A342F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0 (0.00%)</w:t>
            </w:r>
          </w:p>
        </w:tc>
        <w:tc>
          <w:tcPr>
            <w:tcW w:w="674" w:type="pct"/>
            <w:vAlign w:val="center"/>
          </w:tcPr>
          <w:p w14:paraId="4E7E14E8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1 (0.15%)</w:t>
            </w:r>
          </w:p>
        </w:tc>
        <w:tc>
          <w:tcPr>
            <w:tcW w:w="491" w:type="pct"/>
            <w:vAlign w:val="center"/>
          </w:tcPr>
          <w:p w14:paraId="469BA74E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0.510</w:t>
            </w:r>
          </w:p>
        </w:tc>
        <w:tc>
          <w:tcPr>
            <w:tcW w:w="426" w:type="pct"/>
            <w:vAlign w:val="center"/>
          </w:tcPr>
          <w:p w14:paraId="647FDF6D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1.000</w:t>
            </w:r>
          </w:p>
        </w:tc>
      </w:tr>
      <w:tr w14:paraId="19BB37BE"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2" w:type="pct"/>
            <w:tcBorders/>
            <w:vAlign w:val="center"/>
          </w:tcPr>
          <w:p w14:paraId="1B147DAA">
            <w:pPr>
              <w:pStyle w:val="29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Compound Preparations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  <w:vertAlign w:val="superscript"/>
                <w:lang w:val="en-US" w:eastAsia="zh-CN"/>
                <w14:ligatures w14:val="none"/>
              </w:rPr>
              <w:t>b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(Overall)</w:t>
            </w:r>
          </w:p>
        </w:tc>
        <w:tc>
          <w:tcPr>
            <w:tcW w:w="791" w:type="pct"/>
            <w:tcBorders/>
            <w:vAlign w:val="center"/>
          </w:tcPr>
          <w:p w14:paraId="4492E506">
            <w:pPr>
              <w:pStyle w:val="29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2,407 (20.37%)</w:t>
            </w:r>
          </w:p>
        </w:tc>
        <w:tc>
          <w:tcPr>
            <w:tcW w:w="762" w:type="pct"/>
            <w:tcBorders/>
            <w:vAlign w:val="center"/>
          </w:tcPr>
          <w:p w14:paraId="0058F52E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1,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915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(1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92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%)</w:t>
            </w:r>
          </w:p>
        </w:tc>
        <w:tc>
          <w:tcPr>
            <w:tcW w:w="731" w:type="pct"/>
            <w:tcBorders/>
            <w:vAlign w:val="center"/>
          </w:tcPr>
          <w:p w14:paraId="5419313E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3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80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(3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9%)</w:t>
            </w:r>
          </w:p>
        </w:tc>
        <w:tc>
          <w:tcPr>
            <w:tcW w:w="674" w:type="pct"/>
            <w:tcBorders/>
            <w:vAlign w:val="center"/>
          </w:tcPr>
          <w:p w14:paraId="3D55BCD8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112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(1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67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%)</w:t>
            </w:r>
          </w:p>
        </w:tc>
        <w:tc>
          <w:tcPr>
            <w:tcW w:w="491" w:type="pct"/>
            <w:tcBorders/>
            <w:vAlign w:val="center"/>
          </w:tcPr>
          <w:p w14:paraId="7D3E9D7E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&lt;0.001</w:t>
            </w:r>
          </w:p>
        </w:tc>
        <w:tc>
          <w:tcPr>
            <w:tcW w:w="426" w:type="pct"/>
            <w:tcBorders/>
            <w:vAlign w:val="center"/>
          </w:tcPr>
          <w:p w14:paraId="71933F65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&lt;0.001</w:t>
            </w:r>
          </w:p>
        </w:tc>
      </w:tr>
      <w:tr w14:paraId="6378222C"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122" w:type="pct"/>
            <w:tcBorders/>
            <w:shd w:val="clear"/>
            <w:vAlign w:val="center"/>
          </w:tcPr>
          <w:p w14:paraId="7A0C78E9">
            <w:pPr>
              <w:pStyle w:val="29"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 EVE (Combination)</w:t>
            </w:r>
          </w:p>
        </w:tc>
        <w:tc>
          <w:tcPr>
            <w:tcW w:w="791" w:type="pct"/>
            <w:tcBorders/>
            <w:shd w:val="clear"/>
            <w:vAlign w:val="center"/>
          </w:tcPr>
          <w:p w14:paraId="1296D9CE">
            <w:pPr>
              <w:pStyle w:val="29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671 (5.68%)</w:t>
            </w:r>
          </w:p>
        </w:tc>
        <w:tc>
          <w:tcPr>
            <w:tcW w:w="762" w:type="pct"/>
            <w:tcBorders/>
            <w:shd w:val="clear"/>
            <w:vAlign w:val="center"/>
          </w:tcPr>
          <w:p w14:paraId="1932205E">
            <w:pPr>
              <w:pStyle w:val="29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570 (5.63%)</w:t>
            </w:r>
          </w:p>
        </w:tc>
        <w:tc>
          <w:tcPr>
            <w:tcW w:w="731" w:type="pct"/>
            <w:tcBorders/>
            <w:shd w:val="clear"/>
            <w:vAlign w:val="center"/>
          </w:tcPr>
          <w:p w14:paraId="27EE8D4C">
            <w:pPr>
              <w:pStyle w:val="29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75 (7.36%)</w:t>
            </w:r>
          </w:p>
        </w:tc>
        <w:tc>
          <w:tcPr>
            <w:tcW w:w="674" w:type="pct"/>
            <w:tcBorders/>
            <w:shd w:val="clear"/>
            <w:vAlign w:val="center"/>
          </w:tcPr>
          <w:p w14:paraId="5F4A9503">
            <w:pPr>
              <w:pStyle w:val="29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26 (3.87%)</w:t>
            </w:r>
          </w:p>
        </w:tc>
        <w:tc>
          <w:tcPr>
            <w:tcW w:w="491" w:type="pct"/>
            <w:tcBorders/>
            <w:shd w:val="clear"/>
            <w:vAlign w:val="center"/>
          </w:tcPr>
          <w:p w14:paraId="108A134E">
            <w:pPr>
              <w:pStyle w:val="29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0.0085</w:t>
            </w:r>
          </w:p>
        </w:tc>
        <w:tc>
          <w:tcPr>
            <w:tcW w:w="426" w:type="pct"/>
            <w:tcBorders/>
            <w:shd w:val="clear"/>
            <w:vAlign w:val="center"/>
          </w:tcPr>
          <w:p w14:paraId="1EB89584">
            <w:pPr>
              <w:pStyle w:val="29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0.024</w:t>
            </w:r>
          </w:p>
        </w:tc>
      </w:tr>
      <w:tr w14:paraId="45DC6BA3"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122" w:type="pct"/>
            <w:tcBorders>
              <w:bottom w:val="nil"/>
            </w:tcBorders>
            <w:shd w:val="clear"/>
            <w:vAlign w:val="center"/>
          </w:tcPr>
          <w:p w14:paraId="498739FB">
            <w:pPr>
              <w:pStyle w:val="29"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 Ergotamine + Caffeine</w:t>
            </w:r>
          </w:p>
        </w:tc>
        <w:tc>
          <w:tcPr>
            <w:tcW w:w="791" w:type="pct"/>
            <w:tcBorders>
              <w:bottom w:val="nil"/>
            </w:tcBorders>
            <w:shd w:val="clear"/>
            <w:vAlign w:val="center"/>
          </w:tcPr>
          <w:p w14:paraId="1CE3F62C">
            <w:pPr>
              <w:pStyle w:val="29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23 (0.19%)</w:t>
            </w:r>
          </w:p>
        </w:tc>
        <w:tc>
          <w:tcPr>
            <w:tcW w:w="762" w:type="pct"/>
            <w:tcBorders>
              <w:bottom w:val="nil"/>
            </w:tcBorders>
            <w:shd w:val="clear"/>
            <w:vAlign w:val="center"/>
          </w:tcPr>
          <w:p w14:paraId="42825D10">
            <w:pPr>
              <w:pStyle w:val="29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19 (0.19%)</w:t>
            </w:r>
          </w:p>
        </w:tc>
        <w:tc>
          <w:tcPr>
            <w:tcW w:w="731" w:type="pct"/>
            <w:tcBorders>
              <w:bottom w:val="nil"/>
            </w:tcBorders>
            <w:shd w:val="clear"/>
            <w:vAlign w:val="center"/>
          </w:tcPr>
          <w:p w14:paraId="1CB8EAA8">
            <w:pPr>
              <w:pStyle w:val="29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4 (0.39%)</w:t>
            </w:r>
          </w:p>
        </w:tc>
        <w:tc>
          <w:tcPr>
            <w:tcW w:w="674" w:type="pct"/>
            <w:tcBorders>
              <w:bottom w:val="nil"/>
            </w:tcBorders>
            <w:shd w:val="clear"/>
            <w:vAlign w:val="center"/>
          </w:tcPr>
          <w:p w14:paraId="57F3C1BD">
            <w:pPr>
              <w:pStyle w:val="29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0 (0.00%)</w:t>
            </w:r>
          </w:p>
        </w:tc>
        <w:tc>
          <w:tcPr>
            <w:tcW w:w="491" w:type="pct"/>
            <w:tcBorders>
              <w:bottom w:val="nil"/>
            </w:tcBorders>
            <w:shd w:val="clear"/>
            <w:vAlign w:val="center"/>
          </w:tcPr>
          <w:p w14:paraId="03591B85">
            <w:pPr>
              <w:pStyle w:val="29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0.184</w:t>
            </w:r>
          </w:p>
        </w:tc>
        <w:tc>
          <w:tcPr>
            <w:tcW w:w="426" w:type="pct"/>
            <w:tcBorders>
              <w:bottom w:val="nil"/>
            </w:tcBorders>
            <w:shd w:val="clear"/>
            <w:vAlign w:val="center"/>
          </w:tcPr>
          <w:p w14:paraId="2A19EE98">
            <w:pPr>
              <w:pStyle w:val="29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0.153</w:t>
            </w:r>
          </w:p>
        </w:tc>
      </w:tr>
      <w:tr w14:paraId="7C1A72B7"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1122" w:type="pct"/>
            <w:tcBorders>
              <w:top w:val="nil"/>
            </w:tcBorders>
            <w:vAlign w:val="center"/>
          </w:tcPr>
          <w:p w14:paraId="26C856BA">
            <w:pPr>
              <w:pStyle w:val="29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Compound Analgesic tablets (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Qu Tong Pian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QTP)</w:t>
            </w:r>
          </w:p>
        </w:tc>
        <w:tc>
          <w:tcPr>
            <w:tcW w:w="791" w:type="pct"/>
            <w:tcBorders>
              <w:top w:val="nil"/>
            </w:tcBorders>
            <w:vAlign w:val="center"/>
          </w:tcPr>
          <w:p w14:paraId="56AEAA8B">
            <w:pPr>
              <w:pStyle w:val="29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1,048 (8.87%)</w:t>
            </w:r>
          </w:p>
        </w:tc>
        <w:tc>
          <w:tcPr>
            <w:tcW w:w="762" w:type="pct"/>
            <w:tcBorders>
              <w:top w:val="nil"/>
            </w:tcBorders>
            <w:vAlign w:val="center"/>
          </w:tcPr>
          <w:p w14:paraId="6E8A0649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786 (7.76%)</w:t>
            </w:r>
          </w:p>
        </w:tc>
        <w:tc>
          <w:tcPr>
            <w:tcW w:w="731" w:type="pct"/>
            <w:tcBorders>
              <w:top w:val="nil"/>
            </w:tcBorders>
            <w:vAlign w:val="center"/>
          </w:tcPr>
          <w:p w14:paraId="6B57AC7E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209 (20.51%)</w:t>
            </w:r>
          </w:p>
        </w:tc>
        <w:tc>
          <w:tcPr>
            <w:tcW w:w="674" w:type="pct"/>
            <w:tcBorders>
              <w:top w:val="nil"/>
            </w:tcBorders>
            <w:vAlign w:val="center"/>
          </w:tcPr>
          <w:p w14:paraId="601D534B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53 (7.89%)</w:t>
            </w:r>
          </w:p>
        </w:tc>
        <w:tc>
          <w:tcPr>
            <w:tcW w:w="491" w:type="pct"/>
            <w:tcBorders>
              <w:top w:val="nil"/>
            </w:tcBorders>
            <w:vAlign w:val="center"/>
          </w:tcPr>
          <w:p w14:paraId="7FE5DA08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&lt;0.001</w:t>
            </w:r>
          </w:p>
        </w:tc>
        <w:tc>
          <w:tcPr>
            <w:tcW w:w="426" w:type="pct"/>
            <w:tcBorders>
              <w:top w:val="nil"/>
            </w:tcBorders>
            <w:vAlign w:val="center"/>
          </w:tcPr>
          <w:p w14:paraId="3C6A063C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&lt;0.001</w:t>
            </w:r>
          </w:p>
        </w:tc>
      </w:tr>
      <w:tr w14:paraId="02520915"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1122" w:type="pct"/>
            <w:vAlign w:val="center"/>
          </w:tcPr>
          <w:p w14:paraId="2383D803">
            <w:pPr>
              <w:pStyle w:val="29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Compound analgesic powders (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Tou Tong Fen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TTF)</w:t>
            </w:r>
          </w:p>
        </w:tc>
        <w:tc>
          <w:tcPr>
            <w:tcW w:w="791" w:type="pct"/>
            <w:vAlign w:val="center"/>
          </w:tcPr>
          <w:p w14:paraId="410AD466">
            <w:pPr>
              <w:pStyle w:val="29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652 (5.52%)</w:t>
            </w:r>
          </w:p>
        </w:tc>
        <w:tc>
          <w:tcPr>
            <w:tcW w:w="762" w:type="pct"/>
            <w:vAlign w:val="center"/>
          </w:tcPr>
          <w:p w14:paraId="35C24DA7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510 (5.04%)</w:t>
            </w:r>
          </w:p>
        </w:tc>
        <w:tc>
          <w:tcPr>
            <w:tcW w:w="731" w:type="pct"/>
            <w:vAlign w:val="center"/>
          </w:tcPr>
          <w:p w14:paraId="4B201004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108 (10.60%)</w:t>
            </w:r>
          </w:p>
        </w:tc>
        <w:tc>
          <w:tcPr>
            <w:tcW w:w="674" w:type="pct"/>
            <w:vAlign w:val="center"/>
          </w:tcPr>
          <w:p w14:paraId="6D94210C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34 (5.06%)</w:t>
            </w:r>
          </w:p>
        </w:tc>
        <w:tc>
          <w:tcPr>
            <w:tcW w:w="491" w:type="pct"/>
            <w:vAlign w:val="center"/>
          </w:tcPr>
          <w:p w14:paraId="7B23E3C6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&lt;0.001</w:t>
            </w:r>
          </w:p>
        </w:tc>
        <w:tc>
          <w:tcPr>
            <w:tcW w:w="426" w:type="pct"/>
            <w:vAlign w:val="center"/>
          </w:tcPr>
          <w:p w14:paraId="1B58AD8A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&lt;0.001</w:t>
            </w:r>
          </w:p>
        </w:tc>
      </w:tr>
      <w:tr w14:paraId="3768869B"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2" w:type="pct"/>
            <w:vAlign w:val="center"/>
          </w:tcPr>
          <w:p w14:paraId="4F0C0071">
            <w:pPr>
              <w:pStyle w:val="29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ompound cold preparations</w:t>
            </w:r>
          </w:p>
        </w:tc>
        <w:tc>
          <w:tcPr>
            <w:tcW w:w="791" w:type="pct"/>
            <w:vAlign w:val="center"/>
          </w:tcPr>
          <w:p w14:paraId="4CFE8499">
            <w:pPr>
              <w:pStyle w:val="29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290 (2.45%)</w:t>
            </w:r>
          </w:p>
        </w:tc>
        <w:tc>
          <w:tcPr>
            <w:tcW w:w="762" w:type="pct"/>
            <w:vAlign w:val="center"/>
          </w:tcPr>
          <w:p w14:paraId="128A7527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240 (2.37%)</w:t>
            </w:r>
          </w:p>
        </w:tc>
        <w:tc>
          <w:tcPr>
            <w:tcW w:w="731" w:type="pct"/>
            <w:vAlign w:val="center"/>
          </w:tcPr>
          <w:p w14:paraId="3B34FC9E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40 (3.93%)</w:t>
            </w:r>
          </w:p>
        </w:tc>
        <w:tc>
          <w:tcPr>
            <w:tcW w:w="674" w:type="pct"/>
            <w:vAlign w:val="center"/>
          </w:tcPr>
          <w:p w14:paraId="13E09693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10 (1.49%)</w:t>
            </w:r>
          </w:p>
        </w:tc>
        <w:tc>
          <w:tcPr>
            <w:tcW w:w="491" w:type="pct"/>
            <w:vAlign w:val="center"/>
          </w:tcPr>
          <w:p w14:paraId="3222B698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0.002</w:t>
            </w:r>
          </w:p>
        </w:tc>
        <w:tc>
          <w:tcPr>
            <w:tcW w:w="426" w:type="pct"/>
            <w:vAlign w:val="center"/>
          </w:tcPr>
          <w:p w14:paraId="224C4DAB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0.004</w:t>
            </w:r>
          </w:p>
        </w:tc>
      </w:tr>
      <w:tr w14:paraId="231D2467"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122" w:type="pct"/>
            <w:vAlign w:val="center"/>
          </w:tcPr>
          <w:p w14:paraId="072FE517">
            <w:pPr>
              <w:pStyle w:val="29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Opioids (Tramadol)</w:t>
            </w:r>
          </w:p>
        </w:tc>
        <w:tc>
          <w:tcPr>
            <w:tcW w:w="791" w:type="pct"/>
            <w:vAlign w:val="center"/>
          </w:tcPr>
          <w:p w14:paraId="6ED0CC37">
            <w:pPr>
              <w:pStyle w:val="29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53 (0.45%)</w:t>
            </w:r>
          </w:p>
        </w:tc>
        <w:tc>
          <w:tcPr>
            <w:tcW w:w="762" w:type="pct"/>
            <w:vAlign w:val="center"/>
          </w:tcPr>
          <w:p w14:paraId="5F074A52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38 (0.38%)</w:t>
            </w:r>
          </w:p>
        </w:tc>
        <w:tc>
          <w:tcPr>
            <w:tcW w:w="731" w:type="pct"/>
            <w:vAlign w:val="center"/>
          </w:tcPr>
          <w:p w14:paraId="4FA7BE03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10 (0.98%)</w:t>
            </w:r>
          </w:p>
        </w:tc>
        <w:tc>
          <w:tcPr>
            <w:tcW w:w="674" w:type="pct"/>
            <w:vAlign w:val="center"/>
          </w:tcPr>
          <w:p w14:paraId="4C047691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5 (0.74%)</w:t>
            </w:r>
          </w:p>
        </w:tc>
        <w:tc>
          <w:tcPr>
            <w:tcW w:w="491" w:type="pct"/>
            <w:vAlign w:val="center"/>
          </w:tcPr>
          <w:p w14:paraId="326DD4EE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0.011</w:t>
            </w:r>
          </w:p>
        </w:tc>
        <w:tc>
          <w:tcPr>
            <w:tcW w:w="426" w:type="pct"/>
            <w:vAlign w:val="center"/>
          </w:tcPr>
          <w:p w14:paraId="43EE5F67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0.010</w:t>
            </w:r>
          </w:p>
        </w:tc>
      </w:tr>
      <w:tr w14:paraId="690EE36E"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2" w:type="pct"/>
            <w:vAlign w:val="center"/>
          </w:tcPr>
          <w:p w14:paraId="0DC4D49F">
            <w:pPr>
              <w:pStyle w:val="29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TC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M (Acute Stage Formulations)</w:t>
            </w:r>
          </w:p>
        </w:tc>
        <w:tc>
          <w:tcPr>
            <w:tcW w:w="791" w:type="pct"/>
            <w:vAlign w:val="center"/>
          </w:tcPr>
          <w:p w14:paraId="290E943F">
            <w:pPr>
              <w:pStyle w:val="29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634 (5.37%)</w:t>
            </w:r>
          </w:p>
        </w:tc>
        <w:tc>
          <w:tcPr>
            <w:tcW w:w="762" w:type="pct"/>
            <w:vAlign w:val="center"/>
          </w:tcPr>
          <w:p w14:paraId="1D300028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505 (4.99%)</w:t>
            </w:r>
          </w:p>
        </w:tc>
        <w:tc>
          <w:tcPr>
            <w:tcW w:w="731" w:type="pct"/>
            <w:vAlign w:val="center"/>
          </w:tcPr>
          <w:p w14:paraId="35FA48A8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103 (10.11%)</w:t>
            </w:r>
          </w:p>
        </w:tc>
        <w:tc>
          <w:tcPr>
            <w:tcW w:w="674" w:type="pct"/>
            <w:vAlign w:val="center"/>
          </w:tcPr>
          <w:p w14:paraId="60F798AF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26 (3.87%)</w:t>
            </w:r>
          </w:p>
        </w:tc>
        <w:tc>
          <w:tcPr>
            <w:tcW w:w="491" w:type="pct"/>
            <w:vAlign w:val="center"/>
          </w:tcPr>
          <w:p w14:paraId="728E739B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&lt;0.001</w:t>
            </w:r>
          </w:p>
        </w:tc>
        <w:tc>
          <w:tcPr>
            <w:tcW w:w="426" w:type="pct"/>
            <w:vAlign w:val="center"/>
          </w:tcPr>
          <w:p w14:paraId="6DC217C7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&lt;0.001</w:t>
            </w:r>
          </w:p>
        </w:tc>
      </w:tr>
      <w:tr w14:paraId="1FC3CE5E"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122" w:type="pct"/>
            <w:vAlign w:val="center"/>
          </w:tcPr>
          <w:p w14:paraId="2F57ACDC">
            <w:pPr>
              <w:pStyle w:val="29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Unknown / Other Acute Meds</w:t>
            </w:r>
          </w:p>
        </w:tc>
        <w:tc>
          <w:tcPr>
            <w:tcW w:w="791" w:type="pct"/>
            <w:vAlign w:val="center"/>
          </w:tcPr>
          <w:p w14:paraId="4C5C0622">
            <w:pPr>
              <w:pStyle w:val="29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879 (7.44%)</w:t>
            </w:r>
          </w:p>
        </w:tc>
        <w:tc>
          <w:tcPr>
            <w:tcW w:w="762" w:type="pct"/>
            <w:vAlign w:val="center"/>
          </w:tcPr>
          <w:p w14:paraId="6C4D788E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711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(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02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%)</w:t>
            </w:r>
          </w:p>
        </w:tc>
        <w:tc>
          <w:tcPr>
            <w:tcW w:w="731" w:type="pct"/>
            <w:vAlign w:val="center"/>
          </w:tcPr>
          <w:p w14:paraId="3E43E5D7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11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(1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9%)</w:t>
            </w:r>
          </w:p>
        </w:tc>
        <w:tc>
          <w:tcPr>
            <w:tcW w:w="674" w:type="pct"/>
            <w:vAlign w:val="center"/>
          </w:tcPr>
          <w:p w14:paraId="4DB864F8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5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(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19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%)</w:t>
            </w:r>
          </w:p>
        </w:tc>
        <w:tc>
          <w:tcPr>
            <w:tcW w:w="491" w:type="pct"/>
            <w:vAlign w:val="center"/>
          </w:tcPr>
          <w:p w14:paraId="3417245D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&lt;0.001</w:t>
            </w:r>
          </w:p>
        </w:tc>
        <w:tc>
          <w:tcPr>
            <w:tcW w:w="426" w:type="pct"/>
            <w:vAlign w:val="center"/>
          </w:tcPr>
          <w:p w14:paraId="63EDF630">
            <w:pPr>
              <w:pStyle w:val="29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&lt;0.001</w:t>
            </w:r>
          </w:p>
        </w:tc>
      </w:tr>
    </w:tbl>
    <w:p w14:paraId="1AEAFD54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textAlignment w:val="auto"/>
        <w:rPr>
          <w:rFonts w:hint="default" w:ascii="Times New Roman" w:hAnsi="Times New Roman" w:eastAsia="宋体" w:cs="Times New Roman"/>
          <w:sz w:val="20"/>
          <w:szCs w:val="20"/>
          <w:highlight w:val="none"/>
          <w14:ligatures w14:val="none"/>
        </w:rPr>
      </w:pPr>
    </w:p>
    <w:p w14:paraId="02CE2F5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textAlignment w:val="auto"/>
        <w:rPr>
          <w:rFonts w:hint="default" w:ascii="Times New Roman" w:hAnsi="Times New Roman" w:eastAsia="宋体" w:cs="Times New Roman"/>
          <w:sz w:val="20"/>
          <w:szCs w:val="20"/>
          <w:highlight w:val="none"/>
          <w14:ligatures w14:val="none"/>
        </w:rPr>
      </w:pPr>
      <w:r>
        <w:rPr>
          <w:rFonts w:hint="default" w:ascii="Times New Roman" w:hAnsi="Times New Roman" w:eastAsia="宋体" w:cs="Times New Roman"/>
          <w:sz w:val="20"/>
          <w:szCs w:val="20"/>
          <w:highlight w:val="none"/>
          <w14:ligatures w14:val="none"/>
        </w:rPr>
        <w:t>Abbreviations: EM, episodic migraine; CM, chronic migraine; PM, probable migraine; NSAIDs, non-steroidal anti-inflammatory drugs;</w:t>
      </w:r>
      <w:r>
        <w:rPr>
          <w:rFonts w:hint="eastAsia" w:ascii="Times New Roman" w:hAnsi="Times New Roman" w:eastAsia="宋体" w:cs="Times New Roman"/>
          <w:sz w:val="20"/>
          <w:szCs w:val="20"/>
          <w:highlight w:val="none"/>
          <w:lang w:val="en-US" w:eastAsia="zh-CN"/>
          <w14:ligatures w14:val="none"/>
        </w:rPr>
        <w:t xml:space="preserve"> </w:t>
      </w:r>
      <w:r>
        <w:rPr>
          <w:rFonts w:hint="default" w:ascii="Times New Roman" w:hAnsi="Times New Roman" w:eastAsia="宋体" w:cs="Times New Roman"/>
          <w:sz w:val="20"/>
          <w:szCs w:val="20"/>
          <w:highlight w:val="none"/>
          <w14:ligatures w14:val="none"/>
        </w:rPr>
        <w:t>TC</w:t>
      </w:r>
      <w:r>
        <w:rPr>
          <w:rFonts w:hint="eastAsia" w:ascii="Times New Roman" w:hAnsi="Times New Roman" w:eastAsia="宋体" w:cs="Times New Roman"/>
          <w:sz w:val="20"/>
          <w:szCs w:val="20"/>
          <w:highlight w:val="none"/>
          <w:lang w:val="en-US" w:eastAsia="zh-CN"/>
          <w14:ligatures w14:val="none"/>
        </w:rPr>
        <w:t>P</w:t>
      </w:r>
      <w:r>
        <w:rPr>
          <w:rFonts w:hint="default" w:ascii="Times New Roman" w:hAnsi="Times New Roman" w:eastAsia="宋体" w:cs="Times New Roman"/>
          <w:sz w:val="20"/>
          <w:szCs w:val="20"/>
          <w:highlight w:val="none"/>
          <w14:ligatures w14:val="none"/>
        </w:rPr>
        <w:t xml:space="preserve">M, traditional Chinese </w:t>
      </w:r>
      <w:r>
        <w:rPr>
          <w:rFonts w:hint="eastAsia" w:ascii="Times New Roman" w:hAnsi="Times New Roman" w:eastAsia="宋体" w:cs="Times New Roman"/>
          <w:sz w:val="20"/>
          <w:szCs w:val="20"/>
          <w:highlight w:val="none"/>
          <w:lang w:val="en-US" w:eastAsia="zh-CN"/>
          <w14:ligatures w14:val="none"/>
        </w:rPr>
        <w:t xml:space="preserve">patent </w:t>
      </w:r>
      <w:r>
        <w:rPr>
          <w:rFonts w:hint="default" w:ascii="Times New Roman" w:hAnsi="Times New Roman" w:eastAsia="宋体" w:cs="Times New Roman"/>
          <w:sz w:val="20"/>
          <w:szCs w:val="20"/>
          <w:highlight w:val="none"/>
          <w14:ligatures w14:val="none"/>
        </w:rPr>
        <w:t>medicine</w:t>
      </w:r>
      <w:r>
        <w:rPr>
          <w:rFonts w:hint="eastAsia" w:ascii="Times New Roman" w:hAnsi="Times New Roman" w:eastAsia="宋体" w:cs="Times New Roman"/>
          <w:sz w:val="20"/>
          <w:szCs w:val="20"/>
          <w:highlight w:val="none"/>
          <w:lang w:val="en-US" w:eastAsia="zh-CN"/>
          <w14:ligatures w14:val="none"/>
        </w:rPr>
        <w:t>;</w:t>
      </w:r>
      <w:r>
        <w:rPr>
          <w:rFonts w:hint="default" w:ascii="Times New Roman" w:hAnsi="Times New Roman" w:eastAsia="宋体" w:cs="Times New Roman"/>
          <w:sz w:val="20"/>
          <w:szCs w:val="20"/>
          <w:highlight w:val="none"/>
          <w14:ligatures w14:val="none"/>
        </w:rPr>
        <w:t xml:space="preserve"> QTP, Qu Tong Pian (contains Aminopyrine</w:t>
      </w:r>
      <w:r>
        <w:rPr>
          <w:rFonts w:hint="eastAsia" w:ascii="Times New Roman" w:hAnsi="Times New Roman" w:cs="Times New Roman"/>
          <w:sz w:val="20"/>
          <w:szCs w:val="20"/>
          <w:highlight w:val="none"/>
          <w:lang w:val="en-US" w:eastAsia="zh-CN"/>
          <w14:ligatures w14:val="none"/>
        </w:rPr>
        <w:t xml:space="preserve"> </w:t>
      </w:r>
      <w:r>
        <w:rPr>
          <w:rFonts w:hint="default" w:ascii="Times New Roman" w:hAnsi="Times New Roman" w:eastAsia="宋体" w:cs="Times New Roman"/>
          <w:sz w:val="20"/>
          <w:szCs w:val="20"/>
          <w:highlight w:val="none"/>
          <w14:ligatures w14:val="none"/>
        </w:rPr>
        <w:t>/</w:t>
      </w:r>
      <w:r>
        <w:rPr>
          <w:rFonts w:hint="eastAsia" w:ascii="Times New Roman" w:hAnsi="Times New Roman" w:cs="Times New Roman"/>
          <w:sz w:val="20"/>
          <w:szCs w:val="20"/>
          <w:highlight w:val="none"/>
          <w:lang w:val="en-US" w:eastAsia="zh-CN"/>
          <w14:ligatures w14:val="none"/>
        </w:rPr>
        <w:t xml:space="preserve"> </w:t>
      </w:r>
      <w:r>
        <w:rPr>
          <w:rFonts w:hint="default" w:ascii="Times New Roman" w:hAnsi="Times New Roman" w:eastAsia="宋体" w:cs="Times New Roman"/>
          <w:sz w:val="20"/>
          <w:szCs w:val="20"/>
          <w:highlight w:val="none"/>
          <w14:ligatures w14:val="none"/>
        </w:rPr>
        <w:t>Phenacetin</w:t>
      </w:r>
      <w:r>
        <w:rPr>
          <w:rFonts w:hint="eastAsia" w:ascii="Times New Roman" w:hAnsi="Times New Roman" w:cs="Times New Roman"/>
          <w:sz w:val="20"/>
          <w:szCs w:val="20"/>
          <w:highlight w:val="none"/>
          <w:lang w:val="en-US" w:eastAsia="zh-CN"/>
          <w14:ligatures w14:val="none"/>
        </w:rPr>
        <w:t xml:space="preserve"> </w:t>
      </w:r>
      <w:r>
        <w:rPr>
          <w:rFonts w:hint="default" w:ascii="Times New Roman" w:hAnsi="Times New Roman" w:eastAsia="宋体" w:cs="Times New Roman"/>
          <w:sz w:val="20"/>
          <w:szCs w:val="20"/>
          <w:highlight w:val="none"/>
          <w14:ligatures w14:val="none"/>
        </w:rPr>
        <w:t>/</w:t>
      </w:r>
      <w:r>
        <w:rPr>
          <w:rFonts w:hint="eastAsia" w:ascii="Times New Roman" w:hAnsi="Times New Roman" w:cs="Times New Roman"/>
          <w:sz w:val="20"/>
          <w:szCs w:val="20"/>
          <w:highlight w:val="none"/>
          <w:lang w:val="en-US" w:eastAsia="zh-CN"/>
          <w14:ligatures w14:val="none"/>
        </w:rPr>
        <w:t xml:space="preserve"> </w:t>
      </w:r>
      <w:r>
        <w:rPr>
          <w:rFonts w:hint="default" w:ascii="Times New Roman" w:hAnsi="Times New Roman" w:eastAsia="宋体" w:cs="Times New Roman"/>
          <w:sz w:val="20"/>
          <w:szCs w:val="20"/>
          <w:highlight w:val="none"/>
          <w14:ligatures w14:val="none"/>
        </w:rPr>
        <w:t>Caffeine</w:t>
      </w:r>
      <w:r>
        <w:rPr>
          <w:rFonts w:hint="eastAsia" w:ascii="Times New Roman" w:hAnsi="Times New Roman" w:cs="Times New Roman"/>
          <w:sz w:val="20"/>
          <w:szCs w:val="20"/>
          <w:highlight w:val="none"/>
          <w:lang w:val="en-US" w:eastAsia="zh-CN"/>
          <w14:ligatures w14:val="none"/>
        </w:rPr>
        <w:t xml:space="preserve"> </w:t>
      </w:r>
      <w:r>
        <w:rPr>
          <w:rFonts w:hint="default" w:ascii="Times New Roman" w:hAnsi="Times New Roman" w:eastAsia="宋体" w:cs="Times New Roman"/>
          <w:sz w:val="20"/>
          <w:szCs w:val="20"/>
          <w:highlight w:val="none"/>
          <w14:ligatures w14:val="none"/>
        </w:rPr>
        <w:t>/</w:t>
      </w:r>
      <w:r>
        <w:rPr>
          <w:rFonts w:hint="eastAsia" w:ascii="Times New Roman" w:hAnsi="Times New Roman" w:cs="Times New Roman"/>
          <w:sz w:val="20"/>
          <w:szCs w:val="20"/>
          <w:highlight w:val="none"/>
          <w:lang w:val="en-US" w:eastAsia="zh-CN"/>
          <w14:ligatures w14:val="none"/>
        </w:rPr>
        <w:t xml:space="preserve"> </w:t>
      </w:r>
      <w:r>
        <w:rPr>
          <w:rFonts w:hint="default" w:ascii="Times New Roman" w:hAnsi="Times New Roman" w:eastAsia="宋体" w:cs="Times New Roman"/>
          <w:sz w:val="20"/>
          <w:szCs w:val="20"/>
          <w:highlight w:val="none"/>
          <w14:ligatures w14:val="none"/>
        </w:rPr>
        <w:t>Phenobarbital); TTF, Tou Tong Fen (contains Aspirin/Caffeine)</w:t>
      </w:r>
      <w:r>
        <w:rPr>
          <w:rFonts w:hint="eastAsia" w:ascii="Times New Roman" w:hAnsi="Times New Roman" w:cs="Times New Roman"/>
          <w:sz w:val="20"/>
          <w:szCs w:val="20"/>
          <w:highlight w:val="none"/>
          <w:lang w:val="en-US" w:eastAsia="zh-CN"/>
          <w14:ligatures w14:val="none"/>
        </w:rPr>
        <w:t>.</w:t>
      </w:r>
    </w:p>
    <w:p w14:paraId="2E4E4051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textAlignment w:val="auto"/>
        <w:rPr>
          <w:rFonts w:hint="default" w:ascii="Times New Roman" w:hAnsi="Times New Roman" w:eastAsia="宋体" w:cs="Times New Roman"/>
          <w:sz w:val="20"/>
          <w:szCs w:val="20"/>
          <w:highlight w:val="none"/>
          <w14:ligatures w14:val="none"/>
        </w:rPr>
      </w:pPr>
      <w:r>
        <w:rPr>
          <w:rFonts w:hint="default" w:ascii="Times New Roman" w:hAnsi="Times New Roman" w:eastAsia="宋体" w:cs="Times New Roman"/>
          <w:sz w:val="20"/>
          <w:szCs w:val="20"/>
          <w:highlight w:val="none"/>
          <w:vertAlign w:val="superscript"/>
          <w14:ligatures w14:val="none"/>
        </w:rPr>
        <w:t>a</w:t>
      </w:r>
      <w:r>
        <w:rPr>
          <w:rFonts w:hint="default" w:ascii="Times New Roman" w:hAnsi="Times New Roman" w:eastAsia="宋体" w:cs="Times New Roman"/>
          <w:sz w:val="20"/>
          <w:szCs w:val="20"/>
          <w:highlight w:val="none"/>
          <w14:ligatures w14:val="none"/>
        </w:rPr>
        <w:t xml:space="preserve"> </w:t>
      </w:r>
      <w:r>
        <w:rPr>
          <w:rFonts w:hint="default" w:ascii="Times New Roman" w:hAnsi="Times New Roman" w:eastAsia="宋体" w:cs="Times New Roman"/>
          <w:i/>
          <w:iCs/>
          <w:sz w:val="20"/>
          <w:szCs w:val="20"/>
          <w:highlight w:val="none"/>
          <w14:ligatures w14:val="none"/>
        </w:rPr>
        <w:t>P</w:t>
      </w:r>
      <w:r>
        <w:rPr>
          <w:rFonts w:hint="default" w:ascii="Times New Roman" w:hAnsi="Times New Roman" w:eastAsia="宋体" w:cs="Times New Roman"/>
          <w:sz w:val="20"/>
          <w:szCs w:val="20"/>
          <w:highlight w:val="none"/>
          <w14:ligatures w14:val="none"/>
        </w:rPr>
        <w:t xml:space="preserve"> value: Calculated across all three diagnostic groups (EM, CM, PM) using Pearson Chi-Square test or Fisher's exact test.</w:t>
      </w:r>
    </w:p>
    <w:p w14:paraId="601839ED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textAlignment w:val="auto"/>
        <w:rPr>
          <w:rFonts w:hint="default" w:ascii="Times New Roman" w:hAnsi="Times New Roman" w:eastAsia="宋体" w:cs="Times New Roman"/>
          <w:sz w:val="20"/>
          <w:szCs w:val="20"/>
          <w:highlight w:val="none"/>
          <w:lang w:val="en-US" w:eastAsia="zh-CN"/>
          <w14:ligatures w14:val="none"/>
        </w:rPr>
      </w:pPr>
      <w:r>
        <w:rPr>
          <w:rFonts w:hint="eastAsia" w:ascii="Times New Roman" w:hAnsi="Times New Roman" w:cs="Times New Roman"/>
          <w:sz w:val="20"/>
          <w:szCs w:val="20"/>
          <w:highlight w:val="none"/>
          <w:vertAlign w:val="superscript"/>
          <w:lang w:val="en-US" w:eastAsia="zh-CN"/>
          <w14:ligatures w14:val="none"/>
        </w:rPr>
        <w:t>b</w:t>
      </w:r>
      <w:r>
        <w:rPr>
          <w:rFonts w:hint="eastAsia" w:ascii="Times New Roman" w:hAnsi="Times New Roman" w:cs="Times New Roman"/>
          <w:sz w:val="20"/>
          <w:szCs w:val="20"/>
          <w:highlight w:val="none"/>
          <w:lang w:val="en-US" w:eastAsia="zh-CN"/>
          <w14:ligatures w14:val="none"/>
        </w:rPr>
        <w:t xml:space="preserve"> Compound preparations denote caffeine-containing combination analgesics.</w:t>
      </w:r>
    </w:p>
    <w:p w14:paraId="072180DC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textAlignment w:val="auto"/>
        <w:rPr>
          <w:rFonts w:hint="default" w:ascii="Times New Roman" w:hAnsi="Times New Roman" w:eastAsia="宋体" w:cs="Times New Roman"/>
          <w:sz w:val="20"/>
          <w:szCs w:val="20"/>
          <w:highlight w:val="none"/>
          <w14:ligatures w14:val="none"/>
        </w:rPr>
      </w:pPr>
    </w:p>
    <w:p w14:paraId="7CDCD9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</w:p>
    <w:p w14:paraId="42403D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Supplementary Table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. Comparison of Maintenance and Duration of Preventive Therapy across Migraine Subtypes</w:t>
      </w:r>
    </w:p>
    <w:tbl>
      <w:tblPr>
        <w:tblStyle w:val="21"/>
        <w:tblW w:w="0" w:type="auto"/>
        <w:tblCellSpacing w:w="15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852"/>
        <w:gridCol w:w="1354"/>
        <w:gridCol w:w="1384"/>
        <w:gridCol w:w="1316"/>
        <w:gridCol w:w="1267"/>
        <w:gridCol w:w="1353"/>
        <w:tblGridChange w:id="0">
          <w:tblGrid>
            <w:gridCol w:w="1519"/>
            <w:gridCol w:w="2333"/>
            <w:gridCol w:w="1354"/>
            <w:gridCol w:w="1384"/>
            <w:gridCol w:w="1316"/>
            <w:gridCol w:w="1267"/>
            <w:gridCol w:w="1353"/>
          </w:tblGrid>
        </w:tblGridChange>
      </w:tblGrid>
      <w:tr w14:paraId="218B2CA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tblHeader/>
          <w:tblCellSpacing w:w="15" w:type="dxa"/>
        </w:trPr>
        <w:tc>
          <w:tcPr>
            <w:tcW w:w="3807" w:type="dxa"/>
            <w:tcBorders>
              <w:bottom w:val="single" w:color="auto" w:sz="8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19B1AF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Category</w:t>
            </w:r>
          </w:p>
        </w:tc>
        <w:tc>
          <w:tcPr>
            <w:tcW w:w="1324" w:type="dxa"/>
            <w:tcBorders>
              <w:bottom w:val="single" w:color="auto" w:sz="8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722B7F8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Style w:val="23"/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Style w:val="23"/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Total</w:t>
            </w:r>
            <w:r>
              <w:rPr>
                <w:rStyle w:val="23"/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23"/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(n=11,814)</w:t>
            </w:r>
          </w:p>
        </w:tc>
        <w:tc>
          <w:tcPr>
            <w:tcW w:w="1354" w:type="dxa"/>
            <w:tcBorders>
              <w:bottom w:val="single" w:color="auto" w:sz="8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431B14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EM Patients (n=10,123)</w:t>
            </w:r>
          </w:p>
        </w:tc>
        <w:tc>
          <w:tcPr>
            <w:tcW w:w="1286" w:type="dxa"/>
            <w:tcBorders>
              <w:bottom w:val="single" w:color="auto" w:sz="8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15FD2C3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CM Patients (n=1,019)</w:t>
            </w:r>
          </w:p>
        </w:tc>
        <w:tc>
          <w:tcPr>
            <w:tcW w:w="1237" w:type="dxa"/>
            <w:tcBorders>
              <w:bottom w:val="single" w:color="auto" w:sz="8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9245DA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Style w:val="23"/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Style w:val="23"/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PM Patients </w:t>
            </w:r>
          </w:p>
          <w:p w14:paraId="4F2A7A8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(n=672)</w:t>
            </w:r>
          </w:p>
        </w:tc>
        <w:tc>
          <w:tcPr>
            <w:tcW w:w="1308" w:type="dxa"/>
            <w:tcBorders>
              <w:bottom w:val="single" w:color="auto" w:sz="8" w:space="0"/>
            </w:tcBorders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5288D2AD">
            <w:pPr>
              <w:pStyle w:val="29"/>
              <w:jc w:val="both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EM vs. CM</w:t>
            </w:r>
          </w:p>
          <w:p w14:paraId="5EA5A03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value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Style w:val="23"/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vertAlign w:val="superscript"/>
                <w:lang w:val="en-US" w:eastAsia="zh-CN" w:bidi="ar"/>
              </w:rPr>
              <w:t>a</w:t>
            </w:r>
          </w:p>
        </w:tc>
      </w:tr>
      <w:tr w14:paraId="61348F6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tblCellSpacing w:w="15" w:type="dxa"/>
        </w:trPr>
        <w:tc>
          <w:tcPr>
            <w:tcW w:w="3807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C79BA0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b/>
                <w:bCs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Segoe Print" w:cs="Times New Roman"/>
                <w:b/>
                <w:bCs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Patient need preventive treatment </w:t>
            </w:r>
            <w:r>
              <w:rPr>
                <w:rStyle w:val="23"/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1324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7F3142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right="0"/>
              <w:jc w:val="left"/>
              <w:rPr>
                <w:rFonts w:hint="eastAsia" w:ascii="Times New Roman" w:hAnsi="Times New Roman" w:eastAsia="Segoe Print" w:cs="Times New Roman"/>
                <w:b/>
                <w:bCs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Segoe Print" w:cs="Times New Roman"/>
                <w:b/>
                <w:bCs/>
                <w:color w:val="1F1F1F"/>
                <w:kern w:val="0"/>
                <w:sz w:val="20"/>
                <w:szCs w:val="20"/>
                <w:lang w:val="en-US" w:eastAsia="zh-CN" w:bidi="ar"/>
              </w:rPr>
              <w:t>(n = 7,763)</w:t>
            </w:r>
          </w:p>
        </w:tc>
        <w:tc>
          <w:tcPr>
            <w:tcW w:w="1354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9CB504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right="0"/>
              <w:jc w:val="left"/>
              <w:rPr>
                <w:rFonts w:hint="default" w:ascii="Times New Roman" w:hAnsi="Times New Roman" w:eastAsia="Segoe Print" w:cs="Times New Roman"/>
                <w:b/>
                <w:bCs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Segoe Print" w:cs="Times New Roman"/>
                <w:b/>
                <w:bCs/>
                <w:color w:val="1F1F1F"/>
                <w:kern w:val="0"/>
                <w:sz w:val="20"/>
                <w:szCs w:val="20"/>
                <w:lang w:val="en-US" w:eastAsia="zh-CN" w:bidi="ar"/>
              </w:rPr>
              <w:t>(n = 6,306)</w:t>
            </w:r>
          </w:p>
        </w:tc>
        <w:tc>
          <w:tcPr>
            <w:tcW w:w="1286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1F66B3D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b/>
                <w:bCs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Segoe Print" w:cs="Times New Roman"/>
                <w:b/>
                <w:bCs/>
                <w:color w:val="1F1F1F"/>
                <w:kern w:val="0"/>
                <w:sz w:val="20"/>
                <w:szCs w:val="20"/>
                <w:lang w:val="en-US" w:eastAsia="zh-CN" w:bidi="ar"/>
              </w:rPr>
              <w:t>(n = 1,019)</w:t>
            </w:r>
          </w:p>
        </w:tc>
        <w:tc>
          <w:tcPr>
            <w:tcW w:w="1237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7684C9C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b/>
                <w:bCs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Segoe Print" w:cs="Times New Roman"/>
                <w:b/>
                <w:bCs/>
                <w:color w:val="1F1F1F"/>
                <w:kern w:val="0"/>
                <w:sz w:val="20"/>
                <w:szCs w:val="20"/>
                <w:lang w:val="en-US" w:eastAsia="zh-CN" w:bidi="ar"/>
              </w:rPr>
              <w:t>(n = 438)</w:t>
            </w:r>
          </w:p>
        </w:tc>
        <w:tc>
          <w:tcPr>
            <w:tcW w:w="1308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2F0BB67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b/>
                <w:bCs/>
                <w:color w:val="1F1F1F"/>
                <w:kern w:val="0"/>
                <w:sz w:val="20"/>
                <w:szCs w:val="20"/>
                <w:lang w:val="en-US" w:eastAsia="en-US" w:bidi="ar"/>
              </w:rPr>
            </w:pPr>
          </w:p>
        </w:tc>
      </w:tr>
      <w:tr w14:paraId="0882A3E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tblCellSpacing w:w="15" w:type="dxa"/>
        </w:trPr>
        <w:tc>
          <w:tcPr>
            <w:tcW w:w="10466" w:type="dxa"/>
            <w:gridSpan w:val="6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4F26B3F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b/>
                <w:bCs/>
                <w:color w:val="1F1F1F"/>
                <w:kern w:val="0"/>
                <w:sz w:val="20"/>
                <w:szCs w:val="20"/>
                <w:lang w:val="en-US" w:eastAsia="en-US" w:bidi="ar"/>
              </w:rPr>
            </w:pPr>
            <w:r>
              <w:rPr>
                <w:rFonts w:hint="default" w:ascii="Times New Roman" w:hAnsi="Times New Roman" w:eastAsia="Segoe Print" w:cs="Times New Roman"/>
                <w:b/>
                <w:bCs/>
                <w:color w:val="1F1F1F"/>
                <w:kern w:val="0"/>
                <w:sz w:val="20"/>
                <w:szCs w:val="20"/>
                <w:lang w:val="en-US" w:eastAsia="zh-CN" w:bidi="ar"/>
              </w:rPr>
              <w:t>Current Treatment Status, n (%)</w:t>
            </w:r>
          </w:p>
        </w:tc>
      </w:tr>
      <w:tr w14:paraId="1BAF909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tblCellSpacing w:w="15" w:type="dxa"/>
        </w:trPr>
        <w:tc>
          <w:tcPr>
            <w:tcW w:w="3807" w:type="dxa"/>
            <w:shd w:val="clear" w:color="auto" w:fill="auto"/>
            <w:vAlign w:val="center"/>
          </w:tcPr>
          <w:p w14:paraId="53146B3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b w:val="0"/>
                <w:bCs w:val="0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egoe Print" w:cs="Times New Roman"/>
                <w:b w:val="0"/>
                <w:bCs w:val="0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- </w:t>
            </w:r>
            <w:r>
              <w:rPr>
                <w:rFonts w:hint="eastAsia" w:ascii="Times New Roman" w:hAnsi="Times New Roman" w:eastAsia="Segoe Print" w:cs="Times New Roman"/>
                <w:b w:val="0"/>
                <w:bCs w:val="0"/>
                <w:color w:val="1F1F1F"/>
                <w:kern w:val="0"/>
                <w:sz w:val="20"/>
                <w:szCs w:val="20"/>
                <w:lang w:val="en-US" w:eastAsia="zh-CN" w:bidi="ar"/>
              </w:rPr>
              <w:t>Patient receiving preventive medication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7A03061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b w:val="0"/>
                <w:bCs w:val="0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Segoe Print" w:cs="Times New Roman"/>
                <w:b w:val="0"/>
                <w:bCs w:val="0"/>
                <w:color w:val="1F1F1F"/>
                <w:kern w:val="0"/>
                <w:sz w:val="20"/>
                <w:szCs w:val="20"/>
                <w:lang w:val="en-US" w:eastAsia="zh-CN" w:bidi="ar"/>
              </w:rPr>
              <w:t>2,064 (26.59%)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3DB9612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b w:val="0"/>
                <w:bCs w:val="0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Segoe Print" w:cs="Times New Roman"/>
                <w:b w:val="0"/>
                <w:bCs w:val="0"/>
                <w:color w:val="1F1F1F"/>
                <w:kern w:val="0"/>
                <w:sz w:val="20"/>
                <w:szCs w:val="20"/>
                <w:lang w:val="en-US" w:eastAsia="zh-CN" w:bidi="ar"/>
              </w:rPr>
              <w:t>1,642 (26.04%)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3E885DC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b w:val="0"/>
                <w:bCs w:val="0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Segoe Print" w:cs="Times New Roman"/>
                <w:b w:val="0"/>
                <w:bCs w:val="0"/>
                <w:color w:val="1F1F1F"/>
                <w:kern w:val="0"/>
                <w:sz w:val="20"/>
                <w:szCs w:val="20"/>
                <w:lang w:val="en-US" w:eastAsia="zh-CN" w:bidi="ar"/>
              </w:rPr>
              <w:t>344 (33.76%)</w:t>
            </w:r>
          </w:p>
        </w:tc>
        <w:tc>
          <w:tcPr>
            <w:tcW w:w="1237" w:type="dxa"/>
            <w:shd w:val="clear" w:color="auto" w:fill="auto"/>
            <w:vAlign w:val="center"/>
          </w:tcPr>
          <w:p w14:paraId="565E4DD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b w:val="0"/>
                <w:bCs w:val="0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Segoe Print" w:cs="Times New Roman"/>
                <w:b w:val="0"/>
                <w:bCs w:val="0"/>
                <w:color w:val="1F1F1F"/>
                <w:kern w:val="0"/>
                <w:sz w:val="20"/>
                <w:szCs w:val="20"/>
                <w:lang w:val="en-US" w:eastAsia="zh-CN" w:bidi="ar"/>
              </w:rPr>
              <w:t>78 (17.81%)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39DD7B1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b w:val="0"/>
                <w:bCs w:val="0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egoe Print" w:cs="Times New Roman"/>
                <w:b w:val="0"/>
                <w:bCs w:val="0"/>
                <w:color w:val="1F1F1F"/>
                <w:kern w:val="0"/>
                <w:sz w:val="20"/>
                <w:szCs w:val="20"/>
                <w:lang w:val="en-US" w:eastAsia="zh-CN" w:bidi="ar"/>
              </w:rPr>
              <w:t>&lt; 0.001</w:t>
            </w:r>
          </w:p>
        </w:tc>
      </w:tr>
      <w:tr w14:paraId="0DA4193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  <w:tblCellSpacing w:w="15" w:type="dxa"/>
        </w:trPr>
        <w:tc>
          <w:tcPr>
            <w:tcW w:w="10466" w:type="dxa"/>
            <w:gridSpan w:val="6"/>
            <w:shd w:val="clear" w:color="auto" w:fill="auto"/>
            <w:vAlign w:val="center"/>
          </w:tcPr>
          <w:p w14:paraId="7B6EC48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b/>
                <w:bCs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egoe Print" w:cs="Times New Roman"/>
                <w:b/>
                <w:bCs/>
                <w:color w:val="1F1F1F"/>
                <w:kern w:val="0"/>
                <w:sz w:val="20"/>
                <w:szCs w:val="20"/>
                <w:lang w:val="en-US" w:eastAsia="zh-CN" w:bidi="ar"/>
              </w:rPr>
              <w:t>Duration of Current Prophylactic Treatment, n (%)</w:t>
            </w:r>
          </w:p>
        </w:tc>
      </w:tr>
      <w:tr w14:paraId="37763FB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tblCellSpacing w:w="15" w:type="dxa"/>
        </w:trPr>
        <w:tc>
          <w:tcPr>
            <w:tcW w:w="3807" w:type="dxa"/>
            <w:shd w:val="clear" w:color="auto" w:fill="auto"/>
            <w:vAlign w:val="center"/>
          </w:tcPr>
          <w:p w14:paraId="6EBB079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b w:val="0"/>
                <w:bCs w:val="0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egoe Print" w:cs="Times New Roman"/>
                <w:b w:val="0"/>
                <w:bCs w:val="0"/>
                <w:color w:val="1F1F1F"/>
                <w:kern w:val="0"/>
                <w:sz w:val="20"/>
                <w:szCs w:val="20"/>
                <w:lang w:val="en-US" w:eastAsia="zh-CN" w:bidi="ar"/>
              </w:rPr>
              <w:t>- Established long-term therapy  (≥ 3 months)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1AF2779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b w:val="0"/>
                <w:bCs w:val="0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Segoe Print" w:cs="Times New Roman"/>
                <w:b w:val="0"/>
                <w:bCs w:val="0"/>
                <w:color w:val="1F1F1F"/>
                <w:kern w:val="0"/>
                <w:sz w:val="20"/>
                <w:szCs w:val="20"/>
                <w:lang w:val="en-US" w:eastAsia="zh-CN" w:bidi="ar"/>
              </w:rPr>
              <w:t>698 (8.99%)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4F9D3D3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eastAsia" w:ascii="Times New Roman" w:hAnsi="Times New Roman" w:eastAsia="Segoe Print" w:cs="Times New Roman"/>
                <w:b w:val="0"/>
                <w:bCs w:val="0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egoe Print" w:cs="Times New Roman"/>
                <w:b w:val="0"/>
                <w:bCs w:val="0"/>
                <w:color w:val="1F1F1F"/>
                <w:kern w:val="0"/>
                <w:sz w:val="20"/>
                <w:szCs w:val="20"/>
                <w:lang w:val="en-US" w:eastAsia="zh-CN" w:bidi="ar"/>
              </w:rPr>
              <w:t>544 (8.63%)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2335F65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eastAsia" w:ascii="Times New Roman" w:hAnsi="Times New Roman" w:eastAsia="Segoe Print" w:cs="Times New Roman"/>
                <w:b w:val="0"/>
                <w:bCs w:val="0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egoe Print" w:cs="Times New Roman"/>
                <w:b w:val="0"/>
                <w:bCs w:val="0"/>
                <w:color w:val="1F1F1F"/>
                <w:kern w:val="0"/>
                <w:sz w:val="20"/>
                <w:szCs w:val="20"/>
                <w:lang w:val="en-US" w:eastAsia="zh-CN" w:bidi="ar"/>
              </w:rPr>
              <w:t>12</w:t>
            </w:r>
            <w:r>
              <w:rPr>
                <w:rFonts w:hint="eastAsia" w:ascii="Times New Roman" w:hAnsi="Times New Roman" w:eastAsia="Segoe Print" w:cs="Times New Roman"/>
                <w:b w:val="0"/>
                <w:bCs w:val="0"/>
                <w:color w:val="1F1F1F"/>
                <w:kern w:val="0"/>
                <w:sz w:val="20"/>
                <w:szCs w:val="20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Segoe Print" w:cs="Times New Roman"/>
                <w:b w:val="0"/>
                <w:bCs w:val="0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 (12.5</w:t>
            </w:r>
            <w:r>
              <w:rPr>
                <w:rFonts w:hint="eastAsia" w:ascii="Times New Roman" w:hAnsi="Times New Roman" w:eastAsia="Segoe Print" w:cs="Times New Roman"/>
                <w:b w:val="0"/>
                <w:bCs w:val="0"/>
                <w:color w:val="1F1F1F"/>
                <w:kern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Segoe Print" w:cs="Times New Roman"/>
                <w:b w:val="0"/>
                <w:bCs w:val="0"/>
                <w:color w:val="1F1F1F"/>
                <w:kern w:val="0"/>
                <w:sz w:val="20"/>
                <w:szCs w:val="20"/>
                <w:lang w:val="en-US" w:eastAsia="zh-CN" w:bidi="ar"/>
              </w:rPr>
              <w:t>%)</w:t>
            </w:r>
          </w:p>
        </w:tc>
        <w:tc>
          <w:tcPr>
            <w:tcW w:w="1237" w:type="dxa"/>
            <w:shd w:val="clear" w:color="auto" w:fill="auto"/>
            <w:vAlign w:val="center"/>
          </w:tcPr>
          <w:p w14:paraId="5466979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b w:val="0"/>
                <w:bCs w:val="0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Segoe Print" w:cs="Times New Roman"/>
                <w:b w:val="0"/>
                <w:bCs w:val="0"/>
                <w:color w:val="1F1F1F"/>
                <w:kern w:val="0"/>
                <w:sz w:val="20"/>
                <w:szCs w:val="20"/>
                <w:lang w:val="en-US" w:eastAsia="zh-CN" w:bidi="ar"/>
              </w:rPr>
              <w:t>26 (5.94%)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7CFEFFE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b w:val="0"/>
                <w:bCs w:val="0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egoe Print" w:cs="Times New Roman"/>
                <w:b w:val="0"/>
                <w:bCs w:val="0"/>
                <w:color w:val="1F1F1F"/>
                <w:kern w:val="0"/>
                <w:sz w:val="20"/>
                <w:szCs w:val="20"/>
                <w:lang w:val="en-US" w:eastAsia="zh-CN" w:bidi="ar"/>
              </w:rPr>
              <w:t>&lt; 0.001</w:t>
            </w:r>
          </w:p>
        </w:tc>
      </w:tr>
    </w:tbl>
    <w:p w14:paraId="4BF3BC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/>
        <w:textAlignment w:val="auto"/>
        <w:rPr>
          <w:rFonts w:hint="default" w:ascii="Times New Roman" w:hAnsi="Times New Roman" w:cs="Times New Roman"/>
          <w:color w:val="auto"/>
          <w:sz w:val="20"/>
          <w:szCs w:val="20"/>
        </w:rPr>
      </w:pPr>
    </w:p>
    <w:p w14:paraId="3E2C5078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textAlignment w:val="auto"/>
        <w:rPr>
          <w:rFonts w:hint="default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  <w:vertAlign w:val="superscript"/>
          <w:lang w:val="en-US" w:eastAsia="zh-CN"/>
        </w:rPr>
        <w:t>a</w:t>
      </w:r>
      <w: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>Post-hoc Analysis: Pairwise comparisons were performed using the Tukey-Kramer adjustment (for Odds Ratios) or Bonferroni correction (for Chi-square tests).</w:t>
      </w:r>
    </w:p>
    <w:p w14:paraId="1E148C53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textAlignment w:val="auto"/>
        <w:rPr>
          <w:rFonts w:hint="default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  <w:vertAlign w:val="superscript"/>
          <w:lang w:val="en-US" w:eastAsia="zh-CN"/>
        </w:rPr>
        <w:t>b</w:t>
      </w:r>
      <w: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  <w:t xml:space="preserve"> Clinical criteria for prophylaxis were based on the Chinese Guideline on the Diagnosis and Management of Migraine (2022 Edition), including MMD &gt; 2 days, headache duration &gt; 72 hours, or MMD </w:t>
      </w:r>
      <w:r>
        <w:rPr>
          <w:rFonts w:hint="default" w:ascii="Times New Roman" w:hAnsi="Times New Roman" w:eastAsia="宋体" w:cs="Times New Roman"/>
          <w:color w:val="auto"/>
          <w:sz w:val="20"/>
          <w:szCs w:val="20"/>
          <w:lang w:val="en-US" w:eastAsia="zh-CN"/>
        </w:rPr>
        <w:t>≤</w:t>
      </w:r>
      <w: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  <w:t xml:space="preserve"> 2 days with severe disability (MIDAS grade IV)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>.</w:t>
      </w:r>
    </w:p>
    <w:p w14:paraId="3F73C14C">
      <w:pPr>
        <w:rPr>
          <w:rFonts w:hint="default" w:ascii="Times New Roman" w:hAnsi="Times New Roman" w:cs="Times New Roman"/>
          <w:color w:val="auto"/>
          <w:sz w:val="21"/>
          <w:szCs w:val="21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</w:rPr>
        <w:br w:type="page"/>
      </w:r>
    </w:p>
    <w:p w14:paraId="6EF29D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Supplementary Table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8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. Detailed Preventive Medication Profile of the CHIME Cohort</w:t>
      </w:r>
    </w:p>
    <w:tbl>
      <w:tblPr>
        <w:tblStyle w:val="46"/>
        <w:tblW w:w="10916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9"/>
        <w:gridCol w:w="1605"/>
        <w:gridCol w:w="1410"/>
        <w:gridCol w:w="1429"/>
        <w:gridCol w:w="1254"/>
        <w:gridCol w:w="1104"/>
        <w:gridCol w:w="1295"/>
      </w:tblGrid>
      <w:tr w14:paraId="3A610ED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tblHeader/>
          <w:jc w:val="center"/>
        </w:trPr>
        <w:tc>
          <w:tcPr>
            <w:tcW w:w="2819" w:type="dxa"/>
            <w:tcBorders>
              <w:bottom w:val="single" w:color="auto" w:sz="8" w:space="0"/>
            </w:tcBorders>
            <w:vAlign w:val="center"/>
          </w:tcPr>
          <w:p w14:paraId="1DF2E5AF">
            <w:pPr>
              <w:pStyle w:val="29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 xml:space="preserve">Medication Classification </w:t>
            </w:r>
          </w:p>
          <w:p w14:paraId="6CEF2856">
            <w:pPr>
              <w:pStyle w:val="29"/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and Individual Agents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vertAlign w:val="superscript"/>
                <w:lang w:val="en-US" w:eastAsia="zh-CN"/>
              </w:rPr>
              <w:t>a</w:t>
            </w:r>
          </w:p>
        </w:tc>
        <w:tc>
          <w:tcPr>
            <w:tcW w:w="1605" w:type="dxa"/>
            <w:tcBorders>
              <w:bottom w:val="single" w:color="auto" w:sz="8" w:space="0"/>
            </w:tcBorders>
            <w:vAlign w:val="center"/>
          </w:tcPr>
          <w:p w14:paraId="3EB22135">
            <w:pPr>
              <w:pStyle w:val="29"/>
              <w:jc w:val="center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Total</w:t>
            </w:r>
          </w:p>
          <w:p w14:paraId="31EA5B35">
            <w:pPr>
              <w:pStyle w:val="29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(n=1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,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814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1410" w:type="dxa"/>
            <w:tcBorders>
              <w:bottom w:val="single" w:color="auto" w:sz="8" w:space="0"/>
            </w:tcBorders>
            <w:vAlign w:val="center"/>
          </w:tcPr>
          <w:p w14:paraId="2DEEF304">
            <w:pPr>
              <w:pStyle w:val="29"/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EM Group (n=10,123)</w:t>
            </w:r>
          </w:p>
        </w:tc>
        <w:tc>
          <w:tcPr>
            <w:tcW w:w="1429" w:type="dxa"/>
            <w:tcBorders>
              <w:bottom w:val="single" w:color="auto" w:sz="8" w:space="0"/>
            </w:tcBorders>
            <w:vAlign w:val="center"/>
          </w:tcPr>
          <w:p w14:paraId="2090A50C">
            <w:pPr>
              <w:pStyle w:val="29"/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CM Group (n=1,019)</w:t>
            </w:r>
          </w:p>
        </w:tc>
        <w:tc>
          <w:tcPr>
            <w:tcW w:w="1254" w:type="dxa"/>
            <w:tcBorders>
              <w:bottom w:val="single" w:color="auto" w:sz="8" w:space="0"/>
            </w:tcBorders>
            <w:vAlign w:val="center"/>
          </w:tcPr>
          <w:p w14:paraId="77DB95ED">
            <w:pPr>
              <w:pStyle w:val="29"/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PM Group (n=672)</w:t>
            </w:r>
          </w:p>
        </w:tc>
        <w:tc>
          <w:tcPr>
            <w:tcW w:w="1104" w:type="dxa"/>
            <w:tcBorders>
              <w:bottom w:val="single" w:color="auto" w:sz="8" w:space="0"/>
            </w:tcBorders>
            <w:vAlign w:val="center"/>
          </w:tcPr>
          <w:p w14:paraId="3DD885C5">
            <w:pPr>
              <w:pStyle w:val="29"/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value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Style w:val="23"/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1295" w:type="dxa"/>
            <w:tcBorders>
              <w:bottom w:val="single" w:color="auto" w:sz="8" w:space="0"/>
            </w:tcBorders>
            <w:vAlign w:val="center"/>
          </w:tcPr>
          <w:p w14:paraId="3BCF35A5">
            <w:pPr>
              <w:pStyle w:val="29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EM vs. CM</w:t>
            </w:r>
          </w:p>
          <w:p w14:paraId="51B95D82">
            <w:pPr>
              <w:pStyle w:val="29"/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value</w:t>
            </w:r>
          </w:p>
        </w:tc>
      </w:tr>
      <w:tr w14:paraId="3CE2E71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2819" w:type="dxa"/>
            <w:vAlign w:val="center"/>
          </w:tcPr>
          <w:p w14:paraId="5CB70BBB">
            <w:pPr>
              <w:pStyle w:val="29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Calcium Channel Blockers (Flunarizine)</w:t>
            </w:r>
          </w:p>
        </w:tc>
        <w:tc>
          <w:tcPr>
            <w:tcW w:w="1605" w:type="dxa"/>
            <w:vAlign w:val="center"/>
          </w:tcPr>
          <w:p w14:paraId="32387189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1,020 (8.63%)</w:t>
            </w:r>
          </w:p>
        </w:tc>
        <w:tc>
          <w:tcPr>
            <w:tcW w:w="1410" w:type="dxa"/>
            <w:vAlign w:val="center"/>
          </w:tcPr>
          <w:p w14:paraId="153D763C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843 (8.33%)</w:t>
            </w:r>
          </w:p>
        </w:tc>
        <w:tc>
          <w:tcPr>
            <w:tcW w:w="1429" w:type="dxa"/>
            <w:vAlign w:val="center"/>
          </w:tcPr>
          <w:p w14:paraId="6C35D483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137 (13.44%)</w:t>
            </w:r>
          </w:p>
        </w:tc>
        <w:tc>
          <w:tcPr>
            <w:tcW w:w="1254" w:type="dxa"/>
            <w:vAlign w:val="center"/>
          </w:tcPr>
          <w:p w14:paraId="72F1D420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40 (5.95%)</w:t>
            </w:r>
          </w:p>
        </w:tc>
        <w:tc>
          <w:tcPr>
            <w:tcW w:w="1104" w:type="dxa"/>
            <w:vAlign w:val="center"/>
          </w:tcPr>
          <w:p w14:paraId="4D179BB2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&lt;0.001</w:t>
            </w:r>
          </w:p>
        </w:tc>
        <w:tc>
          <w:tcPr>
            <w:tcW w:w="1295" w:type="dxa"/>
            <w:vAlign w:val="center"/>
          </w:tcPr>
          <w:p w14:paraId="531EDC49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&lt;0.001</w:t>
            </w:r>
          </w:p>
        </w:tc>
      </w:tr>
      <w:tr w14:paraId="1B93D55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819" w:type="dxa"/>
            <w:vAlign w:val="center"/>
          </w:tcPr>
          <w:p w14:paraId="09D47B7C">
            <w:pPr>
              <w:pStyle w:val="29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Anti-epileptic Drugs</w:t>
            </w:r>
          </w:p>
        </w:tc>
        <w:tc>
          <w:tcPr>
            <w:tcW w:w="1605" w:type="dxa"/>
            <w:vAlign w:val="center"/>
          </w:tcPr>
          <w:p w14:paraId="5DA100F4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505 (4.27%)</w:t>
            </w:r>
          </w:p>
        </w:tc>
        <w:tc>
          <w:tcPr>
            <w:tcW w:w="1410" w:type="dxa"/>
            <w:vAlign w:val="center"/>
          </w:tcPr>
          <w:p w14:paraId="2C1837A9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3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87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(3.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82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%)</w:t>
            </w:r>
          </w:p>
        </w:tc>
        <w:tc>
          <w:tcPr>
            <w:tcW w:w="1429" w:type="dxa"/>
            <w:vAlign w:val="center"/>
          </w:tcPr>
          <w:p w14:paraId="013A865F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100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(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81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%)</w:t>
            </w:r>
          </w:p>
        </w:tc>
        <w:tc>
          <w:tcPr>
            <w:tcW w:w="1254" w:type="dxa"/>
            <w:vAlign w:val="center"/>
          </w:tcPr>
          <w:p w14:paraId="6B8AD98A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1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(2.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8%)</w:t>
            </w:r>
          </w:p>
        </w:tc>
        <w:tc>
          <w:tcPr>
            <w:tcW w:w="1104" w:type="dxa"/>
            <w:vAlign w:val="center"/>
          </w:tcPr>
          <w:p w14:paraId="1F758B24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&lt;0.001</w:t>
            </w:r>
          </w:p>
        </w:tc>
        <w:tc>
          <w:tcPr>
            <w:tcW w:w="1295" w:type="dxa"/>
            <w:vAlign w:val="center"/>
          </w:tcPr>
          <w:p w14:paraId="595CD7CB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&lt;0.001</w:t>
            </w:r>
          </w:p>
        </w:tc>
      </w:tr>
      <w:tr w14:paraId="212C1C2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819" w:type="dxa"/>
            <w:vAlign w:val="center"/>
          </w:tcPr>
          <w:p w14:paraId="5CD3B23F">
            <w:pPr>
              <w:pStyle w:val="29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- Topiramate</w:t>
            </w:r>
          </w:p>
        </w:tc>
        <w:tc>
          <w:tcPr>
            <w:tcW w:w="1605" w:type="dxa"/>
            <w:vAlign w:val="center"/>
          </w:tcPr>
          <w:p w14:paraId="5070384A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353 (2.99%)</w:t>
            </w:r>
          </w:p>
        </w:tc>
        <w:tc>
          <w:tcPr>
            <w:tcW w:w="1410" w:type="dxa"/>
            <w:vAlign w:val="center"/>
          </w:tcPr>
          <w:p w14:paraId="4F541474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283 (2.80%)</w:t>
            </w:r>
          </w:p>
        </w:tc>
        <w:tc>
          <w:tcPr>
            <w:tcW w:w="1429" w:type="dxa"/>
            <w:vAlign w:val="center"/>
          </w:tcPr>
          <w:p w14:paraId="4E2CE197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58 (5.69%)</w:t>
            </w:r>
          </w:p>
        </w:tc>
        <w:tc>
          <w:tcPr>
            <w:tcW w:w="1254" w:type="dxa"/>
            <w:vAlign w:val="center"/>
          </w:tcPr>
          <w:p w14:paraId="199DD367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12 (1.79%)</w:t>
            </w:r>
          </w:p>
        </w:tc>
        <w:tc>
          <w:tcPr>
            <w:tcW w:w="1104" w:type="dxa"/>
            <w:vAlign w:val="center"/>
          </w:tcPr>
          <w:p w14:paraId="7319C0C8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&lt;0.001</w:t>
            </w:r>
          </w:p>
        </w:tc>
        <w:tc>
          <w:tcPr>
            <w:tcW w:w="1295" w:type="dxa"/>
            <w:vAlign w:val="center"/>
          </w:tcPr>
          <w:p w14:paraId="0E4DB53F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&lt;0.001</w:t>
            </w:r>
          </w:p>
        </w:tc>
      </w:tr>
      <w:tr w14:paraId="01D4204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819" w:type="dxa"/>
            <w:vAlign w:val="center"/>
          </w:tcPr>
          <w:p w14:paraId="3B4F04ED">
            <w:pPr>
              <w:pStyle w:val="29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- Valproate</w:t>
            </w:r>
          </w:p>
        </w:tc>
        <w:tc>
          <w:tcPr>
            <w:tcW w:w="1605" w:type="dxa"/>
            <w:vAlign w:val="center"/>
          </w:tcPr>
          <w:p w14:paraId="3CECAD26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97 (0.82%)</w:t>
            </w:r>
          </w:p>
        </w:tc>
        <w:tc>
          <w:tcPr>
            <w:tcW w:w="1410" w:type="dxa"/>
            <w:vAlign w:val="center"/>
          </w:tcPr>
          <w:p w14:paraId="04DCEE1D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73 (0.72%)</w:t>
            </w:r>
          </w:p>
        </w:tc>
        <w:tc>
          <w:tcPr>
            <w:tcW w:w="1429" w:type="dxa"/>
            <w:vAlign w:val="center"/>
          </w:tcPr>
          <w:p w14:paraId="25467633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22 (2.16%)</w:t>
            </w:r>
          </w:p>
        </w:tc>
        <w:tc>
          <w:tcPr>
            <w:tcW w:w="1254" w:type="dxa"/>
            <w:vAlign w:val="center"/>
          </w:tcPr>
          <w:p w14:paraId="2A49B308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2 (0.30%)</w:t>
            </w:r>
          </w:p>
        </w:tc>
        <w:tc>
          <w:tcPr>
            <w:tcW w:w="1104" w:type="dxa"/>
            <w:vAlign w:val="center"/>
          </w:tcPr>
          <w:p w14:paraId="6F024736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&lt;0.001</w:t>
            </w:r>
          </w:p>
        </w:tc>
        <w:tc>
          <w:tcPr>
            <w:tcW w:w="1295" w:type="dxa"/>
            <w:vAlign w:val="center"/>
          </w:tcPr>
          <w:p w14:paraId="667BF5D0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&lt;0.001</w:t>
            </w:r>
          </w:p>
        </w:tc>
      </w:tr>
      <w:tr w14:paraId="2CF8315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819" w:type="dxa"/>
            <w:vAlign w:val="center"/>
          </w:tcPr>
          <w:p w14:paraId="69F135C1">
            <w:pPr>
              <w:pStyle w:val="29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- Gabapentin</w:t>
            </w:r>
          </w:p>
        </w:tc>
        <w:tc>
          <w:tcPr>
            <w:tcW w:w="1605" w:type="dxa"/>
            <w:vAlign w:val="center"/>
          </w:tcPr>
          <w:p w14:paraId="28480C7E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63 (0.53%)</w:t>
            </w:r>
          </w:p>
        </w:tc>
        <w:tc>
          <w:tcPr>
            <w:tcW w:w="1410" w:type="dxa"/>
            <w:vAlign w:val="center"/>
          </w:tcPr>
          <w:p w14:paraId="6164B775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38 (0.38%)</w:t>
            </w:r>
          </w:p>
        </w:tc>
        <w:tc>
          <w:tcPr>
            <w:tcW w:w="1429" w:type="dxa"/>
            <w:vAlign w:val="center"/>
          </w:tcPr>
          <w:p w14:paraId="354D6FE9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22 (2.16%)</w:t>
            </w:r>
          </w:p>
        </w:tc>
        <w:tc>
          <w:tcPr>
            <w:tcW w:w="1254" w:type="dxa"/>
            <w:vAlign w:val="center"/>
          </w:tcPr>
          <w:p w14:paraId="703CC4B5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3 (0.45%)</w:t>
            </w:r>
          </w:p>
        </w:tc>
        <w:tc>
          <w:tcPr>
            <w:tcW w:w="1104" w:type="dxa"/>
            <w:vAlign w:val="center"/>
          </w:tcPr>
          <w:p w14:paraId="66300C68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&lt;0.001</w:t>
            </w:r>
          </w:p>
        </w:tc>
        <w:tc>
          <w:tcPr>
            <w:tcW w:w="1295" w:type="dxa"/>
            <w:vAlign w:val="center"/>
          </w:tcPr>
          <w:p w14:paraId="2A0284D2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&lt;0.001</w:t>
            </w:r>
          </w:p>
        </w:tc>
      </w:tr>
      <w:tr w14:paraId="2D7F0C8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819" w:type="dxa"/>
            <w:vAlign w:val="center"/>
          </w:tcPr>
          <w:p w14:paraId="4A0C535A">
            <w:pPr>
              <w:pStyle w:val="29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- Pregabalin</w:t>
            </w:r>
          </w:p>
        </w:tc>
        <w:tc>
          <w:tcPr>
            <w:tcW w:w="1605" w:type="dxa"/>
            <w:vAlign w:val="center"/>
          </w:tcPr>
          <w:p w14:paraId="55A16DDE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98 (0.83%)</w:t>
            </w:r>
          </w:p>
        </w:tc>
        <w:tc>
          <w:tcPr>
            <w:tcW w:w="1410" w:type="dxa"/>
            <w:vAlign w:val="center"/>
          </w:tcPr>
          <w:p w14:paraId="7D958D6B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69 (0.68%)</w:t>
            </w:r>
          </w:p>
        </w:tc>
        <w:tc>
          <w:tcPr>
            <w:tcW w:w="1429" w:type="dxa"/>
            <w:vAlign w:val="center"/>
          </w:tcPr>
          <w:p w14:paraId="44372C04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23 (2.26%)</w:t>
            </w:r>
          </w:p>
        </w:tc>
        <w:tc>
          <w:tcPr>
            <w:tcW w:w="1254" w:type="dxa"/>
            <w:vAlign w:val="center"/>
          </w:tcPr>
          <w:p w14:paraId="76F1A208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6 (0.89%)</w:t>
            </w:r>
          </w:p>
        </w:tc>
        <w:tc>
          <w:tcPr>
            <w:tcW w:w="1104" w:type="dxa"/>
            <w:vAlign w:val="center"/>
          </w:tcPr>
          <w:p w14:paraId="71EACDC0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&lt;0.001</w:t>
            </w:r>
          </w:p>
        </w:tc>
        <w:tc>
          <w:tcPr>
            <w:tcW w:w="1295" w:type="dxa"/>
            <w:vAlign w:val="center"/>
          </w:tcPr>
          <w:p w14:paraId="0E31A999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&lt;0.001</w:t>
            </w:r>
          </w:p>
        </w:tc>
      </w:tr>
      <w:tr w14:paraId="63A054B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819" w:type="dxa"/>
            <w:vAlign w:val="center"/>
          </w:tcPr>
          <w:p w14:paraId="0C01D57A">
            <w:pPr>
              <w:pStyle w:val="29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Antidepressants</w:t>
            </w:r>
          </w:p>
        </w:tc>
        <w:tc>
          <w:tcPr>
            <w:tcW w:w="1605" w:type="dxa"/>
            <w:vAlign w:val="center"/>
          </w:tcPr>
          <w:p w14:paraId="55C9F490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237 (2.01%)</w:t>
            </w:r>
          </w:p>
        </w:tc>
        <w:tc>
          <w:tcPr>
            <w:tcW w:w="1410" w:type="dxa"/>
            <w:vAlign w:val="center"/>
          </w:tcPr>
          <w:p w14:paraId="356700CE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180 (1.78%)</w:t>
            </w:r>
          </w:p>
        </w:tc>
        <w:tc>
          <w:tcPr>
            <w:tcW w:w="1429" w:type="dxa"/>
            <w:vAlign w:val="center"/>
          </w:tcPr>
          <w:p w14:paraId="0627950E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51 (5.00%)</w:t>
            </w:r>
          </w:p>
        </w:tc>
        <w:tc>
          <w:tcPr>
            <w:tcW w:w="1254" w:type="dxa"/>
            <w:vAlign w:val="center"/>
          </w:tcPr>
          <w:p w14:paraId="1D2F19D4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6 (0.89%)</w:t>
            </w:r>
          </w:p>
        </w:tc>
        <w:tc>
          <w:tcPr>
            <w:tcW w:w="1104" w:type="dxa"/>
            <w:vAlign w:val="center"/>
          </w:tcPr>
          <w:p w14:paraId="743308F2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&lt;0.001</w:t>
            </w:r>
          </w:p>
        </w:tc>
        <w:tc>
          <w:tcPr>
            <w:tcW w:w="1295" w:type="dxa"/>
            <w:vAlign w:val="center"/>
          </w:tcPr>
          <w:p w14:paraId="0DB6AF3F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&lt;0.001</w:t>
            </w:r>
          </w:p>
        </w:tc>
      </w:tr>
      <w:tr w14:paraId="603CB70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819" w:type="dxa"/>
            <w:vAlign w:val="center"/>
          </w:tcPr>
          <w:p w14:paraId="209512B7">
            <w:pPr>
              <w:pStyle w:val="29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- Amitriptyline</w:t>
            </w:r>
          </w:p>
        </w:tc>
        <w:tc>
          <w:tcPr>
            <w:tcW w:w="1605" w:type="dxa"/>
            <w:vAlign w:val="center"/>
          </w:tcPr>
          <w:p w14:paraId="4584CA5B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126 (1.07%)</w:t>
            </w:r>
          </w:p>
        </w:tc>
        <w:tc>
          <w:tcPr>
            <w:tcW w:w="1410" w:type="dxa"/>
            <w:vAlign w:val="center"/>
          </w:tcPr>
          <w:p w14:paraId="1E24FC3F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99 (0.98%)</w:t>
            </w:r>
          </w:p>
        </w:tc>
        <w:tc>
          <w:tcPr>
            <w:tcW w:w="1429" w:type="dxa"/>
            <w:vAlign w:val="center"/>
          </w:tcPr>
          <w:p w14:paraId="10E52B0A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26 (2.55%)</w:t>
            </w:r>
          </w:p>
        </w:tc>
        <w:tc>
          <w:tcPr>
            <w:tcW w:w="1254" w:type="dxa"/>
            <w:vAlign w:val="center"/>
          </w:tcPr>
          <w:p w14:paraId="66D48C44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1 (0.15%)</w:t>
            </w:r>
          </w:p>
        </w:tc>
        <w:tc>
          <w:tcPr>
            <w:tcW w:w="1104" w:type="dxa"/>
            <w:vAlign w:val="center"/>
          </w:tcPr>
          <w:p w14:paraId="15C8DF64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&lt;0.001</w:t>
            </w:r>
          </w:p>
        </w:tc>
        <w:tc>
          <w:tcPr>
            <w:tcW w:w="1295" w:type="dxa"/>
            <w:vAlign w:val="center"/>
          </w:tcPr>
          <w:p w14:paraId="54275E9A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&lt;0.001</w:t>
            </w:r>
          </w:p>
        </w:tc>
      </w:tr>
      <w:tr w14:paraId="3EDE883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819" w:type="dxa"/>
            <w:vAlign w:val="center"/>
          </w:tcPr>
          <w:p w14:paraId="79F12108">
            <w:pPr>
              <w:pStyle w:val="29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- Venlafaxine</w:t>
            </w:r>
          </w:p>
        </w:tc>
        <w:tc>
          <w:tcPr>
            <w:tcW w:w="1605" w:type="dxa"/>
            <w:vAlign w:val="center"/>
          </w:tcPr>
          <w:p w14:paraId="27EB5B83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83 (0.70%)</w:t>
            </w:r>
          </w:p>
        </w:tc>
        <w:tc>
          <w:tcPr>
            <w:tcW w:w="1410" w:type="dxa"/>
            <w:vAlign w:val="center"/>
          </w:tcPr>
          <w:p w14:paraId="2B0721B1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62 (0.61%)</w:t>
            </w:r>
          </w:p>
        </w:tc>
        <w:tc>
          <w:tcPr>
            <w:tcW w:w="1429" w:type="dxa"/>
            <w:vAlign w:val="center"/>
          </w:tcPr>
          <w:p w14:paraId="6258C042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20 (1.96%)</w:t>
            </w:r>
          </w:p>
        </w:tc>
        <w:tc>
          <w:tcPr>
            <w:tcW w:w="1254" w:type="dxa"/>
            <w:vAlign w:val="center"/>
          </w:tcPr>
          <w:p w14:paraId="6C4239D4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1 (0.15%)</w:t>
            </w:r>
          </w:p>
        </w:tc>
        <w:tc>
          <w:tcPr>
            <w:tcW w:w="1104" w:type="dxa"/>
            <w:vAlign w:val="center"/>
          </w:tcPr>
          <w:p w14:paraId="707C70BD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&lt;0.001</w:t>
            </w:r>
          </w:p>
        </w:tc>
        <w:tc>
          <w:tcPr>
            <w:tcW w:w="1295" w:type="dxa"/>
            <w:vAlign w:val="center"/>
          </w:tcPr>
          <w:p w14:paraId="242DA316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&lt;0.001</w:t>
            </w:r>
          </w:p>
        </w:tc>
      </w:tr>
      <w:tr w14:paraId="1A21491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819" w:type="dxa"/>
            <w:vAlign w:val="center"/>
          </w:tcPr>
          <w:p w14:paraId="357A781E">
            <w:pPr>
              <w:pStyle w:val="29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- Duloxetine</w:t>
            </w:r>
          </w:p>
        </w:tc>
        <w:tc>
          <w:tcPr>
            <w:tcW w:w="1605" w:type="dxa"/>
            <w:vAlign w:val="center"/>
          </w:tcPr>
          <w:p w14:paraId="5A08F0E1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57 (0.48%)</w:t>
            </w:r>
          </w:p>
        </w:tc>
        <w:tc>
          <w:tcPr>
            <w:tcW w:w="1410" w:type="dxa"/>
            <w:vAlign w:val="center"/>
          </w:tcPr>
          <w:p w14:paraId="767C3A1C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39 (0.39%)</w:t>
            </w:r>
          </w:p>
        </w:tc>
        <w:tc>
          <w:tcPr>
            <w:tcW w:w="1429" w:type="dxa"/>
            <w:vAlign w:val="center"/>
          </w:tcPr>
          <w:p w14:paraId="0073984D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14 (1.37%)</w:t>
            </w:r>
          </w:p>
        </w:tc>
        <w:tc>
          <w:tcPr>
            <w:tcW w:w="1254" w:type="dxa"/>
            <w:vAlign w:val="center"/>
          </w:tcPr>
          <w:p w14:paraId="28C7E395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4 (0.60%)</w:t>
            </w:r>
          </w:p>
        </w:tc>
        <w:tc>
          <w:tcPr>
            <w:tcW w:w="1104" w:type="dxa"/>
            <w:vAlign w:val="center"/>
          </w:tcPr>
          <w:p w14:paraId="277845E4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&lt;0.001</w:t>
            </w:r>
          </w:p>
        </w:tc>
        <w:tc>
          <w:tcPr>
            <w:tcW w:w="1295" w:type="dxa"/>
            <w:vAlign w:val="center"/>
          </w:tcPr>
          <w:p w14:paraId="78034590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&lt;0.001</w:t>
            </w:r>
          </w:p>
        </w:tc>
      </w:tr>
      <w:tr w14:paraId="16D3C70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2819" w:type="dxa"/>
            <w:vAlign w:val="center"/>
          </w:tcPr>
          <w:p w14:paraId="234833A4">
            <w:pPr>
              <w:pStyle w:val="29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CGRP-pathway Inhibitors (Preventive)</w:t>
            </w:r>
          </w:p>
        </w:tc>
        <w:tc>
          <w:tcPr>
            <w:tcW w:w="1605" w:type="dxa"/>
            <w:vAlign w:val="center"/>
          </w:tcPr>
          <w:p w14:paraId="4D24F806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172 (1.46%)</w:t>
            </w:r>
          </w:p>
        </w:tc>
        <w:tc>
          <w:tcPr>
            <w:tcW w:w="1410" w:type="dxa"/>
            <w:vAlign w:val="center"/>
          </w:tcPr>
          <w:p w14:paraId="0970DC77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148 (1.46%)</w:t>
            </w:r>
          </w:p>
        </w:tc>
        <w:tc>
          <w:tcPr>
            <w:tcW w:w="1429" w:type="dxa"/>
            <w:vAlign w:val="center"/>
          </w:tcPr>
          <w:p w14:paraId="6F6F4F75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20 (1.96%)</w:t>
            </w:r>
          </w:p>
        </w:tc>
        <w:tc>
          <w:tcPr>
            <w:tcW w:w="1254" w:type="dxa"/>
            <w:vAlign w:val="center"/>
          </w:tcPr>
          <w:p w14:paraId="477B3275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4 (0.60%)</w:t>
            </w:r>
          </w:p>
        </w:tc>
        <w:tc>
          <w:tcPr>
            <w:tcW w:w="1104" w:type="dxa"/>
            <w:vAlign w:val="center"/>
          </w:tcPr>
          <w:p w14:paraId="387040C0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0.071</w:t>
            </w:r>
          </w:p>
        </w:tc>
        <w:tc>
          <w:tcPr>
            <w:tcW w:w="1295" w:type="dxa"/>
            <w:vAlign w:val="center"/>
          </w:tcPr>
          <w:p w14:paraId="18606950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0.218</w:t>
            </w:r>
          </w:p>
        </w:tc>
      </w:tr>
      <w:tr w14:paraId="596F191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819" w:type="dxa"/>
            <w:vAlign w:val="center"/>
          </w:tcPr>
          <w:p w14:paraId="07EB7E48">
            <w:pPr>
              <w:pStyle w:val="29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- Rimegepant (as prophylaxis)</w:t>
            </w:r>
          </w:p>
        </w:tc>
        <w:tc>
          <w:tcPr>
            <w:tcW w:w="1605" w:type="dxa"/>
            <w:vAlign w:val="center"/>
          </w:tcPr>
          <w:p w14:paraId="4732BBAB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164 (1.39%)</w:t>
            </w:r>
          </w:p>
        </w:tc>
        <w:tc>
          <w:tcPr>
            <w:tcW w:w="1410" w:type="dxa"/>
            <w:vAlign w:val="center"/>
          </w:tcPr>
          <w:p w14:paraId="04ED82A5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143 (1.41%)</w:t>
            </w:r>
          </w:p>
        </w:tc>
        <w:tc>
          <w:tcPr>
            <w:tcW w:w="1429" w:type="dxa"/>
            <w:vAlign w:val="center"/>
          </w:tcPr>
          <w:p w14:paraId="4363BC97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17 (1.67%)</w:t>
            </w:r>
          </w:p>
        </w:tc>
        <w:tc>
          <w:tcPr>
            <w:tcW w:w="1254" w:type="dxa"/>
            <w:vAlign w:val="center"/>
          </w:tcPr>
          <w:p w14:paraId="1E563972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4 (0.60%)</w:t>
            </w:r>
          </w:p>
        </w:tc>
        <w:tc>
          <w:tcPr>
            <w:tcW w:w="1104" w:type="dxa"/>
            <w:vAlign w:val="center"/>
          </w:tcPr>
          <w:p w14:paraId="733037D3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0.156</w:t>
            </w:r>
          </w:p>
        </w:tc>
        <w:tc>
          <w:tcPr>
            <w:tcW w:w="1295" w:type="dxa"/>
            <w:vAlign w:val="center"/>
          </w:tcPr>
          <w:p w14:paraId="0EA0B02A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0.501</w:t>
            </w:r>
          </w:p>
        </w:tc>
      </w:tr>
      <w:tr w14:paraId="50AAE9E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819" w:type="dxa"/>
            <w:vAlign w:val="center"/>
          </w:tcPr>
          <w:p w14:paraId="15779871">
            <w:pPr>
              <w:pStyle w:val="29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- Galcanezumab</w:t>
            </w:r>
          </w:p>
        </w:tc>
        <w:tc>
          <w:tcPr>
            <w:tcW w:w="1605" w:type="dxa"/>
            <w:vAlign w:val="center"/>
          </w:tcPr>
          <w:p w14:paraId="40990A24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7 (0.06%)</w:t>
            </w:r>
          </w:p>
        </w:tc>
        <w:tc>
          <w:tcPr>
            <w:tcW w:w="1410" w:type="dxa"/>
            <w:vAlign w:val="center"/>
          </w:tcPr>
          <w:p w14:paraId="686C339A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5 (0.05%)</w:t>
            </w:r>
          </w:p>
        </w:tc>
        <w:tc>
          <w:tcPr>
            <w:tcW w:w="1429" w:type="dxa"/>
            <w:vAlign w:val="center"/>
          </w:tcPr>
          <w:p w14:paraId="431D0BFA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2 (0.20%)</w:t>
            </w:r>
          </w:p>
        </w:tc>
        <w:tc>
          <w:tcPr>
            <w:tcW w:w="1254" w:type="dxa"/>
            <w:vAlign w:val="center"/>
          </w:tcPr>
          <w:p w14:paraId="0F415317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0 (0.00%)</w:t>
            </w:r>
          </w:p>
        </w:tc>
        <w:tc>
          <w:tcPr>
            <w:tcW w:w="1104" w:type="dxa"/>
            <w:vAlign w:val="center"/>
          </w:tcPr>
          <w:p w14:paraId="3C934B74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0.150</w:t>
            </w:r>
          </w:p>
        </w:tc>
        <w:tc>
          <w:tcPr>
            <w:tcW w:w="1295" w:type="dxa"/>
            <w:vAlign w:val="center"/>
          </w:tcPr>
          <w:p w14:paraId="492DB4BE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0.078</w:t>
            </w:r>
          </w:p>
        </w:tc>
      </w:tr>
      <w:tr w14:paraId="5A69630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819" w:type="dxa"/>
            <w:vAlign w:val="center"/>
          </w:tcPr>
          <w:p w14:paraId="330519FA">
            <w:pPr>
              <w:pStyle w:val="29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- Erenumab</w:t>
            </w:r>
          </w:p>
        </w:tc>
        <w:tc>
          <w:tcPr>
            <w:tcW w:w="1605" w:type="dxa"/>
            <w:vAlign w:val="center"/>
          </w:tcPr>
          <w:p w14:paraId="51D779C2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5 (0.04%)</w:t>
            </w:r>
          </w:p>
        </w:tc>
        <w:tc>
          <w:tcPr>
            <w:tcW w:w="1410" w:type="dxa"/>
            <w:vAlign w:val="center"/>
          </w:tcPr>
          <w:p w14:paraId="72DA09B9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4 (0.04%)</w:t>
            </w:r>
          </w:p>
        </w:tc>
        <w:tc>
          <w:tcPr>
            <w:tcW w:w="1429" w:type="dxa"/>
            <w:vAlign w:val="center"/>
          </w:tcPr>
          <w:p w14:paraId="4EC4A79F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1 (0.10%)</w:t>
            </w:r>
          </w:p>
        </w:tc>
        <w:tc>
          <w:tcPr>
            <w:tcW w:w="1254" w:type="dxa"/>
            <w:vAlign w:val="center"/>
          </w:tcPr>
          <w:p w14:paraId="7E1A077D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0 (0.00%)</w:t>
            </w:r>
          </w:p>
        </w:tc>
        <w:tc>
          <w:tcPr>
            <w:tcW w:w="1104" w:type="dxa"/>
            <w:vAlign w:val="center"/>
          </w:tcPr>
          <w:p w14:paraId="4D765701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0.591</w:t>
            </w:r>
          </w:p>
        </w:tc>
        <w:tc>
          <w:tcPr>
            <w:tcW w:w="1295" w:type="dxa"/>
            <w:vAlign w:val="center"/>
          </w:tcPr>
          <w:p w14:paraId="4C0FEB14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0.368</w:t>
            </w:r>
          </w:p>
        </w:tc>
      </w:tr>
      <w:tr w14:paraId="07DB18B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819" w:type="dxa"/>
            <w:vAlign w:val="center"/>
          </w:tcPr>
          <w:p w14:paraId="1CB85EBF">
            <w:pPr>
              <w:pStyle w:val="29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- Fremanezumab</w:t>
            </w:r>
          </w:p>
        </w:tc>
        <w:tc>
          <w:tcPr>
            <w:tcW w:w="1605" w:type="dxa"/>
            <w:vAlign w:val="center"/>
          </w:tcPr>
          <w:p w14:paraId="4D62CD7A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 (0.01%)</w:t>
            </w:r>
          </w:p>
        </w:tc>
        <w:tc>
          <w:tcPr>
            <w:tcW w:w="1410" w:type="dxa"/>
            <w:vAlign w:val="center"/>
          </w:tcPr>
          <w:p w14:paraId="57F64069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1 (0.01%)</w:t>
            </w:r>
          </w:p>
        </w:tc>
        <w:tc>
          <w:tcPr>
            <w:tcW w:w="1429" w:type="dxa"/>
            <w:vAlign w:val="center"/>
          </w:tcPr>
          <w:p w14:paraId="2C6F5FF5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0 (0.00%)</w:t>
            </w:r>
          </w:p>
        </w:tc>
        <w:tc>
          <w:tcPr>
            <w:tcW w:w="1254" w:type="dxa"/>
            <w:vAlign w:val="center"/>
          </w:tcPr>
          <w:p w14:paraId="0FAADD2E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0 (0.00%)</w:t>
            </w:r>
          </w:p>
        </w:tc>
        <w:tc>
          <w:tcPr>
            <w:tcW w:w="1104" w:type="dxa"/>
            <w:vAlign w:val="center"/>
          </w:tcPr>
          <w:p w14:paraId="695A702B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0.920</w:t>
            </w:r>
          </w:p>
        </w:tc>
        <w:tc>
          <w:tcPr>
            <w:tcW w:w="1295" w:type="dxa"/>
            <w:vAlign w:val="center"/>
          </w:tcPr>
          <w:p w14:paraId="50CBC3C7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1.000</w:t>
            </w:r>
          </w:p>
        </w:tc>
      </w:tr>
      <w:tr w14:paraId="1635E82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2819" w:type="dxa"/>
            <w:vAlign w:val="center"/>
          </w:tcPr>
          <w:p w14:paraId="7EE26883">
            <w:pPr>
              <w:pStyle w:val="29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- Eptinezumab</w:t>
            </w:r>
          </w:p>
        </w:tc>
        <w:tc>
          <w:tcPr>
            <w:tcW w:w="1605" w:type="dxa"/>
            <w:vAlign w:val="center"/>
          </w:tcPr>
          <w:p w14:paraId="4FE53F65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 (0.01%)</w:t>
            </w:r>
          </w:p>
        </w:tc>
        <w:tc>
          <w:tcPr>
            <w:tcW w:w="1410" w:type="dxa"/>
            <w:vAlign w:val="center"/>
          </w:tcPr>
          <w:p w14:paraId="05674483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1 (0.01%)</w:t>
            </w:r>
          </w:p>
        </w:tc>
        <w:tc>
          <w:tcPr>
            <w:tcW w:w="1429" w:type="dxa"/>
            <w:vAlign w:val="center"/>
          </w:tcPr>
          <w:p w14:paraId="46DD15B1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0 (0.00%)</w:t>
            </w:r>
          </w:p>
        </w:tc>
        <w:tc>
          <w:tcPr>
            <w:tcW w:w="1254" w:type="dxa"/>
            <w:vAlign w:val="center"/>
          </w:tcPr>
          <w:p w14:paraId="1609522E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0 (0.00%)</w:t>
            </w:r>
          </w:p>
        </w:tc>
        <w:tc>
          <w:tcPr>
            <w:tcW w:w="1104" w:type="dxa"/>
            <w:vAlign w:val="center"/>
          </w:tcPr>
          <w:p w14:paraId="560D9167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0.920</w:t>
            </w:r>
          </w:p>
        </w:tc>
        <w:tc>
          <w:tcPr>
            <w:tcW w:w="1295" w:type="dxa"/>
            <w:vAlign w:val="center"/>
          </w:tcPr>
          <w:p w14:paraId="7E397025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1.000</w:t>
            </w:r>
          </w:p>
        </w:tc>
      </w:tr>
      <w:tr w14:paraId="05DEC67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819" w:type="dxa"/>
            <w:vAlign w:val="center"/>
          </w:tcPr>
          <w:p w14:paraId="18BD6DF7">
            <w:pPr>
              <w:pStyle w:val="29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Beta-blockers (Metoprolol)</w:t>
            </w:r>
          </w:p>
        </w:tc>
        <w:tc>
          <w:tcPr>
            <w:tcW w:w="1605" w:type="dxa"/>
            <w:vAlign w:val="center"/>
          </w:tcPr>
          <w:p w14:paraId="01BEA67D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41 (0.35%)</w:t>
            </w:r>
          </w:p>
        </w:tc>
        <w:tc>
          <w:tcPr>
            <w:tcW w:w="1410" w:type="dxa"/>
            <w:vAlign w:val="center"/>
          </w:tcPr>
          <w:p w14:paraId="6B0A78C2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32 (0.32%)</w:t>
            </w:r>
          </w:p>
        </w:tc>
        <w:tc>
          <w:tcPr>
            <w:tcW w:w="1429" w:type="dxa"/>
            <w:vAlign w:val="center"/>
          </w:tcPr>
          <w:p w14:paraId="61869EC1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8 (0.79%)</w:t>
            </w:r>
          </w:p>
        </w:tc>
        <w:tc>
          <w:tcPr>
            <w:tcW w:w="1254" w:type="dxa"/>
            <w:vAlign w:val="center"/>
          </w:tcPr>
          <w:p w14:paraId="199E4C96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1 (0.15%)</w:t>
            </w:r>
          </w:p>
        </w:tc>
        <w:tc>
          <w:tcPr>
            <w:tcW w:w="1104" w:type="dxa"/>
            <w:vAlign w:val="center"/>
          </w:tcPr>
          <w:p w14:paraId="6AD79954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0.035</w:t>
            </w:r>
          </w:p>
        </w:tc>
        <w:tc>
          <w:tcPr>
            <w:tcW w:w="1295" w:type="dxa"/>
            <w:vAlign w:val="center"/>
          </w:tcPr>
          <w:p w14:paraId="4D971487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0.018</w:t>
            </w:r>
          </w:p>
        </w:tc>
      </w:tr>
      <w:tr w14:paraId="5F26272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2819" w:type="dxa"/>
            <w:vAlign w:val="center"/>
          </w:tcPr>
          <w:p w14:paraId="603B5532">
            <w:pPr>
              <w:pStyle w:val="29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Onabotulinumtoxin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A (BOTOX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-A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1605" w:type="dxa"/>
            <w:vAlign w:val="center"/>
          </w:tcPr>
          <w:p w14:paraId="5CEC4156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17 (0.14%)</w:t>
            </w:r>
          </w:p>
        </w:tc>
        <w:tc>
          <w:tcPr>
            <w:tcW w:w="1410" w:type="dxa"/>
            <w:vAlign w:val="center"/>
          </w:tcPr>
          <w:p w14:paraId="4B4C889C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10 (0.10%)</w:t>
            </w:r>
          </w:p>
        </w:tc>
        <w:tc>
          <w:tcPr>
            <w:tcW w:w="1429" w:type="dxa"/>
            <w:vAlign w:val="center"/>
          </w:tcPr>
          <w:p w14:paraId="2EE22717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6 (0.59%)</w:t>
            </w:r>
          </w:p>
        </w:tc>
        <w:tc>
          <w:tcPr>
            <w:tcW w:w="1254" w:type="dxa"/>
            <w:vAlign w:val="center"/>
          </w:tcPr>
          <w:p w14:paraId="6E951C1A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1 (0.15%)</w:t>
            </w:r>
          </w:p>
        </w:tc>
        <w:tc>
          <w:tcPr>
            <w:tcW w:w="1104" w:type="dxa"/>
            <w:vAlign w:val="center"/>
          </w:tcPr>
          <w:p w14:paraId="5BF19ED9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0.001</w:t>
            </w:r>
          </w:p>
        </w:tc>
        <w:tc>
          <w:tcPr>
            <w:tcW w:w="1295" w:type="dxa"/>
            <w:vAlign w:val="center"/>
          </w:tcPr>
          <w:p w14:paraId="4061EC8A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&lt;0.001</w:t>
            </w:r>
          </w:p>
        </w:tc>
      </w:tr>
      <w:tr w14:paraId="69C8BAF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2819" w:type="dxa"/>
            <w:vAlign w:val="center"/>
          </w:tcPr>
          <w:p w14:paraId="6DFC4B3B">
            <w:pPr>
              <w:pStyle w:val="29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TC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M (Prophylactic Formulations)</w:t>
            </w:r>
          </w:p>
        </w:tc>
        <w:tc>
          <w:tcPr>
            <w:tcW w:w="1605" w:type="dxa"/>
            <w:vAlign w:val="center"/>
          </w:tcPr>
          <w:p w14:paraId="6D9D868F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1,045 (8.85%)</w:t>
            </w:r>
          </w:p>
        </w:tc>
        <w:tc>
          <w:tcPr>
            <w:tcW w:w="1410" w:type="dxa"/>
            <w:vAlign w:val="center"/>
          </w:tcPr>
          <w:p w14:paraId="72191E09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870 (8.59%)</w:t>
            </w:r>
          </w:p>
        </w:tc>
        <w:tc>
          <w:tcPr>
            <w:tcW w:w="1429" w:type="dxa"/>
            <w:vAlign w:val="center"/>
          </w:tcPr>
          <w:p w14:paraId="2B26395C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136 (13.35%)</w:t>
            </w:r>
          </w:p>
        </w:tc>
        <w:tc>
          <w:tcPr>
            <w:tcW w:w="1254" w:type="dxa"/>
            <w:vAlign w:val="center"/>
          </w:tcPr>
          <w:p w14:paraId="223F8DF5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39 (5.80%)</w:t>
            </w:r>
          </w:p>
        </w:tc>
        <w:tc>
          <w:tcPr>
            <w:tcW w:w="1104" w:type="dxa"/>
            <w:vAlign w:val="center"/>
          </w:tcPr>
          <w:p w14:paraId="78474C29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&lt;0.001</w:t>
            </w:r>
          </w:p>
        </w:tc>
        <w:tc>
          <w:tcPr>
            <w:tcW w:w="1295" w:type="dxa"/>
            <w:vAlign w:val="center"/>
          </w:tcPr>
          <w:p w14:paraId="1B2711DA">
            <w:pPr>
              <w:pStyle w:val="2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&lt;0.001</w:t>
            </w:r>
          </w:p>
        </w:tc>
      </w:tr>
    </w:tbl>
    <w:p w14:paraId="312522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textAlignment w:val="auto"/>
        <w:rPr>
          <w:rFonts w:hint="default" w:ascii="Times New Roman" w:hAnsi="Times New Roman" w:cs="Times New Roman"/>
          <w:color w:val="auto"/>
          <w:sz w:val="20"/>
          <w:szCs w:val="20"/>
        </w:rPr>
      </w:pPr>
    </w:p>
    <w:p w14:paraId="6D21E1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textAlignment w:val="auto"/>
        <w:rPr>
          <w:rFonts w:hint="default" w:ascii="Times New Roman" w:hAnsi="Times New Roman" w:cs="Times New Roman"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</w:rPr>
        <w:t>Abbreviations: EM, episodic migraine; CM, chronic migraine; PM, probable migraine; TCPM, traditional Chinese patent medicine; CGRP, calcitonin gene-related peptide.</w:t>
      </w:r>
    </w:p>
    <w:bookmarkEnd w:id="0"/>
    <w:p w14:paraId="0BA0F1F9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0"/>
          <w:szCs w:val="20"/>
          <w:highlight w:val="none"/>
          <w14:ligatures w14:val="none"/>
        </w:rPr>
      </w:pPr>
      <w:bookmarkStart w:id="1" w:name="审稿人对此表的关键洞察"/>
      <w:r>
        <w:rPr>
          <w:rFonts w:hint="default" w:ascii="Times New Roman" w:hAnsi="Times New Roman" w:eastAsia="宋体" w:cs="Times New Roman"/>
          <w:sz w:val="20"/>
          <w:szCs w:val="20"/>
          <w:highlight w:val="none"/>
          <w:vertAlign w:val="superscript"/>
          <w14:ligatures w14:val="none"/>
        </w:rPr>
        <w:t>a</w:t>
      </w:r>
      <w:r>
        <w:rPr>
          <w:rFonts w:hint="default" w:ascii="Times New Roman" w:hAnsi="Times New Roman" w:eastAsia="宋体" w:cs="Times New Roman"/>
          <w:sz w:val="20"/>
          <w:szCs w:val="20"/>
          <w:highlight w:val="none"/>
          <w14:ligatures w14:val="none"/>
        </w:rPr>
        <w:t xml:space="preserve"> 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>Patients may use more than one medication within the same class (e.g., topiramate and gabapentin as AEDs); therefore, the class-level utilization rate does not represent the simple sum of individual medication rates.</w:t>
      </w:r>
    </w:p>
    <w:p w14:paraId="383F0BF0">
      <w:pPr>
        <w:pStyle w:val="3"/>
        <w:spacing w:line="360" w:lineRule="auto"/>
        <w:rPr>
          <w:rFonts w:hint="default" w:ascii="Times New Roman" w:hAnsi="Times New Roman" w:cs="Times New Roman"/>
          <w:color w:val="auto"/>
          <w:sz w:val="21"/>
          <w:szCs w:val="21"/>
        </w:rPr>
      </w:pPr>
      <w:r>
        <w:rPr>
          <w:rFonts w:hint="eastAsia" w:ascii="Times New Roman" w:hAnsi="Times New Roman" w:cs="Times New Roman"/>
          <w:sz w:val="20"/>
          <w:szCs w:val="20"/>
          <w:highlight w:val="none"/>
          <w:vertAlign w:val="superscript"/>
          <w:lang w:val="en-US" w:eastAsia="zh-CN"/>
          <w14:ligatures w14:val="none"/>
        </w:rPr>
        <w:t>b</w:t>
      </w:r>
      <w:r>
        <w:rPr>
          <w:rFonts w:hint="eastAsia" w:ascii="Times New Roman" w:hAnsi="Times New Roman" w:eastAsia="宋体" w:cs="Times New Roman"/>
          <w:sz w:val="20"/>
          <w:szCs w:val="20"/>
          <w:highlight w:val="none"/>
          <w:lang w:val="en-US" w:eastAsia="zh-CN"/>
          <w14:ligatures w14:val="none"/>
        </w:rPr>
        <w:t xml:space="preserve"> </w:t>
      </w:r>
      <w:r>
        <w:rPr>
          <w:rFonts w:hint="default" w:ascii="Times New Roman" w:hAnsi="Times New Roman" w:eastAsia="宋体" w:cs="Times New Roman"/>
          <w:i/>
          <w:iCs/>
          <w:sz w:val="20"/>
          <w:szCs w:val="20"/>
          <w:highlight w:val="none"/>
          <w14:ligatures w14:val="none"/>
        </w:rPr>
        <w:t>P</w:t>
      </w:r>
      <w:r>
        <w:rPr>
          <w:rFonts w:hint="default" w:ascii="Times New Roman" w:hAnsi="Times New Roman" w:eastAsia="宋体" w:cs="Times New Roman"/>
          <w:sz w:val="20"/>
          <w:szCs w:val="20"/>
          <w:highlight w:val="none"/>
          <w14:ligatures w14:val="none"/>
        </w:rPr>
        <w:t xml:space="preserve"> value: Calculated across all three diagnostic groups (EM, CM, PM) using Pearson Chi-Square test or Fisher's exact test.</w:t>
      </w:r>
    </w:p>
    <w:p w14:paraId="323DF89C">
      <w:pPr>
        <w:rPr>
          <w:rFonts w:hint="default" w:ascii="Times New Roman" w:hAnsi="Times New Roman" w:cs="Times New Roman"/>
          <w:color w:val="auto"/>
          <w:sz w:val="21"/>
          <w:szCs w:val="21"/>
        </w:rPr>
        <w:sectPr>
          <w:footerReference r:id="rId4" w:type="default"/>
          <w:footnotePr>
            <w:numRestart w:val="eachSect"/>
          </w:footnotePr>
          <w:pgSz w:w="11906" w:h="16838"/>
          <w:pgMar w:top="720" w:right="720" w:bottom="720" w:left="720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7286F9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textAlignment w:val="auto"/>
        <w:rPr>
          <w:rFonts w:hint="eastAsia" w:ascii="Times New Roman" w:hAnsi="Times New Roman" w:cs="Times New Roman"/>
          <w:color w:val="auto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Supplementary Table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9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. Comparison of Acute Medication Utilization Between Specialist and Non-Specialist Consultations</w:t>
      </w:r>
    </w:p>
    <w:tbl>
      <w:tblPr>
        <w:tblStyle w:val="21"/>
        <w:tblW w:w="0" w:type="auto"/>
        <w:tblCellSpacing w:w="15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142"/>
        <w:gridCol w:w="2022"/>
        <w:gridCol w:w="2025"/>
        <w:gridCol w:w="2025"/>
        <w:gridCol w:w="1312"/>
      </w:tblGrid>
      <w:tr w14:paraId="3EAC568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15" w:type="dxa"/>
        </w:trPr>
        <w:tc>
          <w:tcPr>
            <w:tcW w:w="3192" w:type="dxa"/>
            <w:tcBorders>
              <w:bottom w:val="single" w:color="auto" w:sz="8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70797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Medication Class</w:t>
            </w:r>
          </w:p>
        </w:tc>
        <w:tc>
          <w:tcPr>
            <w:tcW w:w="2050" w:type="dxa"/>
            <w:tcBorders>
              <w:bottom w:val="single" w:color="auto" w:sz="8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02198E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Style w:val="23"/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Style w:val="23"/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Total </w:t>
            </w:r>
          </w:p>
          <w:p w14:paraId="6BEEA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(N=6</w:t>
            </w:r>
            <w:r>
              <w:rPr>
                <w:rStyle w:val="23"/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,</w:t>
            </w:r>
            <w:r>
              <w:rPr>
                <w:rStyle w:val="23"/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133)</w:t>
            </w:r>
          </w:p>
        </w:tc>
        <w:tc>
          <w:tcPr>
            <w:tcW w:w="2050" w:type="dxa"/>
            <w:tcBorders>
              <w:bottom w:val="single" w:color="auto" w:sz="8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1CFE6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Style w:val="23"/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Style w:val="23"/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Specialists </w:t>
            </w:r>
            <w:r>
              <w:rPr>
                <w:rStyle w:val="23"/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vertAlign w:val="superscript"/>
                <w:lang w:val="en-US" w:eastAsia="zh-CN" w:bidi="ar"/>
              </w:rPr>
              <w:t>a</w:t>
            </w:r>
          </w:p>
          <w:p w14:paraId="0D69F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(n=3</w:t>
            </w:r>
            <w:r>
              <w:rPr>
                <w:rStyle w:val="23"/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,</w:t>
            </w:r>
            <w:r>
              <w:rPr>
                <w:rStyle w:val="23"/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337)</w:t>
            </w:r>
          </w:p>
        </w:tc>
        <w:tc>
          <w:tcPr>
            <w:tcW w:w="2050" w:type="dxa"/>
            <w:tcBorders>
              <w:bottom w:val="single" w:color="auto" w:sz="8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5A9F1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Style w:val="23"/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Style w:val="23"/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Non-Specialists</w:t>
            </w:r>
            <w:r>
              <w:rPr>
                <w:rStyle w:val="23"/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23"/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vertAlign w:val="superscript"/>
                <w:lang w:val="en-US" w:eastAsia="zh-CN" w:bidi="ar"/>
              </w:rPr>
              <w:t>a</w:t>
            </w:r>
          </w:p>
          <w:p w14:paraId="070BA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 (n=2</w:t>
            </w:r>
            <w:r>
              <w:rPr>
                <w:rStyle w:val="23"/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,</w:t>
            </w:r>
            <w:r>
              <w:rPr>
                <w:rStyle w:val="23"/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796)</w:t>
            </w:r>
          </w:p>
        </w:tc>
        <w:tc>
          <w:tcPr>
            <w:tcW w:w="1305" w:type="dxa"/>
            <w:tcBorders>
              <w:bottom w:val="single" w:color="auto" w:sz="8" w:space="0"/>
            </w:tcBorders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70A96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Segoe Print" w:cs="Times New Roman"/>
                <w:i/>
                <w:iCs/>
                <w:color w:val="1F1F1F"/>
                <w:kern w:val="0"/>
                <w:sz w:val="20"/>
                <w:szCs w:val="20"/>
                <w:lang w:val="en-US" w:eastAsia="zh-CN" w:bidi="ar"/>
              </w:rPr>
              <w:t>P</w:t>
            </w:r>
            <w:r>
              <w:rPr>
                <w:rStyle w:val="23"/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23"/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value</w:t>
            </w:r>
          </w:p>
        </w:tc>
      </w:tr>
      <w:tr w14:paraId="1B9000F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15" w:type="dxa"/>
        </w:trPr>
        <w:tc>
          <w:tcPr>
            <w:tcW w:w="3192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6C29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b/>
                <w:bCs/>
                <w:color w:val="1F1F1F"/>
                <w:kern w:val="0"/>
                <w:sz w:val="20"/>
                <w:szCs w:val="20"/>
                <w:lang w:val="en-US" w:eastAsia="zh-CN" w:bidi="ar"/>
              </w:rPr>
              <w:t>I. Acute Medications</w:t>
            </w:r>
          </w:p>
        </w:tc>
        <w:tc>
          <w:tcPr>
            <w:tcW w:w="205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4D199C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  <w:tc>
          <w:tcPr>
            <w:tcW w:w="205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565CA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  <w:tc>
          <w:tcPr>
            <w:tcW w:w="205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48947E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  <w:tc>
          <w:tcPr>
            <w:tcW w:w="130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65B95B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</w:tr>
      <w:tr w14:paraId="0EF7EED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3192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753BA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NSAIDs/Others</w:t>
            </w:r>
          </w:p>
        </w:tc>
        <w:tc>
          <w:tcPr>
            <w:tcW w:w="205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0BD30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3,690 (60.17%)</w:t>
            </w:r>
          </w:p>
        </w:tc>
        <w:tc>
          <w:tcPr>
            <w:tcW w:w="205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7F5C6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1,965 (58.89%)</w:t>
            </w:r>
          </w:p>
        </w:tc>
        <w:tc>
          <w:tcPr>
            <w:tcW w:w="205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FC74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1,725 (61.70%)</w:t>
            </w:r>
          </w:p>
        </w:tc>
        <w:tc>
          <w:tcPr>
            <w:tcW w:w="130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768274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0.025</w:t>
            </w:r>
          </w:p>
        </w:tc>
      </w:tr>
      <w:tr w14:paraId="30FEC82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3192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1120D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Compound Preparations</w:t>
            </w:r>
          </w:p>
        </w:tc>
        <w:tc>
          <w:tcPr>
            <w:tcW w:w="205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1026B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979 (15.96%)</w:t>
            </w:r>
          </w:p>
        </w:tc>
        <w:tc>
          <w:tcPr>
            <w:tcW w:w="205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00B2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472 (14.14%)</w:t>
            </w:r>
          </w:p>
        </w:tc>
        <w:tc>
          <w:tcPr>
            <w:tcW w:w="205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4C4CE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507 (18.13%)</w:t>
            </w:r>
          </w:p>
        </w:tc>
        <w:tc>
          <w:tcPr>
            <w:tcW w:w="130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234A6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 w14:paraId="6E67FC4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3192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72D9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Triptans</w:t>
            </w:r>
          </w:p>
        </w:tc>
        <w:tc>
          <w:tcPr>
            <w:tcW w:w="205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0031B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1,152 (18.78%)</w:t>
            </w:r>
          </w:p>
        </w:tc>
        <w:tc>
          <w:tcPr>
            <w:tcW w:w="205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18A26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731 (21.91%)</w:t>
            </w:r>
          </w:p>
        </w:tc>
        <w:tc>
          <w:tcPr>
            <w:tcW w:w="205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8CED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421 (15.06%)</w:t>
            </w:r>
          </w:p>
        </w:tc>
        <w:tc>
          <w:tcPr>
            <w:tcW w:w="130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70654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 w14:paraId="489113E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3192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50E2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TC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M (Acute Formulations)</w:t>
            </w:r>
          </w:p>
        </w:tc>
        <w:tc>
          <w:tcPr>
            <w:tcW w:w="205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04C88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386 (6.29%)</w:t>
            </w:r>
          </w:p>
        </w:tc>
        <w:tc>
          <w:tcPr>
            <w:tcW w:w="205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01ADE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187 (5.60%)</w:t>
            </w:r>
          </w:p>
        </w:tc>
        <w:tc>
          <w:tcPr>
            <w:tcW w:w="205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270F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199 (7.12%)</w:t>
            </w:r>
          </w:p>
        </w:tc>
        <w:tc>
          <w:tcPr>
            <w:tcW w:w="130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6F30E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0.015</w:t>
            </w:r>
          </w:p>
        </w:tc>
      </w:tr>
      <w:tr w14:paraId="579F05D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3192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71961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Gepants</w:t>
            </w:r>
          </w:p>
        </w:tc>
        <w:tc>
          <w:tcPr>
            <w:tcW w:w="205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3EF2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317 (5.17%)</w:t>
            </w:r>
          </w:p>
        </w:tc>
        <w:tc>
          <w:tcPr>
            <w:tcW w:w="205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9137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232 (6.95%)</w:t>
            </w:r>
          </w:p>
        </w:tc>
        <w:tc>
          <w:tcPr>
            <w:tcW w:w="205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C3D12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85 (3.04%)</w:t>
            </w:r>
          </w:p>
        </w:tc>
        <w:tc>
          <w:tcPr>
            <w:tcW w:w="130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7295C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 w14:paraId="0FF3D5C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3192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7AAC9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Opioids</w:t>
            </w:r>
          </w:p>
        </w:tc>
        <w:tc>
          <w:tcPr>
            <w:tcW w:w="205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0E4B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42 (0.68%)</w:t>
            </w:r>
          </w:p>
        </w:tc>
        <w:tc>
          <w:tcPr>
            <w:tcW w:w="205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AF12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22 (0.66%)</w:t>
            </w:r>
          </w:p>
        </w:tc>
        <w:tc>
          <w:tcPr>
            <w:tcW w:w="205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5DFE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20 (0.72%)</w:t>
            </w:r>
          </w:p>
        </w:tc>
        <w:tc>
          <w:tcPr>
            <w:tcW w:w="130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3A949E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0.791</w:t>
            </w:r>
          </w:p>
        </w:tc>
      </w:tr>
      <w:tr w14:paraId="0251E71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3192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F671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Ergot Derivatives</w:t>
            </w:r>
          </w:p>
        </w:tc>
        <w:tc>
          <w:tcPr>
            <w:tcW w:w="205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00A7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9 (0.15%)</w:t>
            </w:r>
          </w:p>
        </w:tc>
        <w:tc>
          <w:tcPr>
            <w:tcW w:w="205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0429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6 (0.18%)</w:t>
            </w:r>
          </w:p>
        </w:tc>
        <w:tc>
          <w:tcPr>
            <w:tcW w:w="205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8A38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 (0.11%)</w:t>
            </w:r>
          </w:p>
        </w:tc>
        <w:tc>
          <w:tcPr>
            <w:tcW w:w="130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0ED8E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0.523</w:t>
            </w:r>
          </w:p>
        </w:tc>
      </w:tr>
      <w:tr w14:paraId="31FD3C7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15" w:type="dxa"/>
        </w:trPr>
        <w:tc>
          <w:tcPr>
            <w:tcW w:w="3192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DAB7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b/>
                <w:bCs/>
                <w:color w:val="1F1F1F"/>
                <w:kern w:val="0"/>
                <w:sz w:val="20"/>
                <w:szCs w:val="20"/>
                <w:lang w:val="en-US" w:eastAsia="zh-CN" w:bidi="ar"/>
              </w:rPr>
              <w:t>II. Prophylactic Medications</w:t>
            </w:r>
          </w:p>
        </w:tc>
        <w:tc>
          <w:tcPr>
            <w:tcW w:w="205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E02DF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  <w:tc>
          <w:tcPr>
            <w:tcW w:w="205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53E91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  <w:tc>
          <w:tcPr>
            <w:tcW w:w="205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15FADA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  <w:tc>
          <w:tcPr>
            <w:tcW w:w="130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5CF559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</w:tr>
      <w:tr w14:paraId="012A47E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3192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7137C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Calcium Channel Blockers</w:t>
            </w:r>
          </w:p>
        </w:tc>
        <w:tc>
          <w:tcPr>
            <w:tcW w:w="205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476D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776 (12.65%)</w:t>
            </w:r>
          </w:p>
        </w:tc>
        <w:tc>
          <w:tcPr>
            <w:tcW w:w="205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D299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470 (14.08%)</w:t>
            </w:r>
          </w:p>
        </w:tc>
        <w:tc>
          <w:tcPr>
            <w:tcW w:w="205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5255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306 (10.94%)</w:t>
            </w:r>
          </w:p>
        </w:tc>
        <w:tc>
          <w:tcPr>
            <w:tcW w:w="130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13C6B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 w14:paraId="49E266B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3192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4E993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TC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M (Prophylactic Formulations)</w:t>
            </w:r>
          </w:p>
        </w:tc>
        <w:tc>
          <w:tcPr>
            <w:tcW w:w="205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7FED2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717 (11.69%)</w:t>
            </w:r>
          </w:p>
        </w:tc>
        <w:tc>
          <w:tcPr>
            <w:tcW w:w="205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48E99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359 (10.76%)</w:t>
            </w:r>
          </w:p>
        </w:tc>
        <w:tc>
          <w:tcPr>
            <w:tcW w:w="205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4AFC2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358 (12.80%)</w:t>
            </w:r>
          </w:p>
        </w:tc>
        <w:tc>
          <w:tcPr>
            <w:tcW w:w="130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3BC73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0.013</w:t>
            </w:r>
          </w:p>
        </w:tc>
      </w:tr>
      <w:tr w14:paraId="6C8DB71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3192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78E05F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Anti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epileptics</w:t>
            </w:r>
          </w:p>
        </w:tc>
        <w:tc>
          <w:tcPr>
            <w:tcW w:w="205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03D89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377 (6.15%)</w:t>
            </w:r>
          </w:p>
        </w:tc>
        <w:tc>
          <w:tcPr>
            <w:tcW w:w="205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06B2C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292 (8.75%)</w:t>
            </w:r>
          </w:p>
        </w:tc>
        <w:tc>
          <w:tcPr>
            <w:tcW w:w="205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1D8DE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85 (3.04%)</w:t>
            </w:r>
          </w:p>
        </w:tc>
        <w:tc>
          <w:tcPr>
            <w:tcW w:w="130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65522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 w14:paraId="2684D9E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3192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4FFA3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Anti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depressants</w:t>
            </w:r>
          </w:p>
        </w:tc>
        <w:tc>
          <w:tcPr>
            <w:tcW w:w="205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A12C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207 (3.38%)</w:t>
            </w:r>
          </w:p>
        </w:tc>
        <w:tc>
          <w:tcPr>
            <w:tcW w:w="205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01B9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152 (4.55%)</w:t>
            </w:r>
          </w:p>
        </w:tc>
        <w:tc>
          <w:tcPr>
            <w:tcW w:w="205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CAC2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55 (1.97%)</w:t>
            </w:r>
          </w:p>
        </w:tc>
        <w:tc>
          <w:tcPr>
            <w:tcW w:w="130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422AE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 w14:paraId="68A2E04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3192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73EAC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CGRP Pathway Inhibitors</w:t>
            </w:r>
          </w:p>
        </w:tc>
        <w:tc>
          <w:tcPr>
            <w:tcW w:w="205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4E19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152 (2.48%)</w:t>
            </w:r>
          </w:p>
        </w:tc>
        <w:tc>
          <w:tcPr>
            <w:tcW w:w="205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CB5D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115 (3.45%)</w:t>
            </w:r>
          </w:p>
        </w:tc>
        <w:tc>
          <w:tcPr>
            <w:tcW w:w="2050" w:type="dxa"/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0F04D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37 (1.32%)</w:t>
            </w:r>
          </w:p>
        </w:tc>
        <w:tc>
          <w:tcPr>
            <w:tcW w:w="1305" w:type="dxa"/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55B34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</w:tbl>
    <w:p w14:paraId="1E561F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Times New Roman" w:hAnsi="Times New Roman" w:cs="Times New Roman"/>
          <w:color w:val="auto"/>
          <w:sz w:val="21"/>
          <w:szCs w:val="21"/>
        </w:rPr>
      </w:pPr>
    </w:p>
    <w:p w14:paraId="7068A5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color w:val="auto"/>
          <w:sz w:val="21"/>
          <w:szCs w:val="21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</w:rPr>
        <w:t>Abbreviations: NSAIDs, non-steroidal anti-inflammatory drugs; TCPM, traditional Chinese patent medicine; CGRP, calcitonin gene-related peptide.</w:t>
      </w:r>
    </w:p>
    <w:p w14:paraId="000AF1E3">
      <w:pPr>
        <w:pStyle w:val="3"/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textAlignment w:val="auto"/>
        <w:rPr>
          <w:rFonts w:hint="default" w:ascii="Times New Roman" w:hAnsi="Times New Roman" w:cs="Times New Roman"/>
          <w:sz w:val="20"/>
          <w:szCs w:val="20"/>
          <w:lang w:val="en-US"/>
        </w:rPr>
      </w:pPr>
      <w:r>
        <w:rPr>
          <w:rFonts w:hint="eastAsia" w:ascii="Times New Roman" w:hAnsi="Times New Roman" w:cs="Times New Roman"/>
          <w:sz w:val="20"/>
          <w:szCs w:val="20"/>
          <w:vertAlign w:val="superscript"/>
          <w:lang w:val="en-US" w:eastAsia="zh-CN"/>
        </w:rPr>
        <w:t xml:space="preserve">a </w:t>
      </w:r>
      <w:r>
        <w:rPr>
          <w:rFonts w:hint="default" w:ascii="Times New Roman" w:hAnsi="Times New Roman" w:cs="Times New Roman"/>
          <w:sz w:val="20"/>
          <w:szCs w:val="20"/>
          <w:lang w:val="en-US"/>
        </w:rPr>
        <w:t>Consultation Type: Specialists refer to neurologists or headache specialists. Non-specialists include general practitioners, or clinicians and nurses from non-neurological departments.</w:t>
      </w:r>
    </w:p>
    <w:p w14:paraId="375BE6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color w:val="auto"/>
          <w:sz w:val="21"/>
          <w:szCs w:val="21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</w:rPr>
        <w:br w:type="page"/>
      </w:r>
    </w:p>
    <w:p w14:paraId="18CAF4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Supplementary Table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10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. Comparison of Disease Burden, Psychological Comorbidities, and Quality of Life between EM and CM Patients.</w:t>
      </w:r>
    </w:p>
    <w:tbl>
      <w:tblPr>
        <w:tblStyle w:val="21"/>
        <w:tblW w:w="10865" w:type="dxa"/>
        <w:tblCellSpacing w:w="15" w:type="dxa"/>
        <w:tblInd w:w="5" w:type="dxa"/>
        <w:tblBorders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35"/>
        <w:gridCol w:w="1447"/>
        <w:gridCol w:w="1448"/>
        <w:gridCol w:w="1290"/>
        <w:gridCol w:w="1260"/>
        <w:gridCol w:w="997"/>
        <w:gridCol w:w="1088"/>
      </w:tblGrid>
      <w:tr w14:paraId="1863E33A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15" w:type="dxa"/>
        </w:trPr>
        <w:tc>
          <w:tcPr>
            <w:tcW w:w="32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73B919B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  <w:lang w:val="en-US"/>
              </w:rPr>
            </w:pPr>
            <w:r>
              <w:rPr>
                <w:rStyle w:val="23"/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Indicators</w:t>
            </w:r>
            <w:r>
              <w:rPr>
                <w:rStyle w:val="23"/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23"/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0BE353F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Total (n=11,814)</w:t>
            </w:r>
          </w:p>
        </w:tc>
        <w:tc>
          <w:tcPr>
            <w:tcW w:w="14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DDF24A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Style w:val="23"/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Style w:val="23"/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EM </w:t>
            </w:r>
          </w:p>
          <w:p w14:paraId="3B1971F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(n=10,123)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428635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CM (n=1,019)</w:t>
            </w:r>
          </w:p>
        </w:tc>
        <w:tc>
          <w:tcPr>
            <w:tcW w:w="12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46EE398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Style w:val="23"/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Style w:val="23"/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PM </w:t>
            </w:r>
          </w:p>
          <w:p w14:paraId="2A64739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(n=672)</w:t>
            </w:r>
          </w:p>
        </w:tc>
        <w:tc>
          <w:tcPr>
            <w:tcW w:w="9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42042FC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Segoe Print" w:cs="Times New Roman"/>
                <w:i/>
                <w:iCs/>
                <w:color w:val="1F1F1F"/>
                <w:kern w:val="0"/>
                <w:sz w:val="20"/>
                <w:szCs w:val="20"/>
                <w:lang w:val="en-US" w:eastAsia="zh-CN" w:bidi="ar"/>
              </w:rPr>
              <w:t>P</w:t>
            </w:r>
            <w:r>
              <w:rPr>
                <w:rStyle w:val="23"/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 value </w:t>
            </w:r>
          </w:p>
        </w:tc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5BD5F60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EM vs. CM </w:t>
            </w:r>
            <w:r>
              <w:rPr>
                <w:rStyle w:val="23"/>
                <w:rFonts w:hint="default" w:ascii="Times New Roman" w:hAnsi="Times New Roman" w:eastAsia="Segoe Print" w:cs="Times New Roman"/>
                <w:i/>
                <w:iCs/>
                <w:color w:val="1F1F1F"/>
                <w:kern w:val="0"/>
                <w:sz w:val="20"/>
                <w:szCs w:val="20"/>
                <w:lang w:val="en-US" w:eastAsia="zh-CN" w:bidi="ar"/>
              </w:rPr>
              <w:t>P</w:t>
            </w:r>
            <w:r>
              <w:rPr>
                <w:rStyle w:val="23"/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 value</w:t>
            </w:r>
          </w:p>
        </w:tc>
      </w:tr>
      <w:tr w14:paraId="029339C5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32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025BC28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b/>
                <w:bCs/>
                <w:color w:val="1F1F1F"/>
                <w:kern w:val="0"/>
                <w:sz w:val="20"/>
                <w:szCs w:val="20"/>
                <w:lang w:val="en-US" w:eastAsia="zh-CN" w:bidi="ar"/>
              </w:rPr>
              <w:t>MIDAS Grade, n (%)</w:t>
            </w: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1275561A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4B3E6E77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15560841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093BC3F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FC8BE8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1254BDDE">
            <w:pPr>
              <w:pStyle w:val="20"/>
              <w:keepNext w:val="0"/>
              <w:keepLines w:val="0"/>
              <w:widowControl/>
              <w:suppressLineNumbers w:val="0"/>
              <w:pBdr>
                <w:top w:val="none" w:color="1F1F1F" w:sz="0" w:space="0"/>
                <w:left w:val="none" w:color="1F1F1F" w:sz="0" w:space="0"/>
                <w:bottom w:val="none" w:color="1F1F1F" w:sz="0" w:space="0"/>
                <w:right w:val="none" w:color="1F1F1F" w:sz="0" w:space="0"/>
              </w:pBdr>
              <w:bidi w:val="0"/>
              <w:spacing w:before="0" w:beforeAutospacing="0" w:after="0" w:afterAutospacing="0" w:line="9" w:lineRule="atLeast"/>
              <w:ind w:left="0" w:right="0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  <w:t xml:space="preserve">&lt;0.001 </w:t>
            </w:r>
          </w:p>
        </w:tc>
      </w:tr>
      <w:tr w14:paraId="7D00E92B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32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40BD012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- Minimal/None (0-5)</w:t>
            </w: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CF3E59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4,242 (35.91%)</w:t>
            </w:r>
          </w:p>
        </w:tc>
        <w:tc>
          <w:tcPr>
            <w:tcW w:w="14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0DF65F3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3,694 (36.49%)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DD4FFD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253 (24.83%)</w:t>
            </w:r>
          </w:p>
        </w:tc>
        <w:tc>
          <w:tcPr>
            <w:tcW w:w="12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4017CE5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295 (43.90%)</w:t>
            </w:r>
          </w:p>
        </w:tc>
        <w:tc>
          <w:tcPr>
            <w:tcW w:w="9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3EDC457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389AA9BD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</w:tr>
      <w:tr w14:paraId="129FFAED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32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753166A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- Mild (6-10)</w:t>
            </w: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26B597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1,939 (16.41%)</w:t>
            </w:r>
          </w:p>
        </w:tc>
        <w:tc>
          <w:tcPr>
            <w:tcW w:w="14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17EC5BF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1,735 (17.14%)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45CF88C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100 (9.81%)</w:t>
            </w:r>
          </w:p>
        </w:tc>
        <w:tc>
          <w:tcPr>
            <w:tcW w:w="12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0E37D62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104 (15.48%)</w:t>
            </w:r>
          </w:p>
        </w:tc>
        <w:tc>
          <w:tcPr>
            <w:tcW w:w="9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0F1A254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09D4014B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</w:tr>
      <w:tr w14:paraId="2B15F28F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32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1E06D4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- Moderate (11-20)</w:t>
            </w: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7CED9DE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2,214 (18.74%)</w:t>
            </w:r>
          </w:p>
        </w:tc>
        <w:tc>
          <w:tcPr>
            <w:tcW w:w="14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14FE46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1,972 (19.48%)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7B6F53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134 (13.15%)</w:t>
            </w:r>
          </w:p>
        </w:tc>
        <w:tc>
          <w:tcPr>
            <w:tcW w:w="12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753F517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108 (16.07%)</w:t>
            </w:r>
          </w:p>
        </w:tc>
        <w:tc>
          <w:tcPr>
            <w:tcW w:w="9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1ED66732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271C5FEF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</w:tr>
      <w:tr w14:paraId="655F46D5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32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FD44AA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- Severe (≥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21)</w:t>
            </w: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FA0CA4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3,419 (28.94%)</w:t>
            </w:r>
          </w:p>
        </w:tc>
        <w:tc>
          <w:tcPr>
            <w:tcW w:w="14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4D6B7C1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2,722 (26.89%)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063507B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532 (52.21%)</w:t>
            </w:r>
          </w:p>
        </w:tc>
        <w:tc>
          <w:tcPr>
            <w:tcW w:w="12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ADC3CF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165 (24.55%)</w:t>
            </w:r>
          </w:p>
        </w:tc>
        <w:tc>
          <w:tcPr>
            <w:tcW w:w="9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86F9E92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130150C4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</w:tr>
      <w:tr w14:paraId="24C3B9BE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32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11E906A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Score (</w:t>
            </w: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Mean ± SD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4895885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23.30</w:t>
            </w: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 ± 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42.00</w:t>
            </w:r>
          </w:p>
        </w:tc>
        <w:tc>
          <w:tcPr>
            <w:tcW w:w="14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31C1A9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20.92</w:t>
            </w: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 ± 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37.45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37B91F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49.85</w:t>
            </w: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 ± 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70.07</w:t>
            </w:r>
          </w:p>
        </w:tc>
        <w:tc>
          <w:tcPr>
            <w:tcW w:w="12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44AB8B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19.20</w:t>
            </w: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 ± 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36.20</w:t>
            </w:r>
          </w:p>
        </w:tc>
        <w:tc>
          <w:tcPr>
            <w:tcW w:w="9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879DC35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56C32A10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</w:tr>
      <w:tr w14:paraId="3A1EF7EA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32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C4E587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b/>
                <w:bCs/>
                <w:color w:val="1F1F1F"/>
                <w:kern w:val="0"/>
                <w:sz w:val="20"/>
                <w:szCs w:val="20"/>
                <w:lang w:val="en-US" w:eastAsia="zh-CN" w:bidi="ar"/>
              </w:rPr>
              <w:t>PHQ-9 Level, n (%)</w:t>
            </w: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1B0E5F45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09652D6E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4AC8A9DE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701D42C7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BD2357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2B7E7E3E">
            <w:pPr>
              <w:pStyle w:val="20"/>
              <w:keepNext w:val="0"/>
              <w:keepLines w:val="0"/>
              <w:widowControl/>
              <w:suppressLineNumbers w:val="0"/>
              <w:pBdr>
                <w:top w:val="none" w:color="1F1F1F" w:sz="0" w:space="0"/>
                <w:left w:val="none" w:color="1F1F1F" w:sz="0" w:space="0"/>
                <w:bottom w:val="none" w:color="1F1F1F" w:sz="0" w:space="0"/>
                <w:right w:val="none" w:color="1F1F1F" w:sz="0" w:space="0"/>
              </w:pBdr>
              <w:bidi w:val="0"/>
              <w:spacing w:before="0" w:beforeAutospacing="0" w:after="0" w:afterAutospacing="0" w:line="9" w:lineRule="atLeast"/>
              <w:ind w:left="0" w:right="0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  <w:t xml:space="preserve">&lt;0.001 </w:t>
            </w:r>
          </w:p>
        </w:tc>
      </w:tr>
      <w:tr w14:paraId="54E8E6F2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32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2A258C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- None (0-4)</w:t>
            </w: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480FB25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5,116 (43.30%)</w:t>
            </w:r>
          </w:p>
        </w:tc>
        <w:tc>
          <w:tcPr>
            <w:tcW w:w="14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BDDA7D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4,485 (44.30%)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010F98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338 (33.17%)</w:t>
            </w:r>
          </w:p>
        </w:tc>
        <w:tc>
          <w:tcPr>
            <w:tcW w:w="12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AE6724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293 (43.60%)</w:t>
            </w:r>
          </w:p>
        </w:tc>
        <w:tc>
          <w:tcPr>
            <w:tcW w:w="9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45B2FAC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516AEB54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</w:tr>
      <w:tr w14:paraId="7F2653CE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32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4A2503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- Mild (5-9)</w:t>
            </w: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1AC1A7F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4,543 (38.45%)</w:t>
            </w:r>
          </w:p>
        </w:tc>
        <w:tc>
          <w:tcPr>
            <w:tcW w:w="14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0ADB9C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3,896 (38.49%)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943671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379 (37.19%)</w:t>
            </w:r>
          </w:p>
        </w:tc>
        <w:tc>
          <w:tcPr>
            <w:tcW w:w="12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404E68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268 (39.88%)</w:t>
            </w:r>
          </w:p>
        </w:tc>
        <w:tc>
          <w:tcPr>
            <w:tcW w:w="9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0C7DC028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1086021A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</w:tr>
      <w:tr w14:paraId="41CABD76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32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188596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- Mod/Severe (≥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10)</w:t>
            </w: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A0E13C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2,155 (18.24%)</w:t>
            </w:r>
          </w:p>
        </w:tc>
        <w:tc>
          <w:tcPr>
            <w:tcW w:w="14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DE0BF0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1,742 (17.21%)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05D46BD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302 (29.64%)</w:t>
            </w:r>
          </w:p>
        </w:tc>
        <w:tc>
          <w:tcPr>
            <w:tcW w:w="12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13836D7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111 (16.52%)</w:t>
            </w:r>
          </w:p>
        </w:tc>
        <w:tc>
          <w:tcPr>
            <w:tcW w:w="9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7A3C0DD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2F917C52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</w:tr>
      <w:tr w14:paraId="6912EAFB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32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707F578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Score (</w:t>
            </w: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Mean ± SD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677DB2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6.07</w:t>
            </w: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 ± 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4.78</w:t>
            </w:r>
          </w:p>
        </w:tc>
        <w:tc>
          <w:tcPr>
            <w:tcW w:w="14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72FD1C9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5.91</w:t>
            </w: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 ± 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4.68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7F42618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7.69 </w:t>
            </w: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 ± 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 5.53</w:t>
            </w:r>
          </w:p>
        </w:tc>
        <w:tc>
          <w:tcPr>
            <w:tcW w:w="12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0D9C15B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6.05</w:t>
            </w: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 ± 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4.56</w:t>
            </w:r>
          </w:p>
        </w:tc>
        <w:tc>
          <w:tcPr>
            <w:tcW w:w="9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84E569A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03B98BD7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</w:tr>
      <w:tr w14:paraId="1B9D47E6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32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B5720A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b/>
                <w:bCs/>
                <w:color w:val="1F1F1F"/>
                <w:kern w:val="0"/>
                <w:sz w:val="20"/>
                <w:szCs w:val="20"/>
                <w:lang w:val="en-US" w:eastAsia="zh-CN" w:bidi="ar"/>
              </w:rPr>
              <w:t>GAD-7 Level, n (%)</w:t>
            </w: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15028342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4F7024BA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725F94A9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7B4CFDB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7D87338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0A6212EF">
            <w:pPr>
              <w:pStyle w:val="20"/>
              <w:keepNext w:val="0"/>
              <w:keepLines w:val="0"/>
              <w:widowControl/>
              <w:suppressLineNumbers w:val="0"/>
              <w:pBdr>
                <w:top w:val="none" w:color="1F1F1F" w:sz="0" w:space="0"/>
                <w:left w:val="none" w:color="1F1F1F" w:sz="0" w:space="0"/>
                <w:bottom w:val="none" w:color="1F1F1F" w:sz="0" w:space="0"/>
                <w:right w:val="none" w:color="1F1F1F" w:sz="0" w:space="0"/>
              </w:pBdr>
              <w:bidi w:val="0"/>
              <w:spacing w:before="0" w:beforeAutospacing="0" w:after="0" w:afterAutospacing="0" w:line="9" w:lineRule="atLeast"/>
              <w:ind w:left="0" w:right="0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  <w:t xml:space="preserve">&lt;0.001 </w:t>
            </w:r>
          </w:p>
        </w:tc>
      </w:tr>
      <w:tr w14:paraId="09EE4375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32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7399410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- None (0-4)</w:t>
            </w: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C497C7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6,889 (58.31%)</w:t>
            </w:r>
          </w:p>
        </w:tc>
        <w:tc>
          <w:tcPr>
            <w:tcW w:w="14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55E7BA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6,022 (59.49%)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B4D887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488 (47.89%)</w:t>
            </w:r>
          </w:p>
        </w:tc>
        <w:tc>
          <w:tcPr>
            <w:tcW w:w="12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3F8883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379 (56.40%)</w:t>
            </w:r>
          </w:p>
        </w:tc>
        <w:tc>
          <w:tcPr>
            <w:tcW w:w="9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65F6424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461DA7BD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</w:tr>
      <w:tr w14:paraId="27D47947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32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BC3ABC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- Mild (5-9)</w:t>
            </w: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722BFB4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3,823 (32.36%)</w:t>
            </w:r>
          </w:p>
        </w:tc>
        <w:tc>
          <w:tcPr>
            <w:tcW w:w="14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1D96FF6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3,201 (31.62%)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CABEED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382 (37.49%)</w:t>
            </w:r>
          </w:p>
        </w:tc>
        <w:tc>
          <w:tcPr>
            <w:tcW w:w="12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FBB541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240 (35.71%)</w:t>
            </w:r>
          </w:p>
        </w:tc>
        <w:tc>
          <w:tcPr>
            <w:tcW w:w="9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49CB0A81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002DFC9B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</w:tr>
      <w:tr w14:paraId="386C27CE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32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781F92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- Mod/Severe (≥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10)</w:t>
            </w: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44201E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1,102 (9.33%)</w:t>
            </w:r>
          </w:p>
        </w:tc>
        <w:tc>
          <w:tcPr>
            <w:tcW w:w="14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229C4C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900 (8.89%)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4DBCA9B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149 (14.62%)</w:t>
            </w:r>
          </w:p>
        </w:tc>
        <w:tc>
          <w:tcPr>
            <w:tcW w:w="12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8F40C5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53 (7.89%)</w:t>
            </w:r>
          </w:p>
        </w:tc>
        <w:tc>
          <w:tcPr>
            <w:tcW w:w="9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7F1446C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2E7139EE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</w:tr>
      <w:tr w14:paraId="4A9070F7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32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1560EAC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Score (</w:t>
            </w: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Mean ± SD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143FC3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4.30</w:t>
            </w: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 ± 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3.99</w:t>
            </w:r>
          </w:p>
        </w:tc>
        <w:tc>
          <w:tcPr>
            <w:tcW w:w="14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4E034A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4.21</w:t>
            </w: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 ± 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3.91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3BCEE1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5.31</w:t>
            </w: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 ± 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4.67</w:t>
            </w:r>
          </w:p>
        </w:tc>
        <w:tc>
          <w:tcPr>
            <w:tcW w:w="12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F82967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4.26</w:t>
            </w: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 ± 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3.92</w:t>
            </w:r>
          </w:p>
        </w:tc>
        <w:tc>
          <w:tcPr>
            <w:tcW w:w="9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85D54F6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1A115153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</w:tr>
      <w:tr w14:paraId="5E2E8588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32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D762FF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b/>
                <w:bCs/>
                <w:color w:val="1F1F1F"/>
                <w:kern w:val="0"/>
                <w:sz w:val="20"/>
                <w:szCs w:val="20"/>
                <w:lang w:val="en-US" w:eastAsia="zh-CN" w:bidi="ar"/>
              </w:rPr>
              <w:t>Sleep Quality Level, n (%)</w:t>
            </w: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5A1A7C1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1B07404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430DE0DE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5CA8DF7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4F936CD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67649264">
            <w:pPr>
              <w:pStyle w:val="20"/>
              <w:keepNext w:val="0"/>
              <w:keepLines w:val="0"/>
              <w:widowControl/>
              <w:suppressLineNumbers w:val="0"/>
              <w:pBdr>
                <w:top w:val="none" w:color="1F1F1F" w:sz="0" w:space="0"/>
                <w:left w:val="none" w:color="1F1F1F" w:sz="0" w:space="0"/>
                <w:bottom w:val="none" w:color="1F1F1F" w:sz="0" w:space="0"/>
                <w:right w:val="none" w:color="1F1F1F" w:sz="0" w:space="0"/>
              </w:pBdr>
              <w:bidi w:val="0"/>
              <w:spacing w:before="0" w:beforeAutospacing="0" w:after="0" w:afterAutospacing="0" w:line="9" w:lineRule="atLeast"/>
              <w:ind w:left="0" w:right="0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  <w:t xml:space="preserve">&lt;0.001 </w:t>
            </w:r>
          </w:p>
        </w:tc>
      </w:tr>
      <w:tr w14:paraId="01656945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32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9141B5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- Good (&lt;5)</w:t>
            </w: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41796DF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4,492 (38.02%)</w:t>
            </w:r>
          </w:p>
        </w:tc>
        <w:tc>
          <w:tcPr>
            <w:tcW w:w="14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45EA0E2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3,957 (39.09%)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299CE1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297 (29.15%)</w:t>
            </w:r>
          </w:p>
        </w:tc>
        <w:tc>
          <w:tcPr>
            <w:tcW w:w="12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5A88FF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238 (35.42%)</w:t>
            </w:r>
          </w:p>
        </w:tc>
        <w:tc>
          <w:tcPr>
            <w:tcW w:w="9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48D1362D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573979DE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</w:tr>
      <w:tr w14:paraId="455F1FB7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32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8B1E7B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- Mild Disturbance (6-10)</w:t>
            </w: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1FC1AEC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5,114 (43.29%)</w:t>
            </w:r>
          </w:p>
        </w:tc>
        <w:tc>
          <w:tcPr>
            <w:tcW w:w="14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04DE98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4,381 (43.28%)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3051C1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414 (40.63%)</w:t>
            </w:r>
          </w:p>
        </w:tc>
        <w:tc>
          <w:tcPr>
            <w:tcW w:w="12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067FAB8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319 (47.47%)</w:t>
            </w:r>
          </w:p>
        </w:tc>
        <w:tc>
          <w:tcPr>
            <w:tcW w:w="9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804C84B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5B84D0D7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</w:tr>
      <w:tr w14:paraId="4F5BDFA3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32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D13C43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- Severe Disturbance (&gt;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10)</w:t>
            </w: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062C326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2,208 (18.69%)</w:t>
            </w:r>
          </w:p>
        </w:tc>
        <w:tc>
          <w:tcPr>
            <w:tcW w:w="14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4358E86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1,785 (17.63%)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07EA22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308 (30.23%)</w:t>
            </w:r>
          </w:p>
        </w:tc>
        <w:tc>
          <w:tcPr>
            <w:tcW w:w="12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2EBDE3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115 (17.11%)</w:t>
            </w:r>
          </w:p>
        </w:tc>
        <w:tc>
          <w:tcPr>
            <w:tcW w:w="9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E714A6D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54C622E8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</w:tr>
      <w:tr w14:paraId="0B21D5F6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32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02909F0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Score (</w:t>
            </w: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Mean ± SD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70DA39C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7.06</w:t>
            </w: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 ± 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3.90</w:t>
            </w:r>
          </w:p>
        </w:tc>
        <w:tc>
          <w:tcPr>
            <w:tcW w:w="14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6C619B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6.94</w:t>
            </w: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 ± 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3.87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7FA5D2C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8.18</w:t>
            </w: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 ± 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4.12</w:t>
            </w:r>
          </w:p>
        </w:tc>
        <w:tc>
          <w:tcPr>
            <w:tcW w:w="12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78D5745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7.09</w:t>
            </w: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 ± 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3.61</w:t>
            </w:r>
          </w:p>
        </w:tc>
        <w:tc>
          <w:tcPr>
            <w:tcW w:w="9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0A6D0B9D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152F3DDD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</w:tr>
      <w:tr w14:paraId="30109E74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32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1550292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b/>
                <w:bCs/>
                <w:color w:val="1F1F1F"/>
                <w:kern w:val="0"/>
                <w:sz w:val="20"/>
                <w:szCs w:val="20"/>
                <w:lang w:val="en-US" w:eastAsia="zh-CN" w:bidi="ar"/>
              </w:rPr>
              <w:t>WHOQOL-8 Index</w:t>
            </w: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E484C5B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67A7F68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7E380DC9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1E34A48E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0C45FD7B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63B21F21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</w:tr>
      <w:tr w14:paraId="2DDBA82A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32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4303992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Index (</w:t>
            </w: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Mean ± SD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B2AFF8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3.45 ± 0.60</w:t>
            </w:r>
          </w:p>
        </w:tc>
        <w:tc>
          <w:tcPr>
            <w:tcW w:w="14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471346B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3.47 ± 0.59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02FF085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3.27 ± 0.60</w:t>
            </w:r>
          </w:p>
        </w:tc>
        <w:tc>
          <w:tcPr>
            <w:tcW w:w="12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4B2E64A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3.49 ± 0.59</w:t>
            </w:r>
          </w:p>
        </w:tc>
        <w:tc>
          <w:tcPr>
            <w:tcW w:w="9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0B6E12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53DF1915">
            <w:pPr>
              <w:pStyle w:val="20"/>
              <w:keepNext w:val="0"/>
              <w:keepLines w:val="0"/>
              <w:widowControl/>
              <w:suppressLineNumbers w:val="0"/>
              <w:pBdr>
                <w:top w:val="none" w:color="1F1F1F" w:sz="0" w:space="0"/>
                <w:left w:val="none" w:color="1F1F1F" w:sz="0" w:space="0"/>
                <w:bottom w:val="none" w:color="1F1F1F" w:sz="0" w:space="0"/>
                <w:right w:val="none" w:color="1F1F1F" w:sz="0" w:space="0"/>
              </w:pBdr>
              <w:bidi w:val="0"/>
              <w:spacing w:before="0" w:beforeAutospacing="0" w:after="0" w:afterAutospacing="0" w:line="9" w:lineRule="atLeast"/>
              <w:ind w:left="0" w:right="0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  <w:t xml:space="preserve">&lt;0.001 </w:t>
            </w:r>
          </w:p>
        </w:tc>
      </w:tr>
      <w:tr w14:paraId="0BA1C966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32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7EA7774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Poor Quality of Life (Index &lt;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3), n (%)</w:t>
            </w: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0001959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2,127 (18.04%)</w:t>
            </w:r>
          </w:p>
        </w:tc>
        <w:tc>
          <w:tcPr>
            <w:tcW w:w="14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C13E25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1,740 (17.23%)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A7D815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274 (26.92%)</w:t>
            </w:r>
          </w:p>
        </w:tc>
        <w:tc>
          <w:tcPr>
            <w:tcW w:w="12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19B9F45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113 (16.84%)</w:t>
            </w:r>
          </w:p>
        </w:tc>
        <w:tc>
          <w:tcPr>
            <w:tcW w:w="9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0B4A5A8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63FEE765">
            <w:pPr>
              <w:pStyle w:val="20"/>
              <w:keepNext w:val="0"/>
              <w:keepLines w:val="0"/>
              <w:widowControl/>
              <w:suppressLineNumbers w:val="0"/>
              <w:pBdr>
                <w:top w:val="none" w:color="1F1F1F" w:sz="0" w:space="0"/>
                <w:left w:val="none" w:color="1F1F1F" w:sz="0" w:space="0"/>
                <w:bottom w:val="none" w:color="1F1F1F" w:sz="0" w:space="0"/>
                <w:right w:val="none" w:color="1F1F1F" w:sz="0" w:space="0"/>
              </w:pBdr>
              <w:bidi w:val="0"/>
              <w:spacing w:before="0" w:beforeAutospacing="0" w:after="0" w:afterAutospacing="0" w:line="9" w:lineRule="atLeast"/>
              <w:ind w:left="0" w:right="0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  <w:t xml:space="preserve">&lt;0.001 </w:t>
            </w:r>
          </w:p>
        </w:tc>
      </w:tr>
      <w:tr w14:paraId="53BD4C32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32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C119C7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1"/>
                <w:highlight w:val="none"/>
                <w:lang w:val="en-US" w:eastAsia="zh-CN"/>
                <w14:ligatures w14:val="none"/>
              </w:rPr>
              <w:t>MSQ 2.1</w:t>
            </w: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E6A899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74BE34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0622B2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2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F65A04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9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176562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2E319DE0">
            <w:pPr>
              <w:pStyle w:val="20"/>
              <w:keepNext w:val="0"/>
              <w:keepLines w:val="0"/>
              <w:widowControl/>
              <w:suppressLineNumbers w:val="0"/>
              <w:pBdr>
                <w:top w:val="none" w:color="1F1F1F" w:sz="0" w:space="0"/>
                <w:left w:val="none" w:color="1F1F1F" w:sz="0" w:space="0"/>
                <w:bottom w:val="none" w:color="1F1F1F" w:sz="0" w:space="0"/>
                <w:right w:val="none" w:color="1F1F1F" w:sz="0" w:space="0"/>
              </w:pBdr>
              <w:bidi w:val="0"/>
              <w:spacing w:before="0" w:beforeAutospacing="0" w:after="0" w:afterAutospacing="0" w:line="9" w:lineRule="atLeast"/>
              <w:ind w:left="0" w:right="0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</w:tr>
      <w:tr w14:paraId="4ADBF172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32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76AFD6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宋体" w:cs="Times New Roman"/>
                <w:sz w:val="20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1"/>
                <w:highlight w:val="none"/>
                <w:lang w:val="en-US" w:eastAsia="zh-CN"/>
                <w14:ligatures w14:val="none"/>
              </w:rPr>
              <w:t>Role Restrictive</w:t>
            </w:r>
            <w:r>
              <w:rPr>
                <w:rFonts w:hint="eastAsia" w:ascii="Times New Roman" w:hAnsi="Times New Roman" w:cs="Times New Roman"/>
                <w:sz w:val="20"/>
                <w:szCs w:val="21"/>
                <w:highlight w:val="none"/>
                <w:lang w:val="en-US" w:eastAsia="zh-CN"/>
                <w14:ligatures w14:val="none"/>
              </w:rPr>
              <w:t xml:space="preserve"> 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Mean ± SD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D49CBD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71.71</w:t>
            </w: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 ± 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18.05</w:t>
            </w:r>
          </w:p>
        </w:tc>
        <w:tc>
          <w:tcPr>
            <w:tcW w:w="14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1FFF50B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72.28</w:t>
            </w: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 ± 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17.59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DC5580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64.85</w:t>
            </w: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 ± 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21.32</w:t>
            </w:r>
          </w:p>
        </w:tc>
        <w:tc>
          <w:tcPr>
            <w:tcW w:w="12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D24515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74.04</w:t>
            </w: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 ± 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17.25</w:t>
            </w:r>
          </w:p>
        </w:tc>
        <w:tc>
          <w:tcPr>
            <w:tcW w:w="9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718C4B1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  <w:t xml:space="preserve">&lt;0.001 </w:t>
            </w:r>
          </w:p>
        </w:tc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03C17085">
            <w:pPr>
              <w:pStyle w:val="20"/>
              <w:keepNext w:val="0"/>
              <w:keepLines w:val="0"/>
              <w:widowControl/>
              <w:suppressLineNumbers w:val="0"/>
              <w:pBdr>
                <w:top w:val="none" w:color="1F1F1F" w:sz="0" w:space="0"/>
                <w:left w:val="none" w:color="1F1F1F" w:sz="0" w:space="0"/>
                <w:bottom w:val="none" w:color="1F1F1F" w:sz="0" w:space="0"/>
                <w:right w:val="none" w:color="1F1F1F" w:sz="0" w:space="0"/>
              </w:pBdr>
              <w:bidi w:val="0"/>
              <w:spacing w:before="0" w:beforeAutospacing="0" w:after="0" w:afterAutospacing="0" w:line="9" w:lineRule="atLeast"/>
              <w:ind w:left="0" w:right="0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  <w:t xml:space="preserve">&lt;0.001 </w:t>
            </w:r>
          </w:p>
        </w:tc>
      </w:tr>
      <w:tr w14:paraId="37E244E1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32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43D16DC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eastAsia" w:ascii="Times New Roman" w:hAnsi="Times New Roman" w:eastAsia="宋体" w:cs="Times New Roman"/>
                <w:sz w:val="20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1"/>
                <w:highlight w:val="none"/>
                <w:lang w:val="en-US" w:eastAsia="zh-CN"/>
                <w14:ligatures w14:val="none"/>
              </w:rPr>
              <w:t>Role Preventive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Mean ± SD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4E5194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76.58</w:t>
            </w: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 ± 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18.22</w:t>
            </w:r>
          </w:p>
        </w:tc>
        <w:tc>
          <w:tcPr>
            <w:tcW w:w="14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619352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77.02</w:t>
            </w: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 ± 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17.89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291CA2E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70.98</w:t>
            </w: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 ± 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20.96</w:t>
            </w:r>
          </w:p>
        </w:tc>
        <w:tc>
          <w:tcPr>
            <w:tcW w:w="12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7BE1E67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79.06</w:t>
            </w: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 ± 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16.85</w:t>
            </w:r>
          </w:p>
        </w:tc>
        <w:tc>
          <w:tcPr>
            <w:tcW w:w="9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CFF262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  <w:t xml:space="preserve">&lt;0.001 </w:t>
            </w:r>
          </w:p>
        </w:tc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2DD6B7EC">
            <w:pPr>
              <w:pStyle w:val="20"/>
              <w:keepNext w:val="0"/>
              <w:keepLines w:val="0"/>
              <w:widowControl/>
              <w:suppressLineNumbers w:val="0"/>
              <w:pBdr>
                <w:top w:val="none" w:color="1F1F1F" w:sz="0" w:space="0"/>
                <w:left w:val="none" w:color="1F1F1F" w:sz="0" w:space="0"/>
                <w:bottom w:val="none" w:color="1F1F1F" w:sz="0" w:space="0"/>
                <w:right w:val="none" w:color="1F1F1F" w:sz="0" w:space="0"/>
              </w:pBdr>
              <w:bidi w:val="0"/>
              <w:spacing w:before="0" w:beforeAutospacing="0" w:after="0" w:afterAutospacing="0" w:line="9" w:lineRule="atLeast"/>
              <w:ind w:left="0" w:right="0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  <w:t xml:space="preserve">&lt;0.001 </w:t>
            </w:r>
          </w:p>
        </w:tc>
      </w:tr>
      <w:tr w14:paraId="04F3645C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32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D19A58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eastAsia" w:ascii="Times New Roman" w:hAnsi="Times New Roman" w:eastAsia="宋体" w:cs="Times New Roman"/>
                <w:sz w:val="20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1"/>
                <w:highlight w:val="none"/>
                <w:lang w:val="en-US" w:eastAsia="zh-CN"/>
                <w14:ligatures w14:val="none"/>
              </w:rPr>
              <w:t>Emotional Function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Mean ± SD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25E2FF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81.10</w:t>
            </w: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 ± 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18.52</w:t>
            </w:r>
          </w:p>
        </w:tc>
        <w:tc>
          <w:tcPr>
            <w:tcW w:w="14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995598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81.54</w:t>
            </w: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 ± 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18.08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4373586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75.35</w:t>
            </w: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 ± 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22.27</w:t>
            </w:r>
          </w:p>
        </w:tc>
        <w:tc>
          <w:tcPr>
            <w:tcW w:w="12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166382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83.81</w:t>
            </w: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 ± 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16.81</w:t>
            </w:r>
          </w:p>
        </w:tc>
        <w:tc>
          <w:tcPr>
            <w:tcW w:w="9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0D955FB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  <w:t xml:space="preserve">&lt;0.001 </w:t>
            </w:r>
          </w:p>
        </w:tc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67C99AD6">
            <w:pPr>
              <w:pStyle w:val="20"/>
              <w:keepNext w:val="0"/>
              <w:keepLines w:val="0"/>
              <w:widowControl/>
              <w:suppressLineNumbers w:val="0"/>
              <w:pBdr>
                <w:top w:val="none" w:color="1F1F1F" w:sz="0" w:space="0"/>
                <w:left w:val="none" w:color="1F1F1F" w:sz="0" w:space="0"/>
                <w:bottom w:val="none" w:color="1F1F1F" w:sz="0" w:space="0"/>
                <w:right w:val="none" w:color="1F1F1F" w:sz="0" w:space="0"/>
              </w:pBdr>
              <w:bidi w:val="0"/>
              <w:spacing w:before="0" w:beforeAutospacing="0" w:after="0" w:afterAutospacing="0" w:line="9" w:lineRule="atLeast"/>
              <w:ind w:left="0" w:right="0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  <w:t xml:space="preserve">&lt;0.001 </w:t>
            </w:r>
          </w:p>
        </w:tc>
      </w:tr>
      <w:tr w14:paraId="76D4247F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32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0FB7528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b/>
                <w:bCs/>
                <w:color w:val="1F1F1F"/>
                <w:kern w:val="0"/>
                <w:sz w:val="20"/>
                <w:szCs w:val="20"/>
                <w:lang w:val="en-US" w:eastAsia="zh-CN" w:bidi="ar"/>
              </w:rPr>
              <w:t>ONS-4</w:t>
            </w: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1A4CD0D3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971C54C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47ECEC76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05317D01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41CAABC2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30FD47B9">
            <w:pP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</w:p>
        </w:tc>
      </w:tr>
      <w:tr w14:paraId="75E48B7C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32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5F3E83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Positive Wellbeing Index (Mean ± SD)</w:t>
            </w: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1648527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7.08 ± 1.78</w:t>
            </w:r>
          </w:p>
        </w:tc>
        <w:tc>
          <w:tcPr>
            <w:tcW w:w="14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04AF5CD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7.11 ± 1.75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4E2F6AA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6.75 ± 1.95</w:t>
            </w:r>
          </w:p>
        </w:tc>
        <w:tc>
          <w:tcPr>
            <w:tcW w:w="12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116AA9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7.13 ± 1.77</w:t>
            </w:r>
          </w:p>
        </w:tc>
        <w:tc>
          <w:tcPr>
            <w:tcW w:w="9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4861514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15B1FD61">
            <w:pPr>
              <w:pStyle w:val="20"/>
              <w:keepNext w:val="0"/>
              <w:keepLines w:val="0"/>
              <w:widowControl/>
              <w:suppressLineNumbers w:val="0"/>
              <w:pBdr>
                <w:top w:val="none" w:color="1F1F1F" w:sz="0" w:space="0"/>
                <w:left w:val="none" w:color="1F1F1F" w:sz="0" w:space="0"/>
                <w:bottom w:val="none" w:color="1F1F1F" w:sz="0" w:space="0"/>
                <w:right w:val="none" w:color="1F1F1F" w:sz="0" w:space="0"/>
              </w:pBdr>
              <w:bidi w:val="0"/>
              <w:spacing w:before="0" w:beforeAutospacing="0" w:after="0" w:afterAutospacing="0" w:line="9" w:lineRule="atLeast"/>
              <w:ind w:left="0" w:right="0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  <w:t xml:space="preserve">&lt;0.001 </w:t>
            </w:r>
          </w:p>
        </w:tc>
      </w:tr>
      <w:tr w14:paraId="1A8BD178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32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786D9F3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Low Wellbeing (Index &lt;</w:t>
            </w:r>
            <w:r>
              <w:rPr>
                <w:rFonts w:hint="eastAsia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5), n (%)</w:t>
            </w: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3577E88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1,032 (8.76%)</w:t>
            </w:r>
          </w:p>
        </w:tc>
        <w:tc>
          <w:tcPr>
            <w:tcW w:w="14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8DD072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839 (8.31%)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7DDB8D5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130 (12.77%)</w:t>
            </w:r>
          </w:p>
        </w:tc>
        <w:tc>
          <w:tcPr>
            <w:tcW w:w="12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51521B2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63 (9.40%)</w:t>
            </w:r>
          </w:p>
        </w:tc>
        <w:tc>
          <w:tcPr>
            <w:tcW w:w="9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  <w:right w:w="90" w:type="dxa"/>
            </w:tcMar>
            <w:vAlign w:val="center"/>
          </w:tcPr>
          <w:p w14:paraId="6DDC060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9" w:lineRule="atLeast"/>
              <w:ind w:left="0" w:right="0"/>
              <w:jc w:val="left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120" w:type="dxa"/>
              <w:bottom w:w="120" w:type="dxa"/>
            </w:tcMar>
            <w:vAlign w:val="center"/>
          </w:tcPr>
          <w:p w14:paraId="484082FD">
            <w:pPr>
              <w:pStyle w:val="20"/>
              <w:keepNext w:val="0"/>
              <w:keepLines w:val="0"/>
              <w:widowControl/>
              <w:suppressLineNumbers w:val="0"/>
              <w:pBdr>
                <w:top w:val="none" w:color="1F1F1F" w:sz="0" w:space="0"/>
                <w:left w:val="none" w:color="1F1F1F" w:sz="0" w:space="0"/>
                <w:bottom w:val="none" w:color="1F1F1F" w:sz="0" w:space="0"/>
                <w:right w:val="none" w:color="1F1F1F" w:sz="0" w:space="0"/>
              </w:pBdr>
              <w:bidi w:val="0"/>
              <w:spacing w:before="0" w:beforeAutospacing="0" w:after="0" w:afterAutospacing="0" w:line="9" w:lineRule="atLeast"/>
              <w:ind w:left="0" w:right="0"/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</w:pPr>
            <w:r>
              <w:rPr>
                <w:rFonts w:hint="default" w:ascii="Times New Roman" w:hAnsi="Times New Roman" w:eastAsia="Segoe Print" w:cs="Times New Roman"/>
                <w:color w:val="1F1F1F"/>
                <w:sz w:val="20"/>
                <w:szCs w:val="20"/>
              </w:rPr>
              <w:t xml:space="preserve">&lt;0.001 </w:t>
            </w:r>
          </w:p>
        </w:tc>
      </w:tr>
    </w:tbl>
    <w:p w14:paraId="55BB36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</w:p>
    <w:p w14:paraId="69655B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color w:val="auto"/>
          <w:sz w:val="21"/>
          <w:szCs w:val="21"/>
          <w:lang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lang w:eastAsia="zh-CN"/>
        </w:rPr>
        <w:t xml:space="preserve">Abbreviations: </w:t>
      </w:r>
      <w:r>
        <w:rPr>
          <w:rFonts w:hint="eastAsia" w:ascii="Times New Roman" w:hAnsi="Times New Roman" w:cs="Times New Roman"/>
          <w:color w:val="auto"/>
          <w:sz w:val="21"/>
          <w:szCs w:val="21"/>
          <w:lang w:eastAsia="zh-CN"/>
        </w:rPr>
        <w:t>EM, episodic migraine; CM, chronic migraine; PM, probable migraine; MIDAS, Migraine Disability Assessment Scale; PHQ-9, Patient Health Questionnaire-9; GAD-7, Generalized Anxiety Disorder-7; WHOQ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>o</w:t>
      </w:r>
      <w:r>
        <w:rPr>
          <w:rFonts w:hint="eastAsia" w:ascii="Times New Roman" w:hAnsi="Times New Roman" w:cs="Times New Roman"/>
          <w:color w:val="auto"/>
          <w:sz w:val="21"/>
          <w:szCs w:val="21"/>
          <w:lang w:eastAsia="zh-CN"/>
        </w:rPr>
        <w:t xml:space="preserve">L-8, </w:t>
      </w:r>
      <w:r>
        <w:rPr>
          <w:rFonts w:hint="eastAsia" w:ascii="Times New Roman" w:hAnsi="Times New Roman" w:eastAsia="宋体" w:cs="Times New Roman"/>
          <w:sz w:val="20"/>
          <w:szCs w:val="21"/>
          <w:highlight w:val="none"/>
          <w14:ligatures w14:val="none"/>
        </w:rPr>
        <w:t>8-item World Health Organization Quality of Life questionnaire</w:t>
      </w:r>
      <w:r>
        <w:rPr>
          <w:rFonts w:hint="eastAsia" w:ascii="Times New Roman" w:hAnsi="Times New Roman" w:cs="Times New Roman"/>
          <w:color w:val="auto"/>
          <w:sz w:val="21"/>
          <w:szCs w:val="21"/>
          <w:lang w:eastAsia="zh-CN"/>
        </w:rPr>
        <w:t>; MSQ v2.1, Migraine Specific Quality of Life Questionnaire version 2.1;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21"/>
          <w:szCs w:val="21"/>
          <w:lang w:eastAsia="zh-CN"/>
        </w:rPr>
        <w:t>ONS-4, Office for National Statistics 4-item subjective well-being questions.</w:t>
      </w:r>
    </w:p>
    <w:p w14:paraId="5FBFB746"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left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kern w:val="0"/>
          <w:sz w:val="20"/>
          <w:szCs w:val="20"/>
          <w:vertAlign w:val="superscript"/>
          <w:lang w:val="en-US" w:eastAsia="zh-CN" w:bidi="ar"/>
        </w:rPr>
        <w:t>a</w:t>
      </w:r>
      <w:r>
        <w:rPr>
          <w:rFonts w:hint="eastAsia" w:ascii="Times New Roman" w:hAnsi="Times New Roman" w:cs="Times New Roman"/>
          <w:kern w:val="0"/>
          <w:sz w:val="20"/>
          <w:szCs w:val="20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 w:bidi="ar"/>
        </w:rPr>
        <w:t>Sample sizes for specific scales may vary slightly due to missing data: WHOQOL-8 (</w:t>
      </w:r>
      <w:r>
        <w:rPr>
          <w:rFonts w:hint="default" w:ascii="Times New Roman" w:hAnsi="Times New Roman" w:eastAsia="Segoe Print" w:cs="Times New Roman"/>
          <w:kern w:val="0"/>
          <w:sz w:val="20"/>
          <w:szCs w:val="20"/>
          <w:lang w:val="en-US" w:eastAsia="zh-CN" w:bidi="ar"/>
        </w:rPr>
        <w:t>n</w:t>
      </w:r>
      <w:r>
        <w:rPr>
          <w:rFonts w:hint="eastAsia" w:ascii="Times New Roman" w:hAnsi="Times New Roman" w:eastAsia="Segoe Print" w:cs="Times New Roman"/>
          <w:kern w:val="0"/>
          <w:sz w:val="20"/>
          <w:szCs w:val="20"/>
          <w:lang w:val="en-US" w:eastAsia="zh-CN" w:bidi="ar"/>
        </w:rPr>
        <w:t xml:space="preserve"> </w:t>
      </w:r>
      <w:r>
        <w:rPr>
          <w:rFonts w:hint="default" w:ascii="Times New Roman" w:hAnsi="Times New Roman" w:eastAsia="Segoe Print" w:cs="Times New Roman"/>
          <w:kern w:val="0"/>
          <w:sz w:val="20"/>
          <w:szCs w:val="20"/>
          <w:lang w:val="en-US" w:eastAsia="zh-CN" w:bidi="ar"/>
        </w:rPr>
        <w:t>=</w:t>
      </w:r>
      <w:r>
        <w:rPr>
          <w:rFonts w:hint="eastAsia" w:ascii="Times New Roman" w:hAnsi="Times New Roman" w:eastAsia="Segoe Print" w:cs="Times New Roman"/>
          <w:kern w:val="0"/>
          <w:sz w:val="20"/>
          <w:szCs w:val="20"/>
          <w:lang w:val="en-US" w:eastAsia="zh-CN" w:bidi="ar"/>
        </w:rPr>
        <w:t xml:space="preserve"> </w:t>
      </w:r>
      <w:r>
        <w:rPr>
          <w:rFonts w:hint="default" w:ascii="Times New Roman" w:hAnsi="Times New Roman" w:eastAsia="Segoe Print" w:cs="Times New Roman"/>
          <w:kern w:val="0"/>
          <w:sz w:val="20"/>
          <w:szCs w:val="20"/>
          <w:lang w:val="en-US" w:eastAsia="zh-CN" w:bidi="ar"/>
        </w:rPr>
        <w:t>11,789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 w:bidi="ar"/>
        </w:rPr>
        <w:t>), ONS-4 (</w:t>
      </w:r>
      <w:r>
        <w:rPr>
          <w:rFonts w:hint="default" w:ascii="Times New Roman" w:hAnsi="Times New Roman" w:eastAsia="Segoe Print" w:cs="Times New Roman"/>
          <w:kern w:val="0"/>
          <w:sz w:val="20"/>
          <w:szCs w:val="20"/>
          <w:lang w:val="en-US" w:eastAsia="zh-CN" w:bidi="ar"/>
        </w:rPr>
        <w:t>n</w:t>
      </w:r>
      <w:r>
        <w:rPr>
          <w:rFonts w:hint="eastAsia" w:ascii="Times New Roman" w:hAnsi="Times New Roman" w:eastAsia="Segoe Print" w:cs="Times New Roman"/>
          <w:kern w:val="0"/>
          <w:sz w:val="20"/>
          <w:szCs w:val="20"/>
          <w:lang w:val="en-US" w:eastAsia="zh-CN" w:bidi="ar"/>
        </w:rPr>
        <w:t xml:space="preserve"> </w:t>
      </w:r>
      <w:r>
        <w:rPr>
          <w:rFonts w:hint="default" w:ascii="Times New Roman" w:hAnsi="Times New Roman" w:eastAsia="Segoe Print" w:cs="Times New Roman"/>
          <w:kern w:val="0"/>
          <w:sz w:val="20"/>
          <w:szCs w:val="20"/>
          <w:lang w:val="en-US" w:eastAsia="zh-CN" w:bidi="ar"/>
        </w:rPr>
        <w:t>=11,779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 w:bidi="ar"/>
        </w:rPr>
        <w:t xml:space="preserve">). </w:t>
      </w:r>
    </w:p>
    <w:p w14:paraId="0DFD2556"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left"/>
        <w:textAlignment w:val="auto"/>
        <w:rPr>
          <w:rFonts w:hint="eastAsia" w:ascii="Times New Roman" w:hAnsi="Times New Roman" w:cs="Times New Roman"/>
          <w:sz w:val="20"/>
          <w:szCs w:val="20"/>
          <w:lang w:eastAsia="zh-CN"/>
        </w:rPr>
      </w:pPr>
      <w:r>
        <w:rPr>
          <w:rFonts w:hint="eastAsia" w:ascii="Times New Roman" w:hAnsi="Times New Roman" w:eastAsia="Segoe Print" w:cs="Times New Roman"/>
          <w:b w:val="0"/>
          <w:bCs w:val="0"/>
          <w:kern w:val="0"/>
          <w:sz w:val="20"/>
          <w:szCs w:val="20"/>
          <w:vertAlign w:val="superscript"/>
          <w:lang w:val="en-US" w:eastAsia="zh-CN" w:bidi="ar"/>
        </w:rPr>
        <w:t>b</w:t>
      </w:r>
      <w:r>
        <w:rPr>
          <w:rFonts w:hint="eastAsia" w:ascii="Times New Roman" w:hAnsi="Times New Roman" w:eastAsia="Segoe Print" w:cs="Times New Roman"/>
          <w:b w:val="0"/>
          <w:bCs w:val="0"/>
          <w:kern w:val="0"/>
          <w:sz w:val="20"/>
          <w:szCs w:val="20"/>
          <w:lang w:val="en-US" w:eastAsia="zh-CN" w:bidi="ar"/>
        </w:rPr>
        <w:t xml:space="preserve"> </w:t>
      </w:r>
      <w:r>
        <w:rPr>
          <w:rFonts w:hint="default" w:ascii="Times New Roman" w:hAnsi="Times New Roman" w:eastAsia="Segoe Print" w:cs="Times New Roman"/>
          <w:b w:val="0"/>
          <w:bCs w:val="0"/>
          <w:kern w:val="0"/>
          <w:sz w:val="20"/>
          <w:szCs w:val="20"/>
          <w:lang w:val="en-US" w:eastAsia="zh-CN" w:bidi="ar"/>
        </w:rPr>
        <w:t>ONS-4: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0"/>
          <w:szCs w:val="20"/>
          <w:lang w:val="en-US" w:eastAsia="zh-CN" w:bidi="ar"/>
        </w:rPr>
        <w:t xml:space="preserve"> Th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 w:bidi="ar"/>
        </w:rPr>
        <w:t>e Positive Well-being Index is the mean of life satisfaction, worthwhile, and happiness scores (0–10 scale). "Low Well-being" is defined as an index score &lt; 5, based on the ONS thresholds.</w:t>
      </w:r>
    </w:p>
    <w:bookmarkEnd w:id="1"/>
    <w:sectPr>
      <w:footnotePr>
        <w:numRestart w:val="eachSect"/>
      </w:footnotePr>
      <w:pgSz w:w="11906" w:h="16838"/>
      <w:pgMar w:top="720" w:right="720" w:bottom="720" w:left="72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76717A">
    <w:pPr>
      <w:pStyle w:val="16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1DFD8F"/>
    <w:multiLevelType w:val="singleLevel"/>
    <w:tmpl w:val="301DFD8F"/>
    <w:lvl w:ilvl="0" w:tentative="0">
      <w:start w:val="1"/>
      <w:numFmt w:val="lowerLetter"/>
      <w:suff w:val="space"/>
      <w:lvlText w:val="[%1]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ocumentProtection w:enforcement="0"/>
  <w:defaultTabStop w:val="720"/>
  <w:drawingGridHorizontalSpacing w:val="360"/>
  <w:drawingGridVerticalSpacing w:val="36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431829"/>
    <w:rsid w:val="007676ED"/>
    <w:rsid w:val="00831D9F"/>
    <w:rsid w:val="009E4A97"/>
    <w:rsid w:val="00A32DC9"/>
    <w:rsid w:val="00A95A66"/>
    <w:rsid w:val="00AE7E94"/>
    <w:rsid w:val="00C70A3C"/>
    <w:rsid w:val="00D339FE"/>
    <w:rsid w:val="00D821C8"/>
    <w:rsid w:val="00E76CE4"/>
    <w:rsid w:val="00F11113"/>
    <w:rsid w:val="030763E4"/>
    <w:rsid w:val="04350B1D"/>
    <w:rsid w:val="076D7E47"/>
    <w:rsid w:val="0AD9060B"/>
    <w:rsid w:val="0B7413D9"/>
    <w:rsid w:val="0BDA5385"/>
    <w:rsid w:val="0E523019"/>
    <w:rsid w:val="0F6239E3"/>
    <w:rsid w:val="10ED552F"/>
    <w:rsid w:val="12A518BF"/>
    <w:rsid w:val="12BB08C8"/>
    <w:rsid w:val="16F75A12"/>
    <w:rsid w:val="17EE44C9"/>
    <w:rsid w:val="1977556F"/>
    <w:rsid w:val="198C0E4D"/>
    <w:rsid w:val="1A1764FA"/>
    <w:rsid w:val="1DA11B98"/>
    <w:rsid w:val="1DA376A1"/>
    <w:rsid w:val="1DE9277A"/>
    <w:rsid w:val="23D463CD"/>
    <w:rsid w:val="25927E0C"/>
    <w:rsid w:val="25F325B4"/>
    <w:rsid w:val="26D253E7"/>
    <w:rsid w:val="2B0F6376"/>
    <w:rsid w:val="2B6A4961"/>
    <w:rsid w:val="2BC63624"/>
    <w:rsid w:val="31C11B09"/>
    <w:rsid w:val="31F67D16"/>
    <w:rsid w:val="32DB577A"/>
    <w:rsid w:val="34D12324"/>
    <w:rsid w:val="36AC3612"/>
    <w:rsid w:val="376D0082"/>
    <w:rsid w:val="37A66D4D"/>
    <w:rsid w:val="3F9E368B"/>
    <w:rsid w:val="3FAD119F"/>
    <w:rsid w:val="3FE43A7A"/>
    <w:rsid w:val="400001F1"/>
    <w:rsid w:val="416C231C"/>
    <w:rsid w:val="43CF08D2"/>
    <w:rsid w:val="4AF53986"/>
    <w:rsid w:val="4B7C0492"/>
    <w:rsid w:val="4CA40E82"/>
    <w:rsid w:val="4E5648DA"/>
    <w:rsid w:val="4F8F1E96"/>
    <w:rsid w:val="54394986"/>
    <w:rsid w:val="57F30C49"/>
    <w:rsid w:val="5C340978"/>
    <w:rsid w:val="5C8B5CF9"/>
    <w:rsid w:val="5F6354EF"/>
    <w:rsid w:val="5FCB6008"/>
    <w:rsid w:val="61E53017"/>
    <w:rsid w:val="63F677A5"/>
    <w:rsid w:val="648B11ED"/>
    <w:rsid w:val="69A83AFE"/>
    <w:rsid w:val="6BB06B44"/>
    <w:rsid w:val="6D7D1488"/>
    <w:rsid w:val="6F48612D"/>
    <w:rsid w:val="704716DB"/>
    <w:rsid w:val="73B5132C"/>
    <w:rsid w:val="74DF1EE2"/>
    <w:rsid w:val="77E31530"/>
    <w:rsid w:val="7C490589"/>
    <w:rsid w:val="7CA32B53"/>
    <w:rsid w:val="7D7F24B4"/>
    <w:rsid w:val="7EEC11D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="宋体" w:hAnsi="宋体" w:eastAsia="宋体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link w:val="36"/>
    <w:qFormat/>
    <w:uiPriority w:val="9"/>
    <w:pPr>
      <w:keepNext/>
      <w:keepLines/>
      <w:spacing w:before="360" w:after="80"/>
      <w:outlineLvl w:val="0"/>
    </w:pPr>
    <w:rPr>
      <w:rFonts w:ascii="Segoe Print" w:hAnsi="Segoe Print" w:eastAsiaTheme="majorEastAsia" w:cstheme="majorBidi"/>
      <w:b/>
      <w:bCs/>
      <w:color w:val="104862" w:themeColor="accent1" w:themeShade="BF"/>
      <w:sz w:val="40"/>
      <w:szCs w:val="40"/>
    </w:rPr>
  </w:style>
  <w:style w:type="paragraph" w:styleId="4">
    <w:name w:val="heading 2"/>
    <w:basedOn w:val="1"/>
    <w:next w:val="3"/>
    <w:link w:val="37"/>
    <w:semiHidden/>
    <w:unhideWhenUsed/>
    <w:qFormat/>
    <w:uiPriority w:val="9"/>
    <w:pPr>
      <w:keepNext/>
      <w:keepLines/>
      <w:spacing w:before="160" w:after="80"/>
      <w:outlineLvl w:val="1"/>
    </w:pPr>
    <w:rPr>
      <w:rFonts w:ascii="Segoe Print" w:hAnsi="Segoe Print" w:eastAsiaTheme="majorEastAsia" w:cstheme="majorBidi"/>
      <w:b/>
      <w:bCs/>
      <w:color w:val="104862" w:themeColor="accent1" w:themeShade="BF"/>
      <w:sz w:val="32"/>
      <w:szCs w:val="32"/>
    </w:rPr>
  </w:style>
  <w:style w:type="paragraph" w:styleId="5">
    <w:name w:val="heading 3"/>
    <w:basedOn w:val="1"/>
    <w:next w:val="3"/>
    <w:link w:val="3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b/>
      <w:bCs/>
      <w:color w:val="104862" w:themeColor="accent1" w:themeShade="BF"/>
      <w:sz w:val="28"/>
      <w:szCs w:val="28"/>
    </w:rPr>
  </w:style>
  <w:style w:type="paragraph" w:styleId="6">
    <w:name w:val="heading 4"/>
    <w:basedOn w:val="1"/>
    <w:next w:val="3"/>
    <w:link w:val="3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b/>
      <w:bCs/>
      <w:i/>
      <w:iCs/>
      <w:color w:val="104862" w:themeColor="accent1" w:themeShade="BF"/>
    </w:rPr>
  </w:style>
  <w:style w:type="paragraph" w:styleId="7">
    <w:name w:val="heading 5"/>
    <w:basedOn w:val="1"/>
    <w:next w:val="3"/>
    <w:link w:val="4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b/>
      <w:bCs/>
      <w:color w:val="104862" w:themeColor="accent1" w:themeShade="BF"/>
    </w:rPr>
  </w:style>
  <w:style w:type="paragraph" w:styleId="8">
    <w:name w:val="heading 6"/>
    <w:basedOn w:val="1"/>
    <w:next w:val="3"/>
    <w:link w:val="4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b/>
      <w:bCs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7"/>
    <w:basedOn w:val="1"/>
    <w:next w:val="3"/>
    <w:link w:val="4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3"/>
    <w:link w:val="4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b/>
      <w:bCs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1">
    <w:name w:val="heading 9"/>
    <w:basedOn w:val="1"/>
    <w:next w:val="3"/>
    <w:link w:val="4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b/>
      <w:b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before="180" w:after="180"/>
    </w:pPr>
  </w:style>
  <w:style w:type="paragraph" w:styleId="12">
    <w:name w:val="caption"/>
    <w:basedOn w:val="1"/>
    <w:link w:val="25"/>
    <w:qFormat/>
    <w:uiPriority w:val="0"/>
    <w:pPr>
      <w:spacing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left="480" w:right="480"/>
    </w:pPr>
  </w:style>
  <w:style w:type="paragraph" w:styleId="14">
    <w:name w:val="Date"/>
    <w:basedOn w:val="15"/>
    <w:next w:val="3"/>
    <w:qFormat/>
    <w:uiPriority w:val="0"/>
    <w:pPr>
      <w:keepNext/>
      <w:keepLines/>
    </w:pPr>
    <w:rPr>
      <w:b w:val="0"/>
      <w:bCs w:val="0"/>
      <w:sz w:val="24"/>
      <w:szCs w:val="24"/>
    </w:rPr>
  </w:style>
  <w:style w:type="paragraph" w:styleId="15">
    <w:name w:val="Title"/>
    <w:basedOn w:val="1"/>
    <w:next w:val="3"/>
    <w:link w:val="30"/>
    <w:qFormat/>
    <w:uiPriority w:val="10"/>
    <w:pPr>
      <w:spacing w:after="80"/>
      <w:contextualSpacing/>
      <w:jc w:val="center"/>
    </w:pPr>
    <w:rPr>
      <w:rFonts w:ascii="Segoe Print" w:hAnsi="Segoe Print" w:eastAsiaTheme="majorEastAsia" w:cstheme="majorBidi"/>
      <w:b/>
      <w:bCs/>
      <w:sz w:val="56"/>
      <w:szCs w:val="56"/>
    </w:rPr>
  </w:style>
  <w:style w:type="paragraph" w:styleId="16">
    <w:name w:val="footer"/>
    <w:basedOn w:val="1"/>
    <w:link w:val="58"/>
    <w:qFormat/>
    <w:uiPriority w:val="0"/>
    <w:pPr>
      <w:tabs>
        <w:tab w:val="center" w:pos="4680"/>
        <w:tab w:val="right" w:pos="9360"/>
      </w:tabs>
      <w:spacing w:after="0"/>
    </w:pPr>
  </w:style>
  <w:style w:type="paragraph" w:styleId="17">
    <w:name w:val="header"/>
    <w:basedOn w:val="1"/>
    <w:link w:val="57"/>
    <w:qFormat/>
    <w:uiPriority w:val="0"/>
    <w:pPr>
      <w:tabs>
        <w:tab w:val="center" w:pos="4680"/>
        <w:tab w:val="right" w:pos="9360"/>
      </w:tabs>
      <w:spacing w:after="0"/>
    </w:pPr>
  </w:style>
  <w:style w:type="paragraph" w:styleId="18">
    <w:name w:val="Subtitle"/>
    <w:basedOn w:val="15"/>
    <w:next w:val="3"/>
    <w:link w:val="31"/>
    <w:qFormat/>
    <w:uiPriority w:val="11"/>
    <w:rPr>
      <w:b w:val="0"/>
      <w:bCs w:val="0"/>
      <w:spacing w:val="15"/>
      <w:sz w:val="28"/>
      <w:szCs w:val="28"/>
    </w:rPr>
  </w:style>
  <w:style w:type="paragraph" w:styleId="19">
    <w:name w:val="footnote text"/>
    <w:basedOn w:val="1"/>
    <w:unhideWhenUsed/>
    <w:qFormat/>
    <w:uiPriority w:val="9"/>
  </w:style>
  <w:style w:type="paragraph" w:styleId="2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23">
    <w:name w:val="Strong"/>
    <w:basedOn w:val="22"/>
    <w:qFormat/>
    <w:uiPriority w:val="0"/>
    <w:rPr>
      <w:b/>
    </w:rPr>
  </w:style>
  <w:style w:type="character" w:styleId="24">
    <w:name w:val="Hyperlink"/>
    <w:basedOn w:val="25"/>
    <w:qFormat/>
    <w:uiPriority w:val="0"/>
    <w:rPr>
      <w:color w:val="156082" w:themeColor="accent1"/>
      <w14:textFill>
        <w14:solidFill>
          <w14:schemeClr w14:val="accent1"/>
        </w14:solidFill>
      </w14:textFill>
    </w:rPr>
  </w:style>
  <w:style w:type="character" w:customStyle="1" w:styleId="25">
    <w:name w:val="Caption Char"/>
    <w:basedOn w:val="22"/>
    <w:link w:val="12"/>
    <w:qFormat/>
    <w:uiPriority w:val="0"/>
  </w:style>
  <w:style w:type="character" w:styleId="26">
    <w:name w:val="HTML Code"/>
    <w:basedOn w:val="22"/>
    <w:qFormat/>
    <w:uiPriority w:val="0"/>
    <w:rPr>
      <w:rFonts w:ascii="Courier New" w:hAnsi="Courier New"/>
      <w:sz w:val="20"/>
    </w:rPr>
  </w:style>
  <w:style w:type="character" w:styleId="27">
    <w:name w:val="footnote reference"/>
    <w:basedOn w:val="25"/>
    <w:qFormat/>
    <w:uiPriority w:val="0"/>
    <w:rPr>
      <w:vertAlign w:val="superscript"/>
    </w:rPr>
  </w:style>
  <w:style w:type="paragraph" w:customStyle="1" w:styleId="28">
    <w:name w:val="First Paragraph"/>
    <w:basedOn w:val="3"/>
    <w:next w:val="3"/>
    <w:qFormat/>
    <w:uiPriority w:val="0"/>
  </w:style>
  <w:style w:type="paragraph" w:customStyle="1" w:styleId="29">
    <w:name w:val="Compact"/>
    <w:basedOn w:val="3"/>
    <w:qFormat/>
    <w:uiPriority w:val="0"/>
    <w:pPr>
      <w:spacing w:before="36" w:after="36"/>
    </w:pPr>
  </w:style>
  <w:style w:type="character" w:customStyle="1" w:styleId="30">
    <w:name w:val="Title Char"/>
    <w:basedOn w:val="22"/>
    <w:link w:val="15"/>
    <w:qFormat/>
    <w:uiPriority w:val="10"/>
    <w:rPr>
      <w:rFonts w:ascii="Segoe Print" w:hAnsi="Segoe Print" w:eastAsiaTheme="majorEastAsia" w:cstheme="majorBidi"/>
      <w:b/>
      <w:bCs/>
      <w:sz w:val="56"/>
      <w:szCs w:val="56"/>
    </w:rPr>
  </w:style>
  <w:style w:type="character" w:customStyle="1" w:styleId="31">
    <w:name w:val="Subtitle Char"/>
    <w:basedOn w:val="22"/>
    <w:link w:val="18"/>
    <w:qFormat/>
    <w:uiPriority w:val="11"/>
    <w:rPr>
      <w:rFonts w:ascii="Segoe Print" w:hAnsi="Segoe Print" w:eastAsiaTheme="majorEastAsia" w:cstheme="majorBidi"/>
      <w:spacing w:val="15"/>
      <w:sz w:val="28"/>
      <w:szCs w:val="28"/>
    </w:rPr>
  </w:style>
  <w:style w:type="paragraph" w:customStyle="1" w:styleId="32">
    <w:name w:val="Author"/>
    <w:basedOn w:val="15"/>
    <w:next w:val="3"/>
    <w:qFormat/>
    <w:uiPriority w:val="0"/>
    <w:pPr>
      <w:keepNext/>
      <w:keepLines/>
    </w:pPr>
    <w:rPr>
      <w:b w:val="0"/>
      <w:bCs w:val="0"/>
      <w:sz w:val="24"/>
      <w:szCs w:val="24"/>
    </w:rPr>
  </w:style>
  <w:style w:type="paragraph" w:customStyle="1" w:styleId="33">
    <w:name w:val="Abstract Title"/>
    <w:basedOn w:val="1"/>
    <w:next w:val="34"/>
    <w:qFormat/>
    <w:uiPriority w:val="0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34">
    <w:name w:val="Abstract"/>
    <w:basedOn w:val="1"/>
    <w:next w:val="3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35">
    <w:name w:val="Bibliography"/>
    <w:basedOn w:val="1"/>
    <w:qFormat/>
    <w:uiPriority w:val="0"/>
  </w:style>
  <w:style w:type="character" w:customStyle="1" w:styleId="36">
    <w:name w:val="Heading 1 Char"/>
    <w:basedOn w:val="22"/>
    <w:link w:val="2"/>
    <w:qFormat/>
    <w:uiPriority w:val="9"/>
    <w:rPr>
      <w:rFonts w:ascii="Segoe Print" w:hAnsi="Segoe Print" w:eastAsiaTheme="majorEastAsia" w:cstheme="majorBidi"/>
      <w:b/>
      <w:bCs/>
      <w:color w:val="104862" w:themeColor="accent1" w:themeShade="BF"/>
      <w:sz w:val="40"/>
      <w:szCs w:val="40"/>
    </w:rPr>
  </w:style>
  <w:style w:type="character" w:customStyle="1" w:styleId="37">
    <w:name w:val="Heading 2 Char"/>
    <w:basedOn w:val="22"/>
    <w:link w:val="4"/>
    <w:semiHidden/>
    <w:qFormat/>
    <w:uiPriority w:val="9"/>
    <w:rPr>
      <w:rFonts w:ascii="Segoe Print" w:hAnsi="Segoe Print" w:eastAsiaTheme="majorEastAsia" w:cstheme="majorBidi"/>
      <w:b/>
      <w:bCs/>
      <w:color w:val="104862" w:themeColor="accent1" w:themeShade="BF"/>
      <w:sz w:val="32"/>
      <w:szCs w:val="32"/>
    </w:rPr>
  </w:style>
  <w:style w:type="character" w:customStyle="1" w:styleId="38">
    <w:name w:val="Heading 3 Char"/>
    <w:basedOn w:val="22"/>
    <w:link w:val="5"/>
    <w:semiHidden/>
    <w:qFormat/>
    <w:uiPriority w:val="9"/>
    <w:rPr>
      <w:rFonts w:eastAsiaTheme="majorEastAsia" w:cstheme="majorBidi"/>
      <w:b/>
      <w:bCs/>
      <w:color w:val="104862" w:themeColor="accent1" w:themeShade="BF"/>
      <w:sz w:val="28"/>
      <w:szCs w:val="28"/>
    </w:rPr>
  </w:style>
  <w:style w:type="character" w:customStyle="1" w:styleId="39">
    <w:name w:val="Heading 4 Char"/>
    <w:basedOn w:val="22"/>
    <w:link w:val="6"/>
    <w:semiHidden/>
    <w:qFormat/>
    <w:uiPriority w:val="9"/>
    <w:rPr>
      <w:rFonts w:eastAsiaTheme="majorEastAsia" w:cstheme="majorBidi"/>
      <w:b/>
      <w:bCs/>
      <w:i/>
      <w:iCs/>
      <w:color w:val="104862" w:themeColor="accent1" w:themeShade="BF"/>
    </w:rPr>
  </w:style>
  <w:style w:type="character" w:customStyle="1" w:styleId="40">
    <w:name w:val="Heading 5 Char"/>
    <w:basedOn w:val="22"/>
    <w:link w:val="7"/>
    <w:semiHidden/>
    <w:qFormat/>
    <w:uiPriority w:val="9"/>
    <w:rPr>
      <w:rFonts w:eastAsiaTheme="majorEastAsia" w:cstheme="majorBidi"/>
      <w:b/>
      <w:bCs/>
      <w:color w:val="104862" w:themeColor="accent1" w:themeShade="BF"/>
    </w:rPr>
  </w:style>
  <w:style w:type="character" w:customStyle="1" w:styleId="41">
    <w:name w:val="Heading 6 Char"/>
    <w:basedOn w:val="22"/>
    <w:link w:val="8"/>
    <w:semiHidden/>
    <w:qFormat/>
    <w:uiPriority w:val="9"/>
    <w:rPr>
      <w:rFonts w:eastAsiaTheme="majorEastAsia" w:cstheme="majorBidi"/>
      <w:b/>
      <w:bCs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2">
    <w:name w:val="Heading 7 Char"/>
    <w:basedOn w:val="22"/>
    <w:link w:val="9"/>
    <w:semiHidden/>
    <w:qFormat/>
    <w:uiPriority w:val="9"/>
    <w:rPr>
      <w:rFonts w:eastAsiaTheme="maj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3">
    <w:name w:val="Heading 8 Char"/>
    <w:basedOn w:val="22"/>
    <w:link w:val="10"/>
    <w:semiHidden/>
    <w:qFormat/>
    <w:uiPriority w:val="9"/>
    <w:rPr>
      <w:rFonts w:eastAsiaTheme="majorEastAsia" w:cstheme="majorBidi"/>
      <w:b/>
      <w:bCs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44">
    <w:name w:val="Heading 9 Char"/>
    <w:basedOn w:val="22"/>
    <w:link w:val="11"/>
    <w:semiHidden/>
    <w:qFormat/>
    <w:uiPriority w:val="9"/>
    <w:rPr>
      <w:rFonts w:eastAsiaTheme="majorEastAsia" w:cstheme="majorBidi"/>
      <w:b/>
      <w:b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customStyle="1" w:styleId="45">
    <w:name w:val="Footnote Block Text"/>
    <w:basedOn w:val="19"/>
    <w:next w:val="19"/>
    <w:unhideWhenUsed/>
    <w:qFormat/>
    <w:uiPriority w:val="9"/>
    <w:pPr>
      <w:spacing w:before="100" w:after="100"/>
      <w:ind w:left="480" w:right="480"/>
    </w:pPr>
  </w:style>
  <w:style w:type="table" w:customStyle="1" w:styleId="46">
    <w:name w:val="Table"/>
    <w:semiHidden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47">
    <w:name w:val="Definition Term"/>
    <w:basedOn w:val="1"/>
    <w:next w:val="48"/>
    <w:qFormat/>
    <w:uiPriority w:val="0"/>
    <w:pPr>
      <w:keepNext/>
      <w:keepLines/>
      <w:spacing w:after="0"/>
    </w:pPr>
    <w:rPr>
      <w:b/>
    </w:rPr>
  </w:style>
  <w:style w:type="paragraph" w:customStyle="1" w:styleId="48">
    <w:name w:val="Definition"/>
    <w:basedOn w:val="1"/>
    <w:qFormat/>
    <w:uiPriority w:val="0"/>
  </w:style>
  <w:style w:type="paragraph" w:customStyle="1" w:styleId="49">
    <w:name w:val="Table Caption"/>
    <w:basedOn w:val="12"/>
    <w:qFormat/>
    <w:uiPriority w:val="0"/>
    <w:pPr>
      <w:keepNext/>
    </w:pPr>
  </w:style>
  <w:style w:type="paragraph" w:customStyle="1" w:styleId="50">
    <w:name w:val="Image Caption"/>
    <w:basedOn w:val="12"/>
    <w:qFormat/>
    <w:uiPriority w:val="0"/>
  </w:style>
  <w:style w:type="paragraph" w:customStyle="1" w:styleId="51">
    <w:name w:val="Figure"/>
    <w:basedOn w:val="1"/>
    <w:qFormat/>
    <w:uiPriority w:val="0"/>
  </w:style>
  <w:style w:type="paragraph" w:customStyle="1" w:styleId="52">
    <w:name w:val="Captioned Figure"/>
    <w:basedOn w:val="51"/>
    <w:qFormat/>
    <w:uiPriority w:val="0"/>
    <w:pPr>
      <w:keepNext/>
    </w:pPr>
  </w:style>
  <w:style w:type="character" w:customStyle="1" w:styleId="53">
    <w:name w:val="Verbatim Char"/>
    <w:basedOn w:val="25"/>
    <w:link w:val="54"/>
    <w:qFormat/>
    <w:uiPriority w:val="0"/>
    <w:rPr>
      <w:rFonts w:ascii="Consolas" w:hAnsi="Consolas"/>
      <w:sz w:val="22"/>
    </w:rPr>
  </w:style>
  <w:style w:type="paragraph" w:customStyle="1" w:styleId="54">
    <w:name w:val="Source Code"/>
    <w:basedOn w:val="1"/>
    <w:link w:val="53"/>
    <w:qFormat/>
    <w:uiPriority w:val="0"/>
    <w:pPr>
      <w:wordWrap w:val="0"/>
    </w:pPr>
  </w:style>
  <w:style w:type="character" w:customStyle="1" w:styleId="55">
    <w:name w:val="Section Number"/>
    <w:basedOn w:val="25"/>
    <w:qFormat/>
    <w:uiPriority w:val="0"/>
  </w:style>
  <w:style w:type="paragraph" w:customStyle="1" w:styleId="56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</w:style>
  <w:style w:type="character" w:customStyle="1" w:styleId="57">
    <w:name w:val="Header Char"/>
    <w:basedOn w:val="22"/>
    <w:link w:val="17"/>
    <w:qFormat/>
    <w:uiPriority w:val="0"/>
  </w:style>
  <w:style w:type="character" w:customStyle="1" w:styleId="58">
    <w:name w:val="Footer Char"/>
    <w:basedOn w:val="22"/>
    <w:link w:val="16"/>
    <w:qFormat/>
    <w:uiPriority w:val="0"/>
  </w:style>
  <w:style w:type="character" w:customStyle="1" w:styleId="59">
    <w:name w:val="KeywordTok"/>
    <w:basedOn w:val="53"/>
    <w:qFormat/>
    <w:uiPriority w:val="0"/>
    <w:rPr>
      <w:b/>
      <w:color w:val="007020"/>
    </w:rPr>
  </w:style>
  <w:style w:type="character" w:customStyle="1" w:styleId="60">
    <w:name w:val="DataTypeTok"/>
    <w:basedOn w:val="53"/>
    <w:qFormat/>
    <w:uiPriority w:val="0"/>
    <w:rPr>
      <w:color w:val="902000"/>
    </w:rPr>
  </w:style>
  <w:style w:type="character" w:customStyle="1" w:styleId="61">
    <w:name w:val="DecValTok"/>
    <w:basedOn w:val="53"/>
    <w:qFormat/>
    <w:uiPriority w:val="0"/>
    <w:rPr>
      <w:color w:val="40A070"/>
    </w:rPr>
  </w:style>
  <w:style w:type="character" w:customStyle="1" w:styleId="62">
    <w:name w:val="BaseNTok"/>
    <w:basedOn w:val="53"/>
    <w:qFormat/>
    <w:uiPriority w:val="0"/>
    <w:rPr>
      <w:color w:val="40A070"/>
    </w:rPr>
  </w:style>
  <w:style w:type="character" w:customStyle="1" w:styleId="63">
    <w:name w:val="FloatTok"/>
    <w:basedOn w:val="53"/>
    <w:qFormat/>
    <w:uiPriority w:val="0"/>
    <w:rPr>
      <w:color w:val="40A070"/>
    </w:rPr>
  </w:style>
  <w:style w:type="character" w:customStyle="1" w:styleId="64">
    <w:name w:val="ConstantTok"/>
    <w:basedOn w:val="53"/>
    <w:qFormat/>
    <w:uiPriority w:val="0"/>
    <w:rPr>
      <w:color w:val="880000"/>
    </w:rPr>
  </w:style>
  <w:style w:type="character" w:customStyle="1" w:styleId="65">
    <w:name w:val="CharTok"/>
    <w:basedOn w:val="53"/>
    <w:qFormat/>
    <w:uiPriority w:val="0"/>
    <w:rPr>
      <w:color w:val="4070A0"/>
    </w:rPr>
  </w:style>
  <w:style w:type="character" w:customStyle="1" w:styleId="66">
    <w:name w:val="SpecialCharTok"/>
    <w:basedOn w:val="53"/>
    <w:qFormat/>
    <w:uiPriority w:val="0"/>
    <w:rPr>
      <w:color w:val="4070A0"/>
    </w:rPr>
  </w:style>
  <w:style w:type="character" w:customStyle="1" w:styleId="67">
    <w:name w:val="StringTok"/>
    <w:basedOn w:val="53"/>
    <w:qFormat/>
    <w:uiPriority w:val="0"/>
    <w:rPr>
      <w:color w:val="4070A0"/>
    </w:rPr>
  </w:style>
  <w:style w:type="character" w:customStyle="1" w:styleId="68">
    <w:name w:val="VerbatimStringTok"/>
    <w:basedOn w:val="53"/>
    <w:qFormat/>
    <w:uiPriority w:val="0"/>
    <w:rPr>
      <w:color w:val="4070A0"/>
    </w:rPr>
  </w:style>
  <w:style w:type="character" w:customStyle="1" w:styleId="69">
    <w:name w:val="SpecialStringTok"/>
    <w:basedOn w:val="53"/>
    <w:qFormat/>
    <w:uiPriority w:val="0"/>
    <w:rPr>
      <w:color w:val="BB6688"/>
    </w:rPr>
  </w:style>
  <w:style w:type="character" w:customStyle="1" w:styleId="70">
    <w:name w:val="ImportTok"/>
    <w:basedOn w:val="53"/>
    <w:qFormat/>
    <w:uiPriority w:val="0"/>
    <w:rPr>
      <w:b/>
      <w:color w:val="008000"/>
    </w:rPr>
  </w:style>
  <w:style w:type="character" w:customStyle="1" w:styleId="71">
    <w:name w:val="CommentTok"/>
    <w:basedOn w:val="53"/>
    <w:qFormat/>
    <w:uiPriority w:val="0"/>
    <w:rPr>
      <w:i/>
      <w:color w:val="60A0B0"/>
    </w:rPr>
  </w:style>
  <w:style w:type="character" w:customStyle="1" w:styleId="72">
    <w:name w:val="DocumentationTok"/>
    <w:basedOn w:val="53"/>
    <w:qFormat/>
    <w:uiPriority w:val="0"/>
    <w:rPr>
      <w:i/>
      <w:color w:val="BA2121"/>
    </w:rPr>
  </w:style>
  <w:style w:type="character" w:customStyle="1" w:styleId="73">
    <w:name w:val="AnnotationTok"/>
    <w:basedOn w:val="53"/>
    <w:qFormat/>
    <w:uiPriority w:val="0"/>
    <w:rPr>
      <w:b/>
      <w:i/>
      <w:color w:val="60A0B0"/>
    </w:rPr>
  </w:style>
  <w:style w:type="character" w:customStyle="1" w:styleId="74">
    <w:name w:val="CommentVarTok"/>
    <w:basedOn w:val="53"/>
    <w:qFormat/>
    <w:uiPriority w:val="0"/>
    <w:rPr>
      <w:b/>
      <w:i/>
      <w:color w:val="60A0B0"/>
    </w:rPr>
  </w:style>
  <w:style w:type="character" w:customStyle="1" w:styleId="75">
    <w:name w:val="OtherTok"/>
    <w:basedOn w:val="53"/>
    <w:qFormat/>
    <w:uiPriority w:val="0"/>
    <w:rPr>
      <w:color w:val="007020"/>
    </w:rPr>
  </w:style>
  <w:style w:type="character" w:customStyle="1" w:styleId="76">
    <w:name w:val="FunctionTok"/>
    <w:basedOn w:val="53"/>
    <w:qFormat/>
    <w:uiPriority w:val="0"/>
    <w:rPr>
      <w:color w:val="06287E"/>
    </w:rPr>
  </w:style>
  <w:style w:type="character" w:customStyle="1" w:styleId="77">
    <w:name w:val="VariableTok"/>
    <w:basedOn w:val="53"/>
    <w:qFormat/>
    <w:uiPriority w:val="0"/>
    <w:rPr>
      <w:color w:val="19177C"/>
    </w:rPr>
  </w:style>
  <w:style w:type="character" w:customStyle="1" w:styleId="78">
    <w:name w:val="ControlFlowTok"/>
    <w:basedOn w:val="53"/>
    <w:qFormat/>
    <w:uiPriority w:val="0"/>
    <w:rPr>
      <w:b/>
      <w:color w:val="007020"/>
    </w:rPr>
  </w:style>
  <w:style w:type="character" w:customStyle="1" w:styleId="79">
    <w:name w:val="OperatorTok"/>
    <w:basedOn w:val="53"/>
    <w:qFormat/>
    <w:uiPriority w:val="0"/>
    <w:rPr>
      <w:color w:val="666666"/>
    </w:rPr>
  </w:style>
  <w:style w:type="character" w:customStyle="1" w:styleId="80">
    <w:name w:val="BuiltInTok"/>
    <w:basedOn w:val="53"/>
    <w:qFormat/>
    <w:uiPriority w:val="0"/>
    <w:rPr>
      <w:color w:val="008000"/>
    </w:rPr>
  </w:style>
  <w:style w:type="character" w:customStyle="1" w:styleId="81">
    <w:name w:val="ExtensionTok"/>
    <w:basedOn w:val="53"/>
    <w:qFormat/>
    <w:uiPriority w:val="0"/>
  </w:style>
  <w:style w:type="character" w:customStyle="1" w:styleId="82">
    <w:name w:val="PreprocessorTok"/>
    <w:basedOn w:val="53"/>
    <w:qFormat/>
    <w:uiPriority w:val="0"/>
    <w:rPr>
      <w:color w:val="BC7A00"/>
    </w:rPr>
  </w:style>
  <w:style w:type="character" w:customStyle="1" w:styleId="83">
    <w:name w:val="AttributeTok"/>
    <w:basedOn w:val="53"/>
    <w:qFormat/>
    <w:uiPriority w:val="0"/>
    <w:rPr>
      <w:color w:val="7D9029"/>
    </w:rPr>
  </w:style>
  <w:style w:type="character" w:customStyle="1" w:styleId="84">
    <w:name w:val="RegionMarkerTok"/>
    <w:basedOn w:val="53"/>
    <w:qFormat/>
    <w:uiPriority w:val="0"/>
  </w:style>
  <w:style w:type="character" w:customStyle="1" w:styleId="85">
    <w:name w:val="InformationTok"/>
    <w:basedOn w:val="53"/>
    <w:qFormat/>
    <w:uiPriority w:val="0"/>
    <w:rPr>
      <w:b/>
      <w:i/>
      <w:color w:val="60A0B0"/>
    </w:rPr>
  </w:style>
  <w:style w:type="character" w:customStyle="1" w:styleId="86">
    <w:name w:val="WarningTok"/>
    <w:basedOn w:val="53"/>
    <w:qFormat/>
    <w:uiPriority w:val="0"/>
    <w:rPr>
      <w:b/>
      <w:i/>
      <w:color w:val="60A0B0"/>
    </w:rPr>
  </w:style>
  <w:style w:type="character" w:customStyle="1" w:styleId="87">
    <w:name w:val="AlertTok"/>
    <w:basedOn w:val="53"/>
    <w:qFormat/>
    <w:uiPriority w:val="0"/>
    <w:rPr>
      <w:b/>
      <w:color w:val="FF0000"/>
    </w:rPr>
  </w:style>
  <w:style w:type="character" w:customStyle="1" w:styleId="88">
    <w:name w:val="ErrorTok"/>
    <w:basedOn w:val="53"/>
    <w:qFormat/>
    <w:uiPriority w:val="0"/>
    <w:rPr>
      <w:b/>
      <w:color w:val="FF0000"/>
    </w:rPr>
  </w:style>
  <w:style w:type="character" w:customStyle="1" w:styleId="89">
    <w:name w:val="NormalTok"/>
    <w:basedOn w:val="5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2747</Words>
  <Characters>14876</Characters>
  <Lines>2</Lines>
  <Paragraphs>1</Paragraphs>
  <TotalTime>10</TotalTime>
  <ScaleCrop>false</ScaleCrop>
  <LinksUpToDate>false</LinksUpToDate>
  <CharactersWithSpaces>16663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2026-03-02T15:06:00Z</dcterms:created>
  <dc:creator>Ryan</dc:creator>
  <cp:lastModifiedBy>Ryan</cp:lastModifiedBy>
  <dcterms:modified xsi:type="dcterms:W3CDTF">2026-04-28T08:54:48Z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2026-03-02</vt:lpwstr>
  </property>
  <property fmtid="{D5CDD505-2E9C-101B-9397-08002B2CF9AE}" pid="3" name="KSOTemplateDocerSaveRecord">
    <vt:lpwstr>eyJoZGlkIjoiN2E1YzhiMDYzNDE1MDU4Y2Q4NzI2MzNhYTAwYzU4ODMiLCJ1c2VySWQiOiI3MDYyMjkwMjMifQ==</vt:lpwstr>
  </property>
  <property fmtid="{D5CDD505-2E9C-101B-9397-08002B2CF9AE}" pid="4" name="KSOProductBuildVer">
    <vt:lpwstr>2052-12.1.0.25860</vt:lpwstr>
  </property>
  <property fmtid="{D5CDD505-2E9C-101B-9397-08002B2CF9AE}" pid="5" name="ICV">
    <vt:lpwstr>2E09824EE22848919711E297C3BD1DE4_13</vt:lpwstr>
  </property>
</Properties>
</file>