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38D2" w14:textId="0B206263" w:rsidR="009E4317" w:rsidRPr="000400DB" w:rsidRDefault="00734A62" w:rsidP="00B154D3">
      <w:pPr>
        <w:jc w:val="both"/>
        <w:rPr>
          <w:rFonts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4AE2815" wp14:editId="541AD51F">
            <wp:extent cx="5943600" cy="7859285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3"/>
                    <a:stretch/>
                  </pic:blipFill>
                  <pic:spPr bwMode="auto">
                    <a:xfrm>
                      <a:off x="0" y="0"/>
                      <a:ext cx="5943600" cy="785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F45AC" w14:textId="66E78F2A" w:rsidR="001243CF" w:rsidRPr="000400DB" w:rsidRDefault="00CC4357" w:rsidP="00CC4357">
      <w:pPr>
        <w:jc w:val="both"/>
        <w:rPr>
          <w:rFonts w:cstheme="minorHAnsi"/>
          <w:sz w:val="20"/>
          <w:szCs w:val="20"/>
        </w:rPr>
      </w:pPr>
      <w:r w:rsidRPr="00CC4357">
        <w:rPr>
          <w:rFonts w:cstheme="minorHAnsi"/>
          <w:b/>
          <w:bCs/>
          <w:sz w:val="20"/>
          <w:szCs w:val="20"/>
        </w:rPr>
        <w:lastRenderedPageBreak/>
        <w:t xml:space="preserve">Supplementary Figure 1. Gene expression analyses in the left central amygdala, left parabrachial nucleus, and additional targets in the right central amygdala and right parabrachial nucleus after </w:t>
      </w:r>
      <w:proofErr w:type="spellStart"/>
      <w:r w:rsidRPr="00CC4357">
        <w:rPr>
          <w:rFonts w:cstheme="minorHAnsi"/>
          <w:b/>
          <w:bCs/>
          <w:sz w:val="20"/>
          <w:szCs w:val="20"/>
        </w:rPr>
        <w:t>supradural</w:t>
      </w:r>
      <w:proofErr w:type="spellEnd"/>
      <w:r w:rsidRPr="00CC4357">
        <w:rPr>
          <w:rFonts w:cstheme="minorHAnsi"/>
          <w:b/>
          <w:bCs/>
          <w:sz w:val="20"/>
          <w:szCs w:val="20"/>
        </w:rPr>
        <w:t xml:space="preserve"> CGRP. </w:t>
      </w:r>
      <w:r w:rsidRPr="00CC4357">
        <w:rPr>
          <w:rFonts w:cstheme="minorHAnsi"/>
          <w:sz w:val="20"/>
          <w:szCs w:val="20"/>
        </w:rPr>
        <w:t>(</w:t>
      </w:r>
      <w:r w:rsidRPr="00CC4357">
        <w:rPr>
          <w:rFonts w:cstheme="minorHAnsi"/>
          <w:b/>
          <w:bCs/>
          <w:sz w:val="20"/>
          <w:szCs w:val="20"/>
        </w:rPr>
        <w:t>A-B</w:t>
      </w:r>
      <w:r w:rsidRPr="00CC4357">
        <w:rPr>
          <w:rFonts w:cstheme="minorHAnsi"/>
          <w:sz w:val="20"/>
          <w:szCs w:val="20"/>
        </w:rPr>
        <w:t>) Relative mRNA expression in the right central amygdala (</w:t>
      </w:r>
      <w:proofErr w:type="spellStart"/>
      <w:r w:rsidRPr="00CC4357">
        <w:rPr>
          <w:rFonts w:cstheme="minorHAnsi"/>
          <w:sz w:val="20"/>
          <w:szCs w:val="20"/>
        </w:rPr>
        <w:t>CeA</w:t>
      </w:r>
      <w:proofErr w:type="spellEnd"/>
      <w:r w:rsidRPr="00CC4357">
        <w:rPr>
          <w:rFonts w:cstheme="minorHAnsi"/>
          <w:sz w:val="20"/>
          <w:szCs w:val="20"/>
        </w:rPr>
        <w:t>) for genes that were not significantly altered under the present conditions. (</w:t>
      </w:r>
      <w:r w:rsidRPr="00CC4357">
        <w:rPr>
          <w:rFonts w:cstheme="minorHAnsi"/>
          <w:b/>
          <w:bCs/>
          <w:sz w:val="20"/>
          <w:szCs w:val="20"/>
        </w:rPr>
        <w:t>A</w:t>
      </w:r>
      <w:r w:rsidRPr="00CC4357">
        <w:rPr>
          <w:rFonts w:cstheme="minorHAnsi"/>
          <w:sz w:val="20"/>
          <w:szCs w:val="20"/>
        </w:rPr>
        <w:t xml:space="preserve">) </w:t>
      </w:r>
      <w:proofErr w:type="spellStart"/>
      <w:r w:rsidRPr="00CC4357">
        <w:rPr>
          <w:rFonts w:cstheme="minorHAnsi"/>
          <w:i/>
          <w:iCs/>
          <w:sz w:val="20"/>
          <w:szCs w:val="20"/>
        </w:rPr>
        <w:t>Calcrl</w:t>
      </w:r>
      <w:proofErr w:type="spellEnd"/>
      <w:r w:rsidRPr="00CC4357">
        <w:rPr>
          <w:rFonts w:cstheme="minorHAnsi"/>
          <w:sz w:val="20"/>
          <w:szCs w:val="20"/>
        </w:rPr>
        <w:t xml:space="preserve"> and (</w:t>
      </w:r>
      <w:r w:rsidRPr="00CC4357">
        <w:rPr>
          <w:rFonts w:cstheme="minorHAnsi"/>
          <w:b/>
          <w:bCs/>
          <w:sz w:val="20"/>
          <w:szCs w:val="20"/>
        </w:rPr>
        <w:t>B</w:t>
      </w:r>
      <w:r w:rsidRPr="00CC4357">
        <w:rPr>
          <w:rFonts w:cstheme="minorHAnsi"/>
          <w:sz w:val="20"/>
          <w:szCs w:val="20"/>
        </w:rPr>
        <w:t xml:space="preserve">) </w:t>
      </w:r>
      <w:proofErr w:type="spellStart"/>
      <w:r w:rsidRPr="00CC4357">
        <w:rPr>
          <w:rFonts w:cstheme="minorHAnsi"/>
          <w:i/>
          <w:iCs/>
          <w:sz w:val="20"/>
          <w:szCs w:val="20"/>
        </w:rPr>
        <w:t>Tnf</w:t>
      </w:r>
      <w:proofErr w:type="spellEnd"/>
      <w:r w:rsidRPr="00CC4357">
        <w:rPr>
          <w:rFonts w:cstheme="minorHAnsi"/>
          <w:sz w:val="20"/>
          <w:szCs w:val="20"/>
        </w:rPr>
        <w:t>. (</w:t>
      </w:r>
      <w:r w:rsidRPr="00CC4357">
        <w:rPr>
          <w:rFonts w:cstheme="minorHAnsi"/>
          <w:b/>
          <w:bCs/>
          <w:sz w:val="20"/>
          <w:szCs w:val="20"/>
        </w:rPr>
        <w:t>C-E</w:t>
      </w:r>
      <w:r w:rsidRPr="00CC4357">
        <w:rPr>
          <w:rFonts w:cstheme="minorHAnsi"/>
          <w:sz w:val="20"/>
          <w:szCs w:val="20"/>
        </w:rPr>
        <w:t>) Relative mRNA expression in the right parabrachial nucleus (PBN) for genes not included in the main figure. (</w:t>
      </w:r>
      <w:r w:rsidRPr="00CC4357">
        <w:rPr>
          <w:rFonts w:cstheme="minorHAnsi"/>
          <w:b/>
          <w:bCs/>
          <w:sz w:val="20"/>
          <w:szCs w:val="20"/>
        </w:rPr>
        <w:t>C</w:t>
      </w:r>
      <w:r w:rsidRPr="00CC4357">
        <w:rPr>
          <w:rFonts w:cstheme="minorHAnsi"/>
          <w:sz w:val="20"/>
          <w:szCs w:val="20"/>
        </w:rPr>
        <w:t xml:space="preserve">) </w:t>
      </w:r>
      <w:r w:rsidRPr="00CC4357">
        <w:rPr>
          <w:rFonts w:cstheme="minorHAnsi"/>
          <w:i/>
          <w:iCs/>
          <w:sz w:val="20"/>
          <w:szCs w:val="20"/>
        </w:rPr>
        <w:t>Calca</w:t>
      </w:r>
      <w:r w:rsidRPr="00CC4357">
        <w:rPr>
          <w:rFonts w:cstheme="minorHAnsi"/>
          <w:sz w:val="20"/>
          <w:szCs w:val="20"/>
        </w:rPr>
        <w:t>, (</w:t>
      </w:r>
      <w:r w:rsidRPr="00CC4357">
        <w:rPr>
          <w:rFonts w:cstheme="minorHAnsi"/>
          <w:b/>
          <w:bCs/>
          <w:sz w:val="20"/>
          <w:szCs w:val="20"/>
        </w:rPr>
        <w:t>D</w:t>
      </w:r>
      <w:r w:rsidRPr="00CC4357">
        <w:rPr>
          <w:rFonts w:cstheme="minorHAnsi"/>
          <w:sz w:val="20"/>
          <w:szCs w:val="20"/>
        </w:rPr>
        <w:t xml:space="preserve">) </w:t>
      </w:r>
      <w:proofErr w:type="spellStart"/>
      <w:r w:rsidRPr="00CC4357">
        <w:rPr>
          <w:rFonts w:cstheme="minorHAnsi"/>
          <w:i/>
          <w:iCs/>
          <w:sz w:val="20"/>
          <w:szCs w:val="20"/>
        </w:rPr>
        <w:t>Tnf</w:t>
      </w:r>
      <w:proofErr w:type="spellEnd"/>
      <w:r w:rsidRPr="00CC4357">
        <w:rPr>
          <w:rFonts w:cstheme="minorHAnsi"/>
          <w:sz w:val="20"/>
          <w:szCs w:val="20"/>
        </w:rPr>
        <w:t>, and (</w:t>
      </w:r>
      <w:r w:rsidRPr="00CC4357">
        <w:rPr>
          <w:rFonts w:cstheme="minorHAnsi"/>
          <w:b/>
          <w:bCs/>
          <w:sz w:val="20"/>
          <w:szCs w:val="20"/>
        </w:rPr>
        <w:t>E</w:t>
      </w:r>
      <w:r w:rsidRPr="00CC4357">
        <w:rPr>
          <w:rFonts w:cstheme="minorHAnsi"/>
          <w:sz w:val="20"/>
          <w:szCs w:val="20"/>
        </w:rPr>
        <w:t xml:space="preserve">) </w:t>
      </w:r>
      <w:proofErr w:type="spellStart"/>
      <w:r w:rsidRPr="00CC4357">
        <w:rPr>
          <w:rFonts w:cstheme="minorHAnsi"/>
          <w:i/>
          <w:iCs/>
          <w:sz w:val="20"/>
          <w:szCs w:val="20"/>
        </w:rPr>
        <w:t>Crcp</w:t>
      </w:r>
      <w:proofErr w:type="spellEnd"/>
      <w:r w:rsidRPr="00CC4357">
        <w:rPr>
          <w:rFonts w:cstheme="minorHAnsi"/>
          <w:sz w:val="20"/>
          <w:szCs w:val="20"/>
        </w:rPr>
        <w:t xml:space="preserve">. For </w:t>
      </w:r>
      <w:r w:rsidRPr="00CC4357">
        <w:rPr>
          <w:rFonts w:cstheme="minorHAnsi"/>
          <w:i/>
          <w:iCs/>
          <w:sz w:val="20"/>
          <w:szCs w:val="20"/>
        </w:rPr>
        <w:t>Calca</w:t>
      </w:r>
      <w:r w:rsidRPr="00CC4357">
        <w:rPr>
          <w:rFonts w:cstheme="minorHAnsi"/>
          <w:sz w:val="20"/>
          <w:szCs w:val="20"/>
        </w:rPr>
        <w:t xml:space="preserve"> (</w:t>
      </w:r>
      <w:r w:rsidRPr="00CC4357">
        <w:rPr>
          <w:rFonts w:cstheme="minorHAnsi"/>
          <w:b/>
          <w:bCs/>
          <w:sz w:val="20"/>
          <w:szCs w:val="20"/>
        </w:rPr>
        <w:t>C</w:t>
      </w:r>
      <w:r w:rsidRPr="007F515E">
        <w:rPr>
          <w:rFonts w:cstheme="minorHAnsi"/>
          <w:sz w:val="20"/>
          <w:szCs w:val="20"/>
        </w:rPr>
        <w:t xml:space="preserve">), two-way ANOVA showed a significant main effect of sex, </w:t>
      </w:r>
      <w:r w:rsidRPr="007F515E">
        <w:rPr>
          <w:rFonts w:cstheme="minorHAnsi"/>
          <w:i/>
          <w:iCs/>
          <w:sz w:val="20"/>
          <w:szCs w:val="20"/>
        </w:rPr>
        <w:t>F</w:t>
      </w:r>
      <w:r w:rsidRPr="007F515E">
        <w:rPr>
          <w:rFonts w:cstheme="minorHAnsi"/>
          <w:sz w:val="20"/>
          <w:szCs w:val="20"/>
        </w:rPr>
        <w:t xml:space="preserve">(1,18) = 22.33, </w:t>
      </w:r>
      <w:r w:rsidRPr="007F515E">
        <w:rPr>
          <w:rFonts w:cstheme="minorHAnsi"/>
          <w:i/>
          <w:iCs/>
          <w:sz w:val="20"/>
          <w:szCs w:val="20"/>
        </w:rPr>
        <w:t>p</w:t>
      </w:r>
      <w:r w:rsidRPr="007F515E">
        <w:rPr>
          <w:rFonts w:cstheme="minorHAnsi"/>
          <w:sz w:val="20"/>
          <w:szCs w:val="20"/>
        </w:rPr>
        <w:t xml:space="preserve"> = 0.0002, with lower expression in females than males across treatment conditions. Post hoc Tukey’s multiple-comparisons test detected significant differences between male vehicle vs female vehicle (</w:t>
      </w:r>
      <w:r w:rsidRPr="007F515E">
        <w:rPr>
          <w:rFonts w:cstheme="minorHAnsi"/>
          <w:i/>
          <w:iCs/>
          <w:sz w:val="20"/>
          <w:szCs w:val="20"/>
        </w:rPr>
        <w:t>p</w:t>
      </w:r>
      <w:r w:rsidRPr="007F515E">
        <w:rPr>
          <w:rFonts w:cstheme="minorHAnsi"/>
          <w:sz w:val="20"/>
          <w:szCs w:val="20"/>
        </w:rPr>
        <w:t xml:space="preserve"> = 0.018), male vehicle vs female CGRP (</w:t>
      </w:r>
      <w:r w:rsidRPr="007F515E">
        <w:rPr>
          <w:rFonts w:cstheme="minorHAnsi"/>
          <w:i/>
          <w:iCs/>
          <w:sz w:val="20"/>
          <w:szCs w:val="20"/>
        </w:rPr>
        <w:t>p</w:t>
      </w:r>
      <w:r w:rsidRPr="007F515E">
        <w:rPr>
          <w:rFonts w:cstheme="minorHAnsi"/>
          <w:sz w:val="20"/>
          <w:szCs w:val="20"/>
        </w:rPr>
        <w:t xml:space="preserve"> = 0.0468), male CGRP vs female vehicle (</w:t>
      </w:r>
      <w:r w:rsidRPr="007F515E">
        <w:rPr>
          <w:rFonts w:cstheme="minorHAnsi"/>
          <w:i/>
          <w:iCs/>
          <w:sz w:val="20"/>
          <w:szCs w:val="20"/>
        </w:rPr>
        <w:t>p</w:t>
      </w:r>
      <w:r w:rsidRPr="007F515E">
        <w:rPr>
          <w:rFonts w:cstheme="minorHAnsi"/>
          <w:sz w:val="20"/>
          <w:szCs w:val="20"/>
        </w:rPr>
        <w:t xml:space="preserve"> = 0.0062), and male CGRP vs female CGRP (</w:t>
      </w:r>
      <w:r w:rsidRPr="007F515E">
        <w:rPr>
          <w:rFonts w:cstheme="minorHAnsi"/>
          <w:i/>
          <w:iCs/>
          <w:sz w:val="20"/>
          <w:szCs w:val="20"/>
        </w:rPr>
        <w:t>p</w:t>
      </w:r>
      <w:r w:rsidRPr="007F515E">
        <w:rPr>
          <w:rFonts w:cstheme="minorHAnsi"/>
          <w:sz w:val="20"/>
          <w:szCs w:val="20"/>
        </w:rPr>
        <w:t xml:space="preserve"> = 0.0166). No significant differences were observed for </w:t>
      </w:r>
      <w:proofErr w:type="spellStart"/>
      <w:r w:rsidRPr="007F515E">
        <w:rPr>
          <w:rFonts w:cstheme="minorHAnsi"/>
          <w:i/>
          <w:iCs/>
          <w:sz w:val="20"/>
          <w:szCs w:val="20"/>
        </w:rPr>
        <w:t>Tnf</w:t>
      </w:r>
      <w:proofErr w:type="spellEnd"/>
      <w:r w:rsidRPr="007F515E">
        <w:rPr>
          <w:rFonts w:cstheme="minorHAnsi"/>
          <w:sz w:val="20"/>
          <w:szCs w:val="20"/>
        </w:rPr>
        <w:t xml:space="preserve"> (</w:t>
      </w:r>
      <w:r w:rsidRPr="007F515E">
        <w:rPr>
          <w:rFonts w:cstheme="minorHAnsi"/>
          <w:b/>
          <w:bCs/>
          <w:sz w:val="20"/>
          <w:szCs w:val="20"/>
        </w:rPr>
        <w:t>D</w:t>
      </w:r>
      <w:r w:rsidRPr="007F515E">
        <w:rPr>
          <w:rFonts w:cstheme="minorHAnsi"/>
          <w:sz w:val="20"/>
          <w:szCs w:val="20"/>
        </w:rPr>
        <w:t xml:space="preserve">) or </w:t>
      </w:r>
      <w:proofErr w:type="spellStart"/>
      <w:r w:rsidRPr="007F515E">
        <w:rPr>
          <w:rFonts w:cstheme="minorHAnsi"/>
          <w:i/>
          <w:iCs/>
          <w:sz w:val="20"/>
          <w:szCs w:val="20"/>
        </w:rPr>
        <w:t>Crcp</w:t>
      </w:r>
      <w:proofErr w:type="spellEnd"/>
      <w:r w:rsidRPr="007F515E">
        <w:rPr>
          <w:rFonts w:cstheme="minorHAnsi"/>
          <w:sz w:val="20"/>
          <w:szCs w:val="20"/>
        </w:rPr>
        <w:t xml:space="preserve"> (</w:t>
      </w:r>
      <w:r w:rsidRPr="007F515E">
        <w:rPr>
          <w:rFonts w:cstheme="minorHAnsi"/>
          <w:b/>
          <w:bCs/>
          <w:sz w:val="20"/>
          <w:szCs w:val="20"/>
        </w:rPr>
        <w:t>E</w:t>
      </w:r>
      <w:r w:rsidRPr="007F515E">
        <w:rPr>
          <w:rFonts w:cstheme="minorHAnsi"/>
          <w:sz w:val="20"/>
          <w:szCs w:val="20"/>
        </w:rPr>
        <w:t>). (</w:t>
      </w:r>
      <w:r w:rsidRPr="007F515E">
        <w:rPr>
          <w:rFonts w:cstheme="minorHAnsi"/>
          <w:b/>
          <w:bCs/>
          <w:sz w:val="20"/>
          <w:szCs w:val="20"/>
        </w:rPr>
        <w:t>F-K</w:t>
      </w:r>
      <w:r w:rsidRPr="007F515E">
        <w:rPr>
          <w:rFonts w:cstheme="minorHAnsi"/>
          <w:sz w:val="20"/>
          <w:szCs w:val="20"/>
        </w:rPr>
        <w:t>) Relative mRNA expression in the left central amygdala (</w:t>
      </w:r>
      <w:proofErr w:type="spellStart"/>
      <w:r w:rsidRPr="007F515E">
        <w:rPr>
          <w:rFonts w:cstheme="minorHAnsi"/>
          <w:sz w:val="20"/>
          <w:szCs w:val="20"/>
        </w:rPr>
        <w:t>CeA</w:t>
      </w:r>
      <w:proofErr w:type="spellEnd"/>
      <w:r w:rsidRPr="007F515E">
        <w:rPr>
          <w:rFonts w:cstheme="minorHAnsi"/>
          <w:sz w:val="20"/>
          <w:szCs w:val="20"/>
        </w:rPr>
        <w:t xml:space="preserve">) collected 3 h after </w:t>
      </w:r>
      <w:proofErr w:type="spellStart"/>
      <w:r w:rsidRPr="007F515E">
        <w:rPr>
          <w:rFonts w:cstheme="minorHAnsi"/>
          <w:sz w:val="20"/>
          <w:szCs w:val="20"/>
        </w:rPr>
        <w:t>supradural</w:t>
      </w:r>
      <w:proofErr w:type="spellEnd"/>
      <w:r w:rsidRPr="007F515E">
        <w:rPr>
          <w:rFonts w:cstheme="minorHAnsi"/>
          <w:sz w:val="20"/>
          <w:szCs w:val="20"/>
        </w:rPr>
        <w:t xml:space="preserve"> injection of CGRP or vehicle (</w:t>
      </w:r>
      <w:proofErr w:type="spellStart"/>
      <w:r w:rsidRPr="007F515E">
        <w:rPr>
          <w:rFonts w:cstheme="minorHAnsi"/>
          <w:sz w:val="20"/>
          <w:szCs w:val="20"/>
        </w:rPr>
        <w:t>sIF</w:t>
      </w:r>
      <w:proofErr w:type="spellEnd"/>
      <w:r w:rsidRPr="007F515E">
        <w:rPr>
          <w:rFonts w:cstheme="minorHAnsi"/>
          <w:sz w:val="20"/>
          <w:szCs w:val="20"/>
        </w:rPr>
        <w:t>). (</w:t>
      </w:r>
      <w:r w:rsidRPr="007F515E">
        <w:rPr>
          <w:rFonts w:cstheme="minorHAnsi"/>
          <w:b/>
          <w:bCs/>
          <w:sz w:val="20"/>
          <w:szCs w:val="20"/>
        </w:rPr>
        <w:t>F</w:t>
      </w:r>
      <w:r w:rsidRPr="007F515E">
        <w:rPr>
          <w:rFonts w:cstheme="minorHAnsi"/>
          <w:sz w:val="20"/>
          <w:szCs w:val="20"/>
        </w:rPr>
        <w:t xml:space="preserve">) </w:t>
      </w:r>
      <w:r w:rsidRPr="007F515E">
        <w:rPr>
          <w:rFonts w:cstheme="minorHAnsi"/>
          <w:i/>
          <w:iCs/>
          <w:sz w:val="20"/>
          <w:szCs w:val="20"/>
        </w:rPr>
        <w:t>Calca</w:t>
      </w:r>
      <w:r w:rsidRPr="007F515E">
        <w:rPr>
          <w:rFonts w:cstheme="minorHAnsi"/>
          <w:sz w:val="20"/>
          <w:szCs w:val="20"/>
        </w:rPr>
        <w:t>, (</w:t>
      </w:r>
      <w:r w:rsidRPr="007F515E">
        <w:rPr>
          <w:rFonts w:cstheme="minorHAnsi"/>
          <w:b/>
          <w:bCs/>
          <w:sz w:val="20"/>
          <w:szCs w:val="20"/>
        </w:rPr>
        <w:t>G</w:t>
      </w:r>
      <w:r w:rsidRPr="007F515E">
        <w:rPr>
          <w:rFonts w:cstheme="minorHAnsi"/>
          <w:sz w:val="20"/>
          <w:szCs w:val="20"/>
        </w:rPr>
        <w:t xml:space="preserve">) </w:t>
      </w:r>
      <w:proofErr w:type="spellStart"/>
      <w:r w:rsidRPr="007F515E">
        <w:rPr>
          <w:rFonts w:cstheme="minorHAnsi"/>
          <w:i/>
          <w:iCs/>
          <w:sz w:val="20"/>
          <w:szCs w:val="20"/>
        </w:rPr>
        <w:t>Crcp</w:t>
      </w:r>
      <w:proofErr w:type="spellEnd"/>
      <w:r w:rsidRPr="007F515E">
        <w:rPr>
          <w:rFonts w:cstheme="minorHAnsi"/>
          <w:sz w:val="20"/>
          <w:szCs w:val="20"/>
        </w:rPr>
        <w:t>, (</w:t>
      </w:r>
      <w:r w:rsidRPr="007F515E">
        <w:rPr>
          <w:rFonts w:cstheme="minorHAnsi"/>
          <w:b/>
          <w:bCs/>
          <w:sz w:val="20"/>
          <w:szCs w:val="20"/>
        </w:rPr>
        <w:t>H</w:t>
      </w:r>
      <w:r w:rsidRPr="007F515E">
        <w:rPr>
          <w:rFonts w:cstheme="minorHAnsi"/>
          <w:sz w:val="20"/>
          <w:szCs w:val="20"/>
        </w:rPr>
        <w:t xml:space="preserve">) </w:t>
      </w:r>
      <w:proofErr w:type="spellStart"/>
      <w:r w:rsidRPr="007F515E">
        <w:rPr>
          <w:rFonts w:cstheme="minorHAnsi"/>
          <w:i/>
          <w:iCs/>
          <w:sz w:val="20"/>
          <w:szCs w:val="20"/>
        </w:rPr>
        <w:t>Calcrl</w:t>
      </w:r>
      <w:proofErr w:type="spellEnd"/>
      <w:r w:rsidRPr="007F515E">
        <w:rPr>
          <w:rFonts w:cstheme="minorHAnsi"/>
          <w:sz w:val="20"/>
          <w:szCs w:val="20"/>
        </w:rPr>
        <w:t>, (</w:t>
      </w:r>
      <w:r w:rsidRPr="007F515E">
        <w:rPr>
          <w:rFonts w:cstheme="minorHAnsi"/>
          <w:b/>
          <w:bCs/>
          <w:sz w:val="20"/>
          <w:szCs w:val="20"/>
        </w:rPr>
        <w:t>I</w:t>
      </w:r>
      <w:r w:rsidRPr="007F515E">
        <w:rPr>
          <w:rFonts w:cstheme="minorHAnsi"/>
          <w:sz w:val="20"/>
          <w:szCs w:val="20"/>
        </w:rPr>
        <w:t xml:space="preserve">) </w:t>
      </w:r>
      <w:proofErr w:type="spellStart"/>
      <w:r w:rsidRPr="007F515E">
        <w:rPr>
          <w:rFonts w:cstheme="minorHAnsi"/>
          <w:i/>
          <w:iCs/>
          <w:sz w:val="20"/>
          <w:szCs w:val="20"/>
        </w:rPr>
        <w:t>Itgam</w:t>
      </w:r>
      <w:proofErr w:type="spellEnd"/>
      <w:r w:rsidRPr="007F515E">
        <w:rPr>
          <w:rFonts w:cstheme="minorHAnsi"/>
          <w:sz w:val="20"/>
          <w:szCs w:val="20"/>
        </w:rPr>
        <w:t>, (</w:t>
      </w:r>
      <w:r w:rsidRPr="007F515E">
        <w:rPr>
          <w:rFonts w:cstheme="minorHAnsi"/>
          <w:b/>
          <w:bCs/>
          <w:sz w:val="20"/>
          <w:szCs w:val="20"/>
        </w:rPr>
        <w:t>J</w:t>
      </w:r>
      <w:r w:rsidRPr="007F515E">
        <w:rPr>
          <w:rFonts w:cstheme="minorHAnsi"/>
          <w:sz w:val="20"/>
          <w:szCs w:val="20"/>
        </w:rPr>
        <w:t xml:space="preserve">) </w:t>
      </w:r>
      <w:r w:rsidRPr="007F515E">
        <w:rPr>
          <w:rFonts w:cstheme="minorHAnsi"/>
          <w:i/>
          <w:iCs/>
          <w:sz w:val="20"/>
          <w:szCs w:val="20"/>
        </w:rPr>
        <w:t>Ramp1</w:t>
      </w:r>
      <w:r w:rsidRPr="007F515E">
        <w:rPr>
          <w:rFonts w:cstheme="minorHAnsi"/>
          <w:sz w:val="20"/>
          <w:szCs w:val="20"/>
        </w:rPr>
        <w:t>, and (</w:t>
      </w:r>
      <w:r w:rsidRPr="007F515E">
        <w:rPr>
          <w:rFonts w:cstheme="minorHAnsi"/>
          <w:b/>
          <w:bCs/>
          <w:sz w:val="20"/>
          <w:szCs w:val="20"/>
        </w:rPr>
        <w:t>K</w:t>
      </w:r>
      <w:r w:rsidRPr="007F515E">
        <w:rPr>
          <w:rFonts w:cstheme="minorHAnsi"/>
          <w:sz w:val="20"/>
          <w:szCs w:val="20"/>
        </w:rPr>
        <w:t xml:space="preserve">) </w:t>
      </w:r>
      <w:proofErr w:type="spellStart"/>
      <w:r w:rsidRPr="007F515E">
        <w:rPr>
          <w:rFonts w:cstheme="minorHAnsi"/>
          <w:i/>
          <w:iCs/>
          <w:sz w:val="20"/>
          <w:szCs w:val="20"/>
        </w:rPr>
        <w:t>Tnf</w:t>
      </w:r>
      <w:proofErr w:type="spellEnd"/>
      <w:r w:rsidRPr="007F515E">
        <w:rPr>
          <w:rFonts w:cstheme="minorHAnsi"/>
          <w:sz w:val="20"/>
          <w:szCs w:val="20"/>
        </w:rPr>
        <w:t>. No significant</w:t>
      </w:r>
      <w:r w:rsidRPr="00CC4357">
        <w:rPr>
          <w:rFonts w:cstheme="minorHAnsi"/>
          <w:sz w:val="20"/>
          <w:szCs w:val="20"/>
        </w:rPr>
        <w:t xml:space="preserve"> differences were detected. (</w:t>
      </w:r>
      <w:r w:rsidRPr="00CC4357">
        <w:rPr>
          <w:rFonts w:cstheme="minorHAnsi"/>
          <w:b/>
          <w:bCs/>
          <w:sz w:val="20"/>
          <w:szCs w:val="20"/>
        </w:rPr>
        <w:t>L-Q</w:t>
      </w:r>
      <w:r w:rsidRPr="00CC4357">
        <w:rPr>
          <w:rFonts w:cstheme="minorHAnsi"/>
          <w:sz w:val="20"/>
          <w:szCs w:val="20"/>
        </w:rPr>
        <w:t xml:space="preserve">) Relative mRNA expression in the left parabrachial nucleus (PBN) collected 3 h after </w:t>
      </w:r>
      <w:proofErr w:type="spellStart"/>
      <w:r w:rsidRPr="00CC4357">
        <w:rPr>
          <w:rFonts w:cstheme="minorHAnsi"/>
          <w:sz w:val="20"/>
          <w:szCs w:val="20"/>
        </w:rPr>
        <w:t>supradural</w:t>
      </w:r>
      <w:proofErr w:type="spellEnd"/>
      <w:r w:rsidRPr="00CC4357">
        <w:rPr>
          <w:rFonts w:cstheme="minorHAnsi"/>
          <w:sz w:val="20"/>
          <w:szCs w:val="20"/>
        </w:rPr>
        <w:t xml:space="preserve"> injection of CGRP or vehicle (</w:t>
      </w:r>
      <w:proofErr w:type="spellStart"/>
      <w:r w:rsidRPr="00CC4357">
        <w:rPr>
          <w:rFonts w:cstheme="minorHAnsi"/>
          <w:sz w:val="20"/>
          <w:szCs w:val="20"/>
        </w:rPr>
        <w:t>sIF</w:t>
      </w:r>
      <w:proofErr w:type="spellEnd"/>
      <w:r w:rsidRPr="00CC4357">
        <w:rPr>
          <w:rFonts w:cstheme="minorHAnsi"/>
          <w:sz w:val="20"/>
          <w:szCs w:val="20"/>
        </w:rPr>
        <w:t xml:space="preserve">). </w:t>
      </w:r>
      <w:r w:rsidRPr="00CC4357">
        <w:rPr>
          <w:rFonts w:cstheme="minorHAnsi"/>
          <w:sz w:val="20"/>
          <w:szCs w:val="20"/>
          <w:lang w:val="pt-BR"/>
        </w:rPr>
        <w:t>(</w:t>
      </w:r>
      <w:r w:rsidRPr="00CC4357">
        <w:rPr>
          <w:rFonts w:cstheme="minorHAnsi"/>
          <w:b/>
          <w:bCs/>
          <w:sz w:val="20"/>
          <w:szCs w:val="20"/>
          <w:lang w:val="pt-BR"/>
        </w:rPr>
        <w:t>L</w:t>
      </w:r>
      <w:r w:rsidRPr="00CC4357">
        <w:rPr>
          <w:rFonts w:cstheme="minorHAnsi"/>
          <w:sz w:val="20"/>
          <w:szCs w:val="20"/>
          <w:lang w:val="pt-BR"/>
        </w:rPr>
        <w:t xml:space="preserve">) </w:t>
      </w:r>
      <w:r w:rsidRPr="00CC4357">
        <w:rPr>
          <w:rFonts w:cstheme="minorHAnsi"/>
          <w:i/>
          <w:iCs/>
          <w:sz w:val="20"/>
          <w:szCs w:val="20"/>
          <w:lang w:val="pt-BR"/>
        </w:rPr>
        <w:t>Calca</w:t>
      </w:r>
      <w:r w:rsidRPr="00CC4357">
        <w:rPr>
          <w:rFonts w:cstheme="minorHAnsi"/>
          <w:sz w:val="20"/>
          <w:szCs w:val="20"/>
          <w:lang w:val="pt-BR"/>
        </w:rPr>
        <w:t>, (</w:t>
      </w:r>
      <w:r w:rsidRPr="00CC4357">
        <w:rPr>
          <w:rFonts w:cstheme="minorHAnsi"/>
          <w:b/>
          <w:bCs/>
          <w:sz w:val="20"/>
          <w:szCs w:val="20"/>
          <w:lang w:val="pt-BR"/>
        </w:rPr>
        <w:t>M</w:t>
      </w:r>
      <w:r w:rsidRPr="00CC4357">
        <w:rPr>
          <w:rFonts w:cstheme="minorHAnsi"/>
          <w:sz w:val="20"/>
          <w:szCs w:val="20"/>
          <w:lang w:val="pt-BR"/>
        </w:rPr>
        <w:t xml:space="preserve">) </w:t>
      </w:r>
      <w:r w:rsidRPr="00CC4357">
        <w:rPr>
          <w:rFonts w:cstheme="minorHAnsi"/>
          <w:i/>
          <w:iCs/>
          <w:sz w:val="20"/>
          <w:szCs w:val="20"/>
          <w:lang w:val="pt-BR"/>
        </w:rPr>
        <w:t>Crcp</w:t>
      </w:r>
      <w:r w:rsidRPr="00CC4357">
        <w:rPr>
          <w:rFonts w:cstheme="minorHAnsi"/>
          <w:sz w:val="20"/>
          <w:szCs w:val="20"/>
          <w:lang w:val="pt-BR"/>
        </w:rPr>
        <w:t>, (</w:t>
      </w:r>
      <w:r w:rsidRPr="00CC4357">
        <w:rPr>
          <w:rFonts w:cstheme="minorHAnsi"/>
          <w:b/>
          <w:bCs/>
          <w:sz w:val="20"/>
          <w:szCs w:val="20"/>
          <w:lang w:val="pt-BR"/>
        </w:rPr>
        <w:t>N</w:t>
      </w:r>
      <w:r w:rsidRPr="00CC4357">
        <w:rPr>
          <w:rFonts w:cstheme="minorHAnsi"/>
          <w:sz w:val="20"/>
          <w:szCs w:val="20"/>
          <w:lang w:val="pt-BR"/>
        </w:rPr>
        <w:t xml:space="preserve">) </w:t>
      </w:r>
      <w:r w:rsidRPr="00CC4357">
        <w:rPr>
          <w:rFonts w:cstheme="minorHAnsi"/>
          <w:i/>
          <w:iCs/>
          <w:sz w:val="20"/>
          <w:szCs w:val="20"/>
          <w:lang w:val="pt-BR"/>
        </w:rPr>
        <w:t>Calcrl</w:t>
      </w:r>
      <w:r w:rsidRPr="00CC4357">
        <w:rPr>
          <w:rFonts w:cstheme="minorHAnsi"/>
          <w:sz w:val="20"/>
          <w:szCs w:val="20"/>
          <w:lang w:val="pt-BR"/>
        </w:rPr>
        <w:t>, (</w:t>
      </w:r>
      <w:r w:rsidRPr="00CC4357">
        <w:rPr>
          <w:rFonts w:cstheme="minorHAnsi"/>
          <w:b/>
          <w:bCs/>
          <w:sz w:val="20"/>
          <w:szCs w:val="20"/>
          <w:lang w:val="pt-BR"/>
        </w:rPr>
        <w:t>O</w:t>
      </w:r>
      <w:r w:rsidRPr="00CC4357">
        <w:rPr>
          <w:rFonts w:cstheme="minorHAnsi"/>
          <w:sz w:val="20"/>
          <w:szCs w:val="20"/>
          <w:lang w:val="pt-BR"/>
        </w:rPr>
        <w:t xml:space="preserve">) </w:t>
      </w:r>
      <w:r w:rsidRPr="00CC4357">
        <w:rPr>
          <w:rFonts w:cstheme="minorHAnsi"/>
          <w:i/>
          <w:iCs/>
          <w:sz w:val="20"/>
          <w:szCs w:val="20"/>
          <w:lang w:val="pt-BR"/>
        </w:rPr>
        <w:t>Itgam</w:t>
      </w:r>
      <w:r w:rsidRPr="00CC4357">
        <w:rPr>
          <w:rFonts w:cstheme="minorHAnsi"/>
          <w:sz w:val="20"/>
          <w:szCs w:val="20"/>
          <w:lang w:val="pt-BR"/>
        </w:rPr>
        <w:t>, (</w:t>
      </w:r>
      <w:r w:rsidRPr="00CC4357">
        <w:rPr>
          <w:rFonts w:cstheme="minorHAnsi"/>
          <w:b/>
          <w:bCs/>
          <w:sz w:val="20"/>
          <w:szCs w:val="20"/>
          <w:lang w:val="pt-BR"/>
        </w:rPr>
        <w:t>P</w:t>
      </w:r>
      <w:r w:rsidRPr="00CC4357">
        <w:rPr>
          <w:rFonts w:cstheme="minorHAnsi"/>
          <w:sz w:val="20"/>
          <w:szCs w:val="20"/>
          <w:lang w:val="pt-BR"/>
        </w:rPr>
        <w:t xml:space="preserve">) </w:t>
      </w:r>
      <w:r w:rsidRPr="00CC4357">
        <w:rPr>
          <w:rFonts w:cstheme="minorHAnsi"/>
          <w:i/>
          <w:iCs/>
          <w:sz w:val="20"/>
          <w:szCs w:val="20"/>
          <w:lang w:val="pt-BR"/>
        </w:rPr>
        <w:t>Ramp1</w:t>
      </w:r>
      <w:r w:rsidRPr="00CC4357">
        <w:rPr>
          <w:rFonts w:cstheme="minorHAnsi"/>
          <w:sz w:val="20"/>
          <w:szCs w:val="20"/>
          <w:lang w:val="pt-BR"/>
        </w:rPr>
        <w:t>, and (</w:t>
      </w:r>
      <w:r w:rsidRPr="00CC4357">
        <w:rPr>
          <w:rFonts w:cstheme="minorHAnsi"/>
          <w:b/>
          <w:bCs/>
          <w:sz w:val="20"/>
          <w:szCs w:val="20"/>
          <w:lang w:val="pt-BR"/>
        </w:rPr>
        <w:t>Q</w:t>
      </w:r>
      <w:r w:rsidRPr="00CC4357">
        <w:rPr>
          <w:rFonts w:cstheme="minorHAnsi"/>
          <w:sz w:val="20"/>
          <w:szCs w:val="20"/>
          <w:lang w:val="pt-BR"/>
        </w:rPr>
        <w:t xml:space="preserve">) </w:t>
      </w:r>
      <w:r w:rsidRPr="00CC4357">
        <w:rPr>
          <w:rFonts w:cstheme="minorHAnsi"/>
          <w:i/>
          <w:iCs/>
          <w:sz w:val="20"/>
          <w:szCs w:val="20"/>
          <w:lang w:val="pt-BR"/>
        </w:rPr>
        <w:t>Tnf</w:t>
      </w:r>
      <w:r w:rsidRPr="00CC4357">
        <w:rPr>
          <w:rFonts w:cstheme="minorHAnsi"/>
          <w:sz w:val="20"/>
          <w:szCs w:val="20"/>
          <w:lang w:val="pt-BR"/>
        </w:rPr>
        <w:t xml:space="preserve">. </w:t>
      </w:r>
      <w:r w:rsidRPr="00CC4357">
        <w:rPr>
          <w:rFonts w:cstheme="minorHAnsi"/>
          <w:sz w:val="20"/>
          <w:szCs w:val="20"/>
        </w:rPr>
        <w:t>No significant differences were detected. Data are presented as relative expression (2^-</w:t>
      </w:r>
      <w:proofErr w:type="spellStart"/>
      <w:r w:rsidRPr="00CC4357">
        <w:rPr>
          <w:rFonts w:cstheme="minorHAnsi"/>
          <w:sz w:val="20"/>
          <w:szCs w:val="20"/>
        </w:rPr>
        <w:t>ΔΔCt</w:t>
      </w:r>
      <w:proofErr w:type="spellEnd"/>
      <w:r w:rsidRPr="00CC4357">
        <w:rPr>
          <w:rFonts w:cstheme="minorHAnsi"/>
          <w:sz w:val="20"/>
          <w:szCs w:val="20"/>
        </w:rPr>
        <w:t xml:space="preserve">) normalized to the geometric mean of </w:t>
      </w:r>
      <w:proofErr w:type="spellStart"/>
      <w:r w:rsidRPr="00DA0956">
        <w:rPr>
          <w:rFonts w:cstheme="minorHAnsi"/>
          <w:i/>
          <w:iCs/>
          <w:sz w:val="20"/>
          <w:szCs w:val="20"/>
        </w:rPr>
        <w:t>Hprt</w:t>
      </w:r>
      <w:proofErr w:type="spellEnd"/>
      <w:r w:rsidRPr="00CC4357">
        <w:rPr>
          <w:rFonts w:cstheme="minorHAnsi"/>
          <w:sz w:val="20"/>
          <w:szCs w:val="20"/>
        </w:rPr>
        <w:t xml:space="preserve"> and </w:t>
      </w:r>
      <w:r w:rsidRPr="00DA0956">
        <w:rPr>
          <w:rFonts w:cstheme="minorHAnsi"/>
          <w:i/>
          <w:iCs/>
          <w:sz w:val="20"/>
          <w:szCs w:val="20"/>
        </w:rPr>
        <w:t>Malat1</w:t>
      </w:r>
      <w:r w:rsidRPr="00CC4357">
        <w:rPr>
          <w:rFonts w:cstheme="minorHAnsi"/>
          <w:sz w:val="20"/>
          <w:szCs w:val="20"/>
        </w:rPr>
        <w:t xml:space="preserve">. Statistical analyses were performed on </w:t>
      </w:r>
      <w:proofErr w:type="spellStart"/>
      <w:r w:rsidRPr="00CC4357">
        <w:rPr>
          <w:rFonts w:cstheme="minorHAnsi"/>
          <w:sz w:val="20"/>
          <w:szCs w:val="20"/>
        </w:rPr>
        <w:t>ΔCt</w:t>
      </w:r>
      <w:proofErr w:type="spellEnd"/>
      <w:r w:rsidRPr="00CC4357">
        <w:rPr>
          <w:rFonts w:cstheme="minorHAnsi"/>
          <w:sz w:val="20"/>
          <w:szCs w:val="20"/>
        </w:rPr>
        <w:t xml:space="preserve"> values. Data are presented as mean ± SEM.</w:t>
      </w:r>
    </w:p>
    <w:sectPr w:rsidR="001243CF" w:rsidRPr="00040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Headache and Pai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e2xtw59z9az7e52xr50zdsx5s0t9ft2rdr&quot;&gt;My EndNote Library&lt;record-ids&gt;&lt;item&gt;23&lt;/item&gt;&lt;item&gt;24&lt;/item&gt;&lt;item&gt;25&lt;/item&gt;&lt;item&gt;26&lt;/item&gt;&lt;item&gt;28&lt;/item&gt;&lt;item&gt;29&lt;/item&gt;&lt;item&gt;30&lt;/item&gt;&lt;item&gt;31&lt;/item&gt;&lt;item&gt;32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9&lt;/item&gt;&lt;item&gt;50&lt;/item&gt;&lt;item&gt;51&lt;/item&gt;&lt;item&gt;53&lt;/item&gt;&lt;item&gt;54&lt;/item&gt;&lt;item&gt;55&lt;/item&gt;&lt;item&gt;57&lt;/item&gt;&lt;item&gt;58&lt;/item&gt;&lt;item&gt;59&lt;/item&gt;&lt;item&gt;60&lt;/item&gt;&lt;item&gt;61&lt;/item&gt;&lt;item&gt;62&lt;/item&gt;&lt;/record-ids&gt;&lt;/item&gt;&lt;/Libraries&gt;"/>
  </w:docVars>
  <w:rsids>
    <w:rsidRoot w:val="00296F70"/>
    <w:rsid w:val="000058DA"/>
    <w:rsid w:val="000230EE"/>
    <w:rsid w:val="000241DF"/>
    <w:rsid w:val="000400DB"/>
    <w:rsid w:val="000439B4"/>
    <w:rsid w:val="000508A6"/>
    <w:rsid w:val="00080D74"/>
    <w:rsid w:val="000C1298"/>
    <w:rsid w:val="000F5E84"/>
    <w:rsid w:val="00104D81"/>
    <w:rsid w:val="0011591C"/>
    <w:rsid w:val="001243CF"/>
    <w:rsid w:val="0013534E"/>
    <w:rsid w:val="0015196D"/>
    <w:rsid w:val="001523B9"/>
    <w:rsid w:val="00167877"/>
    <w:rsid w:val="001747CE"/>
    <w:rsid w:val="00190568"/>
    <w:rsid w:val="001B5E84"/>
    <w:rsid w:val="001E66DB"/>
    <w:rsid w:val="001F46A4"/>
    <w:rsid w:val="002073B0"/>
    <w:rsid w:val="00211104"/>
    <w:rsid w:val="002233D3"/>
    <w:rsid w:val="002536CC"/>
    <w:rsid w:val="002619B4"/>
    <w:rsid w:val="00280A10"/>
    <w:rsid w:val="002943CE"/>
    <w:rsid w:val="00296F70"/>
    <w:rsid w:val="002D0930"/>
    <w:rsid w:val="002D7D54"/>
    <w:rsid w:val="002F79D8"/>
    <w:rsid w:val="00313C8E"/>
    <w:rsid w:val="00315404"/>
    <w:rsid w:val="00342961"/>
    <w:rsid w:val="0034589E"/>
    <w:rsid w:val="00374F8C"/>
    <w:rsid w:val="003870FF"/>
    <w:rsid w:val="00397CED"/>
    <w:rsid w:val="003A63E2"/>
    <w:rsid w:val="003E087E"/>
    <w:rsid w:val="003E3E3F"/>
    <w:rsid w:val="003E4E45"/>
    <w:rsid w:val="003F4C9E"/>
    <w:rsid w:val="0040241A"/>
    <w:rsid w:val="00406161"/>
    <w:rsid w:val="00465706"/>
    <w:rsid w:val="00475B94"/>
    <w:rsid w:val="004929DB"/>
    <w:rsid w:val="004A64C7"/>
    <w:rsid w:val="00500F6C"/>
    <w:rsid w:val="00501099"/>
    <w:rsid w:val="00541B5B"/>
    <w:rsid w:val="00560F26"/>
    <w:rsid w:val="0057022F"/>
    <w:rsid w:val="0059433E"/>
    <w:rsid w:val="00595B26"/>
    <w:rsid w:val="005A2E30"/>
    <w:rsid w:val="005A5E41"/>
    <w:rsid w:val="005B258A"/>
    <w:rsid w:val="005C7829"/>
    <w:rsid w:val="005D47CA"/>
    <w:rsid w:val="005E3CF3"/>
    <w:rsid w:val="005F41DF"/>
    <w:rsid w:val="005F7B06"/>
    <w:rsid w:val="00607135"/>
    <w:rsid w:val="006075D0"/>
    <w:rsid w:val="00636546"/>
    <w:rsid w:val="00650706"/>
    <w:rsid w:val="00654DC8"/>
    <w:rsid w:val="00665995"/>
    <w:rsid w:val="006860AC"/>
    <w:rsid w:val="006C0DBD"/>
    <w:rsid w:val="006D17A2"/>
    <w:rsid w:val="006F2937"/>
    <w:rsid w:val="006F3D1B"/>
    <w:rsid w:val="006F6E28"/>
    <w:rsid w:val="006F7319"/>
    <w:rsid w:val="00700AF4"/>
    <w:rsid w:val="007115C7"/>
    <w:rsid w:val="00713A49"/>
    <w:rsid w:val="00724A15"/>
    <w:rsid w:val="00734A62"/>
    <w:rsid w:val="0074436F"/>
    <w:rsid w:val="00744AE4"/>
    <w:rsid w:val="00747396"/>
    <w:rsid w:val="0075549A"/>
    <w:rsid w:val="007655F5"/>
    <w:rsid w:val="00772C8F"/>
    <w:rsid w:val="007A5D63"/>
    <w:rsid w:val="007C0582"/>
    <w:rsid w:val="007D7BFA"/>
    <w:rsid w:val="007F2264"/>
    <w:rsid w:val="007F515E"/>
    <w:rsid w:val="00814A86"/>
    <w:rsid w:val="0081702E"/>
    <w:rsid w:val="00822C12"/>
    <w:rsid w:val="00836A16"/>
    <w:rsid w:val="008370E8"/>
    <w:rsid w:val="008471BA"/>
    <w:rsid w:val="0087027C"/>
    <w:rsid w:val="00886BCE"/>
    <w:rsid w:val="008B24C3"/>
    <w:rsid w:val="008E3F37"/>
    <w:rsid w:val="008E525E"/>
    <w:rsid w:val="009307DA"/>
    <w:rsid w:val="009348B9"/>
    <w:rsid w:val="00934E37"/>
    <w:rsid w:val="0095216C"/>
    <w:rsid w:val="0095613E"/>
    <w:rsid w:val="00976049"/>
    <w:rsid w:val="009777B1"/>
    <w:rsid w:val="009A3B15"/>
    <w:rsid w:val="009E4317"/>
    <w:rsid w:val="00A11629"/>
    <w:rsid w:val="00A40845"/>
    <w:rsid w:val="00A56C41"/>
    <w:rsid w:val="00A617AD"/>
    <w:rsid w:val="00A773A0"/>
    <w:rsid w:val="00A865C3"/>
    <w:rsid w:val="00AB09A2"/>
    <w:rsid w:val="00AC68FE"/>
    <w:rsid w:val="00AD4BF1"/>
    <w:rsid w:val="00AD6376"/>
    <w:rsid w:val="00AD6AFA"/>
    <w:rsid w:val="00AD7EC2"/>
    <w:rsid w:val="00AE0D1E"/>
    <w:rsid w:val="00AF7797"/>
    <w:rsid w:val="00B03FA5"/>
    <w:rsid w:val="00B154D3"/>
    <w:rsid w:val="00B42097"/>
    <w:rsid w:val="00B624A6"/>
    <w:rsid w:val="00BB465C"/>
    <w:rsid w:val="00BB6E4F"/>
    <w:rsid w:val="00BD24FC"/>
    <w:rsid w:val="00BE0932"/>
    <w:rsid w:val="00C02DDD"/>
    <w:rsid w:val="00C73C47"/>
    <w:rsid w:val="00C75D0E"/>
    <w:rsid w:val="00C849A7"/>
    <w:rsid w:val="00CA13A3"/>
    <w:rsid w:val="00CB2DF1"/>
    <w:rsid w:val="00CC4357"/>
    <w:rsid w:val="00CC7895"/>
    <w:rsid w:val="00CE234F"/>
    <w:rsid w:val="00CF7BAC"/>
    <w:rsid w:val="00D00BEE"/>
    <w:rsid w:val="00D05537"/>
    <w:rsid w:val="00D1079B"/>
    <w:rsid w:val="00D256F9"/>
    <w:rsid w:val="00D27255"/>
    <w:rsid w:val="00D37DDC"/>
    <w:rsid w:val="00D60DE7"/>
    <w:rsid w:val="00D67569"/>
    <w:rsid w:val="00D85E8A"/>
    <w:rsid w:val="00D906D3"/>
    <w:rsid w:val="00D9714C"/>
    <w:rsid w:val="00DA0956"/>
    <w:rsid w:val="00DF55A6"/>
    <w:rsid w:val="00E25E2E"/>
    <w:rsid w:val="00E34197"/>
    <w:rsid w:val="00E76109"/>
    <w:rsid w:val="00E84FED"/>
    <w:rsid w:val="00EB754D"/>
    <w:rsid w:val="00EC112D"/>
    <w:rsid w:val="00EC1771"/>
    <w:rsid w:val="00ED0431"/>
    <w:rsid w:val="00ED7ECD"/>
    <w:rsid w:val="00EE21AB"/>
    <w:rsid w:val="00EE4B2A"/>
    <w:rsid w:val="00EE6B88"/>
    <w:rsid w:val="00EF14B2"/>
    <w:rsid w:val="00F55523"/>
    <w:rsid w:val="00F62E84"/>
    <w:rsid w:val="00F80DC2"/>
    <w:rsid w:val="00FB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317F"/>
  <w15:chartTrackingRefBased/>
  <w15:docId w15:val="{77B3DB32-56B1-41DB-8BDF-E493D3B7F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7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B09A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09A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B09A2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B09A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D00BE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F55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F5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5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5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Antenucci, Nico</dc:creator>
  <cp:keywords/>
  <dc:description/>
  <cp:lastModifiedBy>V. N.</cp:lastModifiedBy>
  <cp:revision>3</cp:revision>
  <dcterms:created xsi:type="dcterms:W3CDTF">2026-05-24T03:37:00Z</dcterms:created>
  <dcterms:modified xsi:type="dcterms:W3CDTF">2026-05-24T03:37:00Z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c71fd624-2987-4623-b56b-212e03da8f69</vt:lpwstr>
  </property>
</Properties>
</file>