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F8C9" w14:textId="77777777" w:rsidR="00804781" w:rsidRPr="00714833" w:rsidRDefault="00804781" w:rsidP="00804781">
      <w:pPr>
        <w:spacing w:before="100" w:beforeAutospacing="1" w:after="100" w:afterAutospacing="1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32DA3">
        <w:rPr>
          <w:rFonts w:ascii="Times New Roman" w:hAnsi="Times New Roman" w:cs="Times New Roman"/>
          <w:b/>
          <w:bCs/>
        </w:rPr>
        <w:t>Supplementary Table 2</w:t>
      </w:r>
      <w:r w:rsidRPr="00D32DA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7148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Intracellular signaling pathways in odontogenic pain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39"/>
        <w:gridCol w:w="1710"/>
        <w:gridCol w:w="1710"/>
        <w:gridCol w:w="2144"/>
        <w:gridCol w:w="2257"/>
      </w:tblGrid>
      <w:tr w:rsidR="00804781" w:rsidRPr="001B5E6A" w14:paraId="02A6FEC3" w14:textId="77777777" w:rsidTr="00B95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A611D5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Pathway/molecule</w:t>
            </w:r>
          </w:p>
        </w:tc>
        <w:tc>
          <w:tcPr>
            <w:tcW w:w="0" w:type="auto"/>
            <w:hideMark/>
          </w:tcPr>
          <w:p w14:paraId="0306F7EB" w14:textId="77777777" w:rsidR="00804781" w:rsidRPr="001B5E6A" w:rsidRDefault="00804781" w:rsidP="00B95C6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Triggered by</w:t>
            </w:r>
          </w:p>
        </w:tc>
        <w:tc>
          <w:tcPr>
            <w:tcW w:w="0" w:type="auto"/>
            <w:hideMark/>
          </w:tcPr>
          <w:p w14:paraId="3D619630" w14:textId="77777777" w:rsidR="00804781" w:rsidRPr="001B5E6A" w:rsidRDefault="00804781" w:rsidP="00B95C6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Principal cellular target</w:t>
            </w:r>
          </w:p>
        </w:tc>
        <w:tc>
          <w:tcPr>
            <w:tcW w:w="0" w:type="auto"/>
            <w:hideMark/>
          </w:tcPr>
          <w:p w14:paraId="63CB8289" w14:textId="77777777" w:rsidR="00804781" w:rsidRPr="001B5E6A" w:rsidRDefault="00804781" w:rsidP="00B95C6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Role in sensitization</w:t>
            </w:r>
          </w:p>
        </w:tc>
        <w:tc>
          <w:tcPr>
            <w:tcW w:w="0" w:type="auto"/>
            <w:hideMark/>
          </w:tcPr>
          <w:p w14:paraId="115B9D1C" w14:textId="77777777" w:rsidR="00804781" w:rsidRPr="001B5E6A" w:rsidRDefault="00804781" w:rsidP="00B95C6C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Therapeutic/biomarker implication</w:t>
            </w:r>
          </w:p>
        </w:tc>
      </w:tr>
      <w:tr w:rsidR="00804781" w:rsidRPr="001B5E6A" w14:paraId="2736C5EA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882C2C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cAMP</w:t>
            </w:r>
          </w:p>
        </w:tc>
        <w:tc>
          <w:tcPr>
            <w:tcW w:w="0" w:type="auto"/>
            <w:hideMark/>
          </w:tcPr>
          <w:p w14:paraId="121369B5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Gαs-coupled GPCRs, prostaglandins, CGRP</w:t>
            </w:r>
          </w:p>
        </w:tc>
        <w:tc>
          <w:tcPr>
            <w:tcW w:w="0" w:type="auto"/>
            <w:hideMark/>
          </w:tcPr>
          <w:p w14:paraId="0DCB0772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Neurons, odontoblasts, immune cells</w:t>
            </w:r>
          </w:p>
        </w:tc>
        <w:tc>
          <w:tcPr>
            <w:tcW w:w="0" w:type="auto"/>
            <w:hideMark/>
          </w:tcPr>
          <w:p w14:paraId="40E946DA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Activates PKA, regulates excitability and neurotransmitter release</w:t>
            </w:r>
          </w:p>
        </w:tc>
        <w:tc>
          <w:tcPr>
            <w:tcW w:w="0" w:type="auto"/>
            <w:hideMark/>
          </w:tcPr>
          <w:p w14:paraId="504FFA01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Readout of GPCR/CGRP activity</w:t>
            </w:r>
          </w:p>
        </w:tc>
      </w:tr>
      <w:tr w:rsidR="00804781" w:rsidRPr="001B5E6A" w14:paraId="59FD1D32" w14:textId="77777777" w:rsidTr="00B95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37BC5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PKA</w:t>
            </w:r>
          </w:p>
        </w:tc>
        <w:tc>
          <w:tcPr>
            <w:tcW w:w="0" w:type="auto"/>
            <w:hideMark/>
          </w:tcPr>
          <w:p w14:paraId="4CC025A2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Increased cAMP</w:t>
            </w:r>
          </w:p>
        </w:tc>
        <w:tc>
          <w:tcPr>
            <w:tcW w:w="0" w:type="auto"/>
            <w:hideMark/>
          </w:tcPr>
          <w:p w14:paraId="02709571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TRPV1, Nav channels, synaptic proteins</w:t>
            </w:r>
          </w:p>
        </w:tc>
        <w:tc>
          <w:tcPr>
            <w:tcW w:w="0" w:type="auto"/>
            <w:hideMark/>
          </w:tcPr>
          <w:p w14:paraId="3421BE82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Channel phosphorylation and reduced activation threshold</w:t>
            </w:r>
          </w:p>
        </w:tc>
        <w:tc>
          <w:tcPr>
            <w:tcW w:w="0" w:type="auto"/>
            <w:hideMark/>
          </w:tcPr>
          <w:p w14:paraId="0D964C63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Supports targeting upstream GPCR/prostaglandin signaling</w:t>
            </w:r>
          </w:p>
        </w:tc>
      </w:tr>
      <w:tr w:rsidR="00804781" w:rsidRPr="001B5E6A" w14:paraId="40C1EF4A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5FFF2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PKC</w:t>
            </w:r>
          </w:p>
        </w:tc>
        <w:tc>
          <w:tcPr>
            <w:tcW w:w="0" w:type="auto"/>
            <w:hideMark/>
          </w:tcPr>
          <w:p w14:paraId="2448DFA0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DAG, Ca2+, GPCR activation</w:t>
            </w:r>
          </w:p>
        </w:tc>
        <w:tc>
          <w:tcPr>
            <w:tcW w:w="0" w:type="auto"/>
            <w:hideMark/>
          </w:tcPr>
          <w:p w14:paraId="1AB7C881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TRP/Nav channels, synaptic proteins</w:t>
            </w:r>
          </w:p>
        </w:tc>
        <w:tc>
          <w:tcPr>
            <w:tcW w:w="0" w:type="auto"/>
            <w:hideMark/>
          </w:tcPr>
          <w:p w14:paraId="1793CC5D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Thermal/mechanical sensitization and enhanced release</w:t>
            </w:r>
          </w:p>
        </w:tc>
        <w:tc>
          <w:tcPr>
            <w:tcW w:w="0" w:type="auto"/>
            <w:hideMark/>
          </w:tcPr>
          <w:p w14:paraId="1C13DAE9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Relevant to bradykinin and purinergic pain pathways</w:t>
            </w:r>
          </w:p>
        </w:tc>
      </w:tr>
      <w:tr w:rsidR="00804781" w:rsidRPr="001B5E6A" w14:paraId="50F91BBB" w14:textId="77777777" w:rsidTr="00B95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05D122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MAPK/ERK</w:t>
            </w:r>
          </w:p>
        </w:tc>
        <w:tc>
          <w:tcPr>
            <w:tcW w:w="0" w:type="auto"/>
            <w:hideMark/>
          </w:tcPr>
          <w:p w14:paraId="5934EABA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Cytokines, NGF, TNF-α, neuronal activity</w:t>
            </w:r>
          </w:p>
        </w:tc>
        <w:tc>
          <w:tcPr>
            <w:tcW w:w="0" w:type="auto"/>
            <w:hideMark/>
          </w:tcPr>
          <w:p w14:paraId="5E1DD8A1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Neurons and glia</w:t>
            </w:r>
          </w:p>
        </w:tc>
        <w:tc>
          <w:tcPr>
            <w:tcW w:w="0" w:type="auto"/>
            <w:hideMark/>
          </w:tcPr>
          <w:p w14:paraId="3A0C8A61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Transcriptional changes, long-term sensitization</w:t>
            </w:r>
          </w:p>
        </w:tc>
        <w:tc>
          <w:tcPr>
            <w:tcW w:w="0" w:type="auto"/>
            <w:hideMark/>
          </w:tcPr>
          <w:p w14:paraId="0E2588AD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pERK as marker of nociceptive activation</w:t>
            </w:r>
          </w:p>
        </w:tc>
      </w:tr>
      <w:tr w:rsidR="00804781" w:rsidRPr="001B5E6A" w14:paraId="6805B05A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A9A853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p38 MAPK</w:t>
            </w:r>
          </w:p>
        </w:tc>
        <w:tc>
          <w:tcPr>
            <w:tcW w:w="0" w:type="auto"/>
            <w:hideMark/>
          </w:tcPr>
          <w:p w14:paraId="2AAB7EBA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Inflammation, glial activation, nerve injury</w:t>
            </w:r>
          </w:p>
        </w:tc>
        <w:tc>
          <w:tcPr>
            <w:tcW w:w="0" w:type="auto"/>
            <w:hideMark/>
          </w:tcPr>
          <w:p w14:paraId="102961BE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Microglia, glia, neurons</w:t>
            </w:r>
          </w:p>
        </w:tc>
        <w:tc>
          <w:tcPr>
            <w:tcW w:w="0" w:type="auto"/>
            <w:hideMark/>
          </w:tcPr>
          <w:p w14:paraId="1E976408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Cytokine production and neuroimmune amplification</w:t>
            </w:r>
          </w:p>
        </w:tc>
        <w:tc>
          <w:tcPr>
            <w:tcW w:w="0" w:type="auto"/>
            <w:hideMark/>
          </w:tcPr>
          <w:p w14:paraId="30E54E9D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Potential target and biomarker for glia-driven pain</w:t>
            </w:r>
          </w:p>
        </w:tc>
      </w:tr>
      <w:tr w:rsidR="00804781" w:rsidRPr="001B5E6A" w14:paraId="274A96AF" w14:textId="77777777" w:rsidTr="00B95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4B6C4C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CREB</w:t>
            </w:r>
          </w:p>
        </w:tc>
        <w:tc>
          <w:tcPr>
            <w:tcW w:w="0" w:type="auto"/>
            <w:hideMark/>
          </w:tcPr>
          <w:p w14:paraId="11868644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cAMP/PKA, MAPK, Ca2+</w:t>
            </w:r>
          </w:p>
        </w:tc>
        <w:tc>
          <w:tcPr>
            <w:tcW w:w="0" w:type="auto"/>
            <w:hideMark/>
          </w:tcPr>
          <w:p w14:paraId="70D98C55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Neurons</w:t>
            </w:r>
          </w:p>
        </w:tc>
        <w:tc>
          <w:tcPr>
            <w:tcW w:w="0" w:type="auto"/>
            <w:hideMark/>
          </w:tcPr>
          <w:p w14:paraId="64E98A78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Pain-related gene transcription</w:t>
            </w:r>
          </w:p>
        </w:tc>
        <w:tc>
          <w:tcPr>
            <w:tcW w:w="0" w:type="auto"/>
            <w:hideMark/>
          </w:tcPr>
          <w:p w14:paraId="6E720584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pCREB may indicate central plasticity</w:t>
            </w:r>
          </w:p>
        </w:tc>
      </w:tr>
      <w:tr w:rsidR="00804781" w:rsidRPr="001B5E6A" w14:paraId="32A7B80E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838978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Intracellular Ca2+</w:t>
            </w:r>
          </w:p>
        </w:tc>
        <w:tc>
          <w:tcPr>
            <w:tcW w:w="0" w:type="auto"/>
            <w:hideMark/>
          </w:tcPr>
          <w:p w14:paraId="183DAEE4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TRP, P2X, Cav, NMDA activity</w:t>
            </w:r>
          </w:p>
        </w:tc>
        <w:tc>
          <w:tcPr>
            <w:tcW w:w="0" w:type="auto"/>
            <w:hideMark/>
          </w:tcPr>
          <w:p w14:paraId="116B22B1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Neurons, odontoblasts, glia</w:t>
            </w:r>
          </w:p>
        </w:tc>
        <w:tc>
          <w:tcPr>
            <w:tcW w:w="0" w:type="auto"/>
            <w:hideMark/>
          </w:tcPr>
          <w:p w14:paraId="561EAD2D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Kinase activation, transmitter release, excitability</w:t>
            </w:r>
          </w:p>
        </w:tc>
        <w:tc>
          <w:tcPr>
            <w:tcW w:w="0" w:type="auto"/>
            <w:hideMark/>
          </w:tcPr>
          <w:p w14:paraId="71E67F1F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Calcium imaging can quantify target engagement</w:t>
            </w:r>
          </w:p>
        </w:tc>
      </w:tr>
      <w:tr w:rsidR="00804781" w:rsidRPr="001B5E6A" w14:paraId="2028EA0B" w14:textId="77777777" w:rsidTr="00B95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CCB39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NF-κB</w:t>
            </w:r>
          </w:p>
        </w:tc>
        <w:tc>
          <w:tcPr>
            <w:tcW w:w="0" w:type="auto"/>
            <w:hideMark/>
          </w:tcPr>
          <w:p w14:paraId="081D3742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TNF-α, IL-1β, TLR activation</w:t>
            </w:r>
          </w:p>
        </w:tc>
        <w:tc>
          <w:tcPr>
            <w:tcW w:w="0" w:type="auto"/>
            <w:hideMark/>
          </w:tcPr>
          <w:p w14:paraId="63DD8184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Immune cells, glia, neurons</w:t>
            </w:r>
          </w:p>
        </w:tc>
        <w:tc>
          <w:tcPr>
            <w:tcW w:w="0" w:type="auto"/>
            <w:hideMark/>
          </w:tcPr>
          <w:p w14:paraId="43BE9B0A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Inflammatory gene transcription</w:t>
            </w:r>
          </w:p>
        </w:tc>
        <w:tc>
          <w:tcPr>
            <w:tcW w:w="0" w:type="auto"/>
            <w:hideMark/>
          </w:tcPr>
          <w:p w14:paraId="024EB2AB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Target/biomarker in infection-associated pulpitis</w:t>
            </w:r>
          </w:p>
        </w:tc>
      </w:tr>
      <w:tr w:rsidR="00804781" w:rsidRPr="001B5E6A" w14:paraId="41177A28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76A02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KCC2/chloride regulation</w:t>
            </w:r>
          </w:p>
        </w:tc>
        <w:tc>
          <w:tcPr>
            <w:tcW w:w="0" w:type="auto"/>
            <w:hideMark/>
          </w:tcPr>
          <w:p w14:paraId="1D9AC08C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Persistent nociceptive input, neuroinflammation</w:t>
            </w:r>
          </w:p>
        </w:tc>
        <w:tc>
          <w:tcPr>
            <w:tcW w:w="0" w:type="auto"/>
            <w:hideMark/>
          </w:tcPr>
          <w:p w14:paraId="54D96AF6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Second-order neurons</w:t>
            </w:r>
          </w:p>
        </w:tc>
        <w:tc>
          <w:tcPr>
            <w:tcW w:w="0" w:type="auto"/>
            <w:hideMark/>
          </w:tcPr>
          <w:p w14:paraId="33E950BC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Reduced inhibitory tone and central disinhibition</w:t>
            </w:r>
          </w:p>
        </w:tc>
        <w:tc>
          <w:tcPr>
            <w:tcW w:w="0" w:type="auto"/>
            <w:hideMark/>
          </w:tcPr>
          <w:p w14:paraId="18CB0F52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Candidate mechanism for central amplification and treatment resistance</w:t>
            </w:r>
          </w:p>
        </w:tc>
      </w:tr>
      <w:tr w:rsidR="00804781" w:rsidRPr="001B5E6A" w14:paraId="0C5B5347" w14:textId="77777777" w:rsidTr="00B95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B6214E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NLRP3 inflammasome</w:t>
            </w:r>
          </w:p>
        </w:tc>
        <w:tc>
          <w:tcPr>
            <w:tcW w:w="0" w:type="auto"/>
            <w:hideMark/>
          </w:tcPr>
          <w:p w14:paraId="32287FD5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P2X7, ATP, DAMPs/PAMPs</w:t>
            </w:r>
          </w:p>
        </w:tc>
        <w:tc>
          <w:tcPr>
            <w:tcW w:w="0" w:type="auto"/>
            <w:hideMark/>
          </w:tcPr>
          <w:p w14:paraId="56BCE7B1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Microglia, immune cells</w:t>
            </w:r>
          </w:p>
        </w:tc>
        <w:tc>
          <w:tcPr>
            <w:tcW w:w="0" w:type="auto"/>
            <w:hideMark/>
          </w:tcPr>
          <w:p w14:paraId="28115EEC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IL-1β maturation and neuroinflammatory amplification</w:t>
            </w:r>
          </w:p>
        </w:tc>
        <w:tc>
          <w:tcPr>
            <w:tcW w:w="0" w:type="auto"/>
            <w:hideMark/>
          </w:tcPr>
          <w:p w14:paraId="3D73539C" w14:textId="77777777" w:rsidR="00804781" w:rsidRPr="001B5E6A" w:rsidRDefault="00804781" w:rsidP="00B95C6C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Target for glial/neuroimmune modulation</w:t>
            </w:r>
          </w:p>
        </w:tc>
      </w:tr>
      <w:tr w:rsidR="00804781" w:rsidRPr="001B5E6A" w14:paraId="53A260B1" w14:textId="77777777" w:rsidTr="00B95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9688D6" w14:textId="77777777" w:rsidR="00804781" w:rsidRPr="001B5E6A" w:rsidRDefault="00804781" w:rsidP="00B95C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cGAS–STING</w:t>
            </w:r>
          </w:p>
        </w:tc>
        <w:tc>
          <w:tcPr>
            <w:tcW w:w="0" w:type="auto"/>
            <w:hideMark/>
          </w:tcPr>
          <w:p w14:paraId="780C3C80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Cytosolic DNA, infection, tissue injury</w:t>
            </w:r>
          </w:p>
        </w:tc>
        <w:tc>
          <w:tcPr>
            <w:tcW w:w="0" w:type="auto"/>
            <w:hideMark/>
          </w:tcPr>
          <w:p w14:paraId="0879F4A3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Immune/neural/glial cells</w:t>
            </w:r>
          </w:p>
        </w:tc>
        <w:tc>
          <w:tcPr>
            <w:tcW w:w="0" w:type="auto"/>
            <w:hideMark/>
          </w:tcPr>
          <w:p w14:paraId="49AAC78A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Context-dependent interferon/inflammation</w:t>
            </w:r>
          </w:p>
        </w:tc>
        <w:tc>
          <w:tcPr>
            <w:tcW w:w="0" w:type="auto"/>
            <w:hideMark/>
          </w:tcPr>
          <w:p w14:paraId="37B5C70F" w14:textId="77777777" w:rsidR="00804781" w:rsidRPr="001B5E6A" w:rsidRDefault="00804781" w:rsidP="00B95C6C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1B5E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Investigational; interpret cautiously in dental pain</w:t>
            </w:r>
          </w:p>
        </w:tc>
      </w:tr>
    </w:tbl>
    <w:p w14:paraId="176442C4" w14:textId="77777777" w:rsidR="00804781" w:rsidRDefault="00804781" w:rsidP="00804781">
      <w:pPr>
        <w:spacing w:line="480" w:lineRule="auto"/>
        <w:jc w:val="both"/>
        <w:rPr>
          <w:rFonts w:ascii="Times New Roman" w:hAnsi="Times New Roman" w:cs="Times New Roman"/>
        </w:rPr>
      </w:pPr>
    </w:p>
    <w:p w14:paraId="7C621238" w14:textId="77777777" w:rsidR="00804781" w:rsidRDefault="00804781" w:rsidP="00804781">
      <w:pPr>
        <w:spacing w:line="480" w:lineRule="auto"/>
        <w:jc w:val="both"/>
        <w:rPr>
          <w:rFonts w:ascii="Times New Roman" w:hAnsi="Times New Roman" w:cs="Times New Roman"/>
        </w:rPr>
      </w:pPr>
    </w:p>
    <w:p w14:paraId="18A5226B" w14:textId="77777777" w:rsidR="004F7CD4" w:rsidRDefault="004F7CD4"/>
    <w:sectPr w:rsidR="004F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81"/>
    <w:rsid w:val="001E3394"/>
    <w:rsid w:val="003F0BF4"/>
    <w:rsid w:val="004F7CD4"/>
    <w:rsid w:val="00516BEF"/>
    <w:rsid w:val="006B3C66"/>
    <w:rsid w:val="00772FA5"/>
    <w:rsid w:val="00804781"/>
    <w:rsid w:val="00863D7D"/>
    <w:rsid w:val="00892219"/>
    <w:rsid w:val="009D67A2"/>
    <w:rsid w:val="00A543BD"/>
    <w:rsid w:val="00A94A79"/>
    <w:rsid w:val="00AD339D"/>
    <w:rsid w:val="00AE31E8"/>
    <w:rsid w:val="00B70763"/>
    <w:rsid w:val="00BC03C1"/>
    <w:rsid w:val="00BE4735"/>
    <w:rsid w:val="00CA1886"/>
    <w:rsid w:val="00D02973"/>
    <w:rsid w:val="00D21703"/>
    <w:rsid w:val="00D33636"/>
    <w:rsid w:val="00D504F8"/>
    <w:rsid w:val="00DF2028"/>
    <w:rsid w:val="00E4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8225E"/>
  <w15:chartTrackingRefBased/>
  <w15:docId w15:val="{C003E735-CD04-5245-96CE-BA032EE3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781"/>
  </w:style>
  <w:style w:type="paragraph" w:styleId="Heading1">
    <w:name w:val="heading 1"/>
    <w:basedOn w:val="Normal"/>
    <w:next w:val="Normal"/>
    <w:link w:val="Heading1Char"/>
    <w:uiPriority w:val="9"/>
    <w:qFormat/>
    <w:rsid w:val="00804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781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80478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ÜNER</dc:creator>
  <cp:keywords/>
  <dc:description/>
  <cp:lastModifiedBy>Burcu ÜNER</cp:lastModifiedBy>
  <cp:revision>1</cp:revision>
  <dcterms:created xsi:type="dcterms:W3CDTF">2026-05-28T16:32:00Z</dcterms:created>
  <dcterms:modified xsi:type="dcterms:W3CDTF">2026-05-28T16:32:00Z</dcterms:modified>
</cp:coreProperties>
</file>