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AFC9B4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Supporting Information</w:t>
      </w:r>
    </w:p>
    <w:p w14:paraId="54C9AE0A">
      <w:pPr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5266690" cy="7770495"/>
            <wp:effectExtent l="0" t="0" r="6350" b="1905"/>
            <wp:docPr id="6" name="图片 6" descr="改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改色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77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7FCD3D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Additional File 1. BoNT/A treatment does not significantly alter NF200 or MBP expression in the SP5C region of TN mice.</w:t>
      </w:r>
    </w:p>
    <w:p w14:paraId="06696DD6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(</w:t>
      </w:r>
      <w:r>
        <w:rPr>
          <w:rFonts w:hint="eastAsia" w:ascii="Times New Roman" w:hAnsi="Times New Roman" w:cs="Times New Roman"/>
          <w:szCs w:val="21"/>
          <w:lang w:val="en-US" w:eastAsia="zh-CN"/>
        </w:rPr>
        <w:t>a</w:t>
      </w:r>
      <w:r>
        <w:rPr>
          <w:rFonts w:ascii="Times New Roman" w:hAnsi="Times New Roman" w:cs="Times New Roman"/>
          <w:szCs w:val="21"/>
        </w:rPr>
        <w:t xml:space="preserve">, </w:t>
      </w:r>
      <w:r>
        <w:rPr>
          <w:rFonts w:hint="eastAsia" w:ascii="Times New Roman" w:hAnsi="Times New Roman" w:cs="Times New Roman"/>
          <w:szCs w:val="21"/>
          <w:lang w:val="en-US" w:eastAsia="zh-CN"/>
        </w:rPr>
        <w:t>b</w:t>
      </w:r>
      <w:r>
        <w:rPr>
          <w:rFonts w:ascii="Times New Roman" w:hAnsi="Times New Roman" w:cs="Times New Roman"/>
          <w:szCs w:val="21"/>
        </w:rPr>
        <w:t>) Representative immunofluorescence images of NF200 (</w:t>
      </w:r>
      <w:r>
        <w:rPr>
          <w:rFonts w:hint="eastAsia" w:ascii="Times New Roman" w:hAnsi="Times New Roman" w:cs="Times New Roman"/>
          <w:szCs w:val="21"/>
          <w:lang w:val="en-US" w:eastAsia="zh-CN"/>
        </w:rPr>
        <w:t>a</w:t>
      </w:r>
      <w:r>
        <w:rPr>
          <w:rFonts w:ascii="Times New Roman" w:hAnsi="Times New Roman" w:cs="Times New Roman"/>
          <w:szCs w:val="21"/>
        </w:rPr>
        <w:t>) and MBP (</w:t>
      </w:r>
      <w:r>
        <w:rPr>
          <w:rFonts w:hint="eastAsia" w:ascii="Times New Roman" w:hAnsi="Times New Roman" w:cs="Times New Roman"/>
          <w:szCs w:val="21"/>
          <w:lang w:val="en-US" w:eastAsia="zh-CN"/>
        </w:rPr>
        <w:t>b</w:t>
      </w:r>
      <w:r>
        <w:rPr>
          <w:rFonts w:ascii="Times New Roman" w:hAnsi="Times New Roman" w:cs="Times New Roman"/>
          <w:szCs w:val="21"/>
        </w:rPr>
        <w:t>) in the spinal trigeminal nucleus caudalis (SP5C) from the three groups. (</w:t>
      </w:r>
      <w:r>
        <w:rPr>
          <w:rFonts w:hint="eastAsia" w:ascii="Times New Roman" w:hAnsi="Times New Roman" w:cs="Times New Roman"/>
          <w:szCs w:val="21"/>
          <w:lang w:val="en-US" w:eastAsia="zh-CN"/>
        </w:rPr>
        <w:t>c</w:t>
      </w:r>
      <w:r>
        <w:rPr>
          <w:rFonts w:ascii="Times New Roman" w:hAnsi="Times New Roman" w:cs="Times New Roman"/>
          <w:szCs w:val="21"/>
        </w:rPr>
        <w:t xml:space="preserve">, </w:t>
      </w:r>
      <w:r>
        <w:rPr>
          <w:rFonts w:hint="eastAsia" w:ascii="Times New Roman" w:hAnsi="Times New Roman" w:cs="Times New Roman"/>
          <w:szCs w:val="21"/>
          <w:lang w:val="en-US" w:eastAsia="zh-CN"/>
        </w:rPr>
        <w:t>d</w:t>
      </w:r>
      <w:r>
        <w:rPr>
          <w:rFonts w:ascii="Times New Roman" w:hAnsi="Times New Roman" w:cs="Times New Roman"/>
          <w:szCs w:val="21"/>
        </w:rPr>
        <w:t>) Quantification of NF200-positive (</w:t>
      </w:r>
      <w:r>
        <w:rPr>
          <w:rFonts w:hint="eastAsia" w:ascii="Times New Roman" w:hAnsi="Times New Roman" w:cs="Times New Roman"/>
          <w:szCs w:val="21"/>
          <w:lang w:val="en-US" w:eastAsia="zh-CN"/>
        </w:rPr>
        <w:t>c</w:t>
      </w:r>
      <w:r>
        <w:rPr>
          <w:rFonts w:ascii="Times New Roman" w:hAnsi="Times New Roman" w:cs="Times New Roman"/>
          <w:szCs w:val="21"/>
        </w:rPr>
        <w:t>) and MBP-positive (</w:t>
      </w:r>
      <w:r>
        <w:rPr>
          <w:rFonts w:hint="eastAsia" w:ascii="Times New Roman" w:hAnsi="Times New Roman" w:cs="Times New Roman"/>
          <w:szCs w:val="21"/>
          <w:lang w:val="en-US" w:eastAsia="zh-CN"/>
        </w:rPr>
        <w:t>d</w:t>
      </w:r>
      <w:r>
        <w:rPr>
          <w:rFonts w:ascii="Times New Roman" w:hAnsi="Times New Roman" w:cs="Times New Roman"/>
          <w:szCs w:val="21"/>
        </w:rPr>
        <w:t>) fluorescence area as a percentage of total area in the SP5C region. (</w:t>
      </w:r>
      <w:r>
        <w:rPr>
          <w:rFonts w:hint="eastAsia" w:ascii="Times New Roman" w:hAnsi="Times New Roman" w:cs="Times New Roman"/>
          <w:szCs w:val="21"/>
          <w:lang w:val="en-US" w:eastAsia="zh-CN"/>
        </w:rPr>
        <w:t>e</w:t>
      </w:r>
      <w:r>
        <w:rPr>
          <w:rFonts w:ascii="Times New Roman" w:hAnsi="Times New Roman" w:cs="Times New Roman"/>
          <w:szCs w:val="21"/>
        </w:rPr>
        <w:t>) Representative Western blot images of NF200 and MBP in SP5C tissue, with β-actin (or GAPDH) as the loading control. (</w:t>
      </w:r>
      <w:r>
        <w:rPr>
          <w:rFonts w:hint="eastAsia" w:ascii="Times New Roman" w:hAnsi="Times New Roman" w:cs="Times New Roman"/>
          <w:szCs w:val="21"/>
          <w:lang w:val="en-US" w:eastAsia="zh-CN"/>
        </w:rPr>
        <w:t>f</w:t>
      </w:r>
      <w:r>
        <w:rPr>
          <w:rFonts w:ascii="Times New Roman" w:hAnsi="Times New Roman" w:cs="Times New Roman"/>
          <w:szCs w:val="21"/>
        </w:rPr>
        <w:t xml:space="preserve">, </w:t>
      </w:r>
      <w:r>
        <w:rPr>
          <w:rFonts w:hint="eastAsia" w:ascii="Times New Roman" w:hAnsi="Times New Roman" w:cs="Times New Roman"/>
          <w:szCs w:val="21"/>
          <w:lang w:val="en-US" w:eastAsia="zh-CN"/>
        </w:rPr>
        <w:t>g</w:t>
      </w:r>
      <w:r>
        <w:rPr>
          <w:rFonts w:ascii="Times New Roman" w:hAnsi="Times New Roman" w:cs="Times New Roman"/>
          <w:szCs w:val="21"/>
        </w:rPr>
        <w:t>) Densitometric quantification of NF200 (</w:t>
      </w:r>
      <w:r>
        <w:rPr>
          <w:rFonts w:hint="eastAsia" w:ascii="Times New Roman" w:hAnsi="Times New Roman" w:cs="Times New Roman"/>
          <w:szCs w:val="21"/>
          <w:lang w:val="en-US" w:eastAsia="zh-CN"/>
        </w:rPr>
        <w:t>f</w:t>
      </w:r>
      <w:r>
        <w:rPr>
          <w:rFonts w:ascii="Times New Roman" w:hAnsi="Times New Roman" w:cs="Times New Roman"/>
          <w:szCs w:val="21"/>
        </w:rPr>
        <w:t>) and MBP (</w:t>
      </w:r>
      <w:r>
        <w:rPr>
          <w:rFonts w:hint="eastAsia" w:ascii="Times New Roman" w:hAnsi="Times New Roman" w:cs="Times New Roman"/>
          <w:szCs w:val="21"/>
          <w:lang w:val="en-US" w:eastAsia="zh-CN"/>
        </w:rPr>
        <w:t>g</w:t>
      </w:r>
      <w:r>
        <w:rPr>
          <w:rFonts w:ascii="Times New Roman" w:hAnsi="Times New Roman" w:cs="Times New Roman"/>
          <w:szCs w:val="21"/>
        </w:rPr>
        <w:t xml:space="preserve">) protein levels, normalized to the loading control. Data are presented as mean </w:t>
      </w:r>
      <w:r>
        <w:rPr>
          <w:rFonts w:hint="eastAsia" w:ascii="Times New Roman" w:hAnsi="Times New Roman" w:cs="Times New Roman"/>
          <w:szCs w:val="21"/>
        </w:rPr>
        <w:t>±</w:t>
      </w:r>
      <w:r>
        <w:rPr>
          <w:rFonts w:ascii="Times New Roman" w:hAnsi="Times New Roman" w:cs="Times New Roman"/>
          <w:szCs w:val="21"/>
        </w:rPr>
        <w:t xml:space="preserve"> SEM. n = 3 per group. Each dot represents an independent biological sample; one-way ANOVA followed by Tukey’s post hoc test. .</w:t>
      </w:r>
    </w:p>
    <w:p w14:paraId="17A87596">
      <w:pPr>
        <w:rPr>
          <w:rFonts w:ascii="Times New Roman" w:hAnsi="Times New Roman" w:cs="Times New Roma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174615" cy="5683250"/>
            <wp:effectExtent l="0" t="0" r="6985" b="1270"/>
            <wp:docPr id="14" name="图片 14" descr="肉毒经典路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肉毒经典路径"/>
                    <pic:cNvPicPr>
                      <a:picLocks noChangeAspect="1"/>
                    </pic:cNvPicPr>
                  </pic:nvPicPr>
                  <pic:blipFill>
                    <a:blip r:embed="rId6"/>
                    <a:srcRect l="1796" t="1192"/>
                    <a:stretch>
                      <a:fillRect/>
                    </a:stretch>
                  </pic:blipFill>
                  <pic:spPr>
                    <a:xfrm>
                      <a:off x="0" y="0"/>
                      <a:ext cx="5174615" cy="568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BA16B3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Additional File 2. The effect of BoNT/A on the expression of CGRP and pain-related proteins in the SP5C region of TN model mice</w:t>
      </w:r>
    </w:p>
    <w:p w14:paraId="46EEEDB0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(</w:t>
      </w:r>
      <w:r>
        <w:rPr>
          <w:rFonts w:hint="eastAsia" w:ascii="Times New Roman" w:hAnsi="Times New Roman" w:cs="Times New Roman"/>
          <w:szCs w:val="21"/>
          <w:lang w:val="en-US" w:eastAsia="zh-CN"/>
        </w:rPr>
        <w:t>a</w:t>
      </w:r>
      <w:r>
        <w:rPr>
          <w:rFonts w:ascii="Times New Roman" w:hAnsi="Times New Roman" w:cs="Times New Roman"/>
          <w:szCs w:val="21"/>
        </w:rPr>
        <w:t>) Representative immunofluorescence images of CGRP in the spinal trigeminal nucleus caudalis (SP5C) from the three groups. Scale bar: 200 μm. (</w:t>
      </w:r>
      <w:r>
        <w:rPr>
          <w:rFonts w:hint="eastAsia" w:ascii="Times New Roman" w:hAnsi="Times New Roman" w:cs="Times New Roman"/>
          <w:szCs w:val="21"/>
          <w:lang w:val="en-US" w:eastAsia="zh-CN"/>
        </w:rPr>
        <w:t>b</w:t>
      </w:r>
      <w:r>
        <w:rPr>
          <w:rFonts w:ascii="Times New Roman" w:hAnsi="Times New Roman" w:cs="Times New Roman"/>
          <w:szCs w:val="21"/>
        </w:rPr>
        <w:t>) Semi-quantitative analysis of CGRP immunofluorescence intensity in the SP5C region. (</w:t>
      </w:r>
      <w:r>
        <w:rPr>
          <w:rFonts w:hint="eastAsia" w:ascii="Times New Roman" w:hAnsi="Times New Roman" w:cs="Times New Roman"/>
          <w:szCs w:val="21"/>
          <w:lang w:val="en-US" w:eastAsia="zh-CN"/>
        </w:rPr>
        <w:t>c</w:t>
      </w:r>
      <w:r>
        <w:rPr>
          <w:rFonts w:ascii="Times New Roman" w:hAnsi="Times New Roman" w:cs="Times New Roman"/>
          <w:szCs w:val="21"/>
        </w:rPr>
        <w:t xml:space="preserve">) Relative mRNA expression of Calca (encoding CGRP) in SP5C tissue, normalized to </w:t>
      </w:r>
      <w:r>
        <w:rPr>
          <w:rFonts w:hint="eastAsia" w:ascii="Times New Roman" w:hAnsi="Times New Roman" w:cs="Times New Roman"/>
          <w:szCs w:val="21"/>
          <w:lang w:val="en-US" w:eastAsia="zh-CN"/>
        </w:rPr>
        <w:t>GAPDH</w:t>
      </w:r>
      <w:r>
        <w:rPr>
          <w:rFonts w:ascii="Times New Roman" w:hAnsi="Times New Roman" w:cs="Times New Roman"/>
          <w:szCs w:val="21"/>
        </w:rPr>
        <w:t>. (</w:t>
      </w:r>
      <w:r>
        <w:rPr>
          <w:rFonts w:hint="eastAsia" w:ascii="Times New Roman" w:hAnsi="Times New Roman" w:cs="Times New Roman"/>
          <w:szCs w:val="21"/>
          <w:lang w:val="en-US" w:eastAsia="zh-CN"/>
        </w:rPr>
        <w:t>d</w:t>
      </w:r>
      <w:r>
        <w:rPr>
          <w:rFonts w:ascii="Times New Roman" w:hAnsi="Times New Roman" w:cs="Times New Roman"/>
          <w:szCs w:val="21"/>
        </w:rPr>
        <w:t xml:space="preserve">) Representative Western blot images of CGRP in SP5C tissue, with </w:t>
      </w:r>
      <w:r>
        <w:rPr>
          <w:rFonts w:hint="eastAsia" w:ascii="Times New Roman" w:hAnsi="Times New Roman" w:cs="Times New Roman"/>
          <w:szCs w:val="21"/>
          <w:lang w:val="en-US" w:eastAsia="zh-CN"/>
        </w:rPr>
        <w:t>GAPDH</w:t>
      </w:r>
      <w:bookmarkStart w:id="0" w:name="_GoBack"/>
      <w:bookmarkEnd w:id="0"/>
      <w:r>
        <w:rPr>
          <w:rFonts w:ascii="Times New Roman" w:hAnsi="Times New Roman" w:cs="Times New Roman"/>
          <w:szCs w:val="21"/>
        </w:rPr>
        <w:t xml:space="preserve"> as the loading control. (</w:t>
      </w:r>
      <w:r>
        <w:rPr>
          <w:rFonts w:hint="eastAsia" w:ascii="Times New Roman" w:hAnsi="Times New Roman" w:cs="Times New Roman"/>
          <w:szCs w:val="21"/>
          <w:lang w:val="en-US" w:eastAsia="zh-CN"/>
        </w:rPr>
        <w:t>e</w:t>
      </w:r>
      <w:r>
        <w:rPr>
          <w:rFonts w:ascii="Times New Roman" w:hAnsi="Times New Roman" w:cs="Times New Roman"/>
          <w:szCs w:val="21"/>
        </w:rPr>
        <w:t xml:space="preserve">) Densitometric quantification of CGRP protein levels, normalized to </w:t>
      </w:r>
      <w:r>
        <w:rPr>
          <w:rFonts w:hint="eastAsia" w:ascii="Times New Roman" w:hAnsi="Times New Roman" w:cs="Times New Roman"/>
          <w:szCs w:val="21"/>
          <w:lang w:val="en-US" w:eastAsia="zh-CN"/>
        </w:rPr>
        <w:t>GAPDH</w:t>
      </w:r>
      <w:r>
        <w:rPr>
          <w:rFonts w:ascii="Times New Roman" w:hAnsi="Times New Roman" w:cs="Times New Roman"/>
          <w:szCs w:val="21"/>
        </w:rPr>
        <w:t>. (</w:t>
      </w:r>
      <w:r>
        <w:rPr>
          <w:rFonts w:hint="eastAsia" w:ascii="Times New Roman" w:hAnsi="Times New Roman" w:cs="Times New Roman"/>
          <w:szCs w:val="21"/>
          <w:lang w:val="en-US" w:eastAsia="zh-CN"/>
        </w:rPr>
        <w:t>f</w:t>
      </w:r>
      <w:r>
        <w:rPr>
          <w:rFonts w:ascii="Times New Roman" w:hAnsi="Times New Roman" w:cs="Times New Roman"/>
          <w:szCs w:val="21"/>
        </w:rPr>
        <w:t>) Representative Western blot images of TRPV1, SNAP25, and SV2A in SP5C tissue, with β-actin as the loading control. (</w:t>
      </w:r>
      <w:r>
        <w:rPr>
          <w:rFonts w:hint="eastAsia" w:ascii="Times New Roman" w:hAnsi="Times New Roman" w:cs="Times New Roman"/>
          <w:szCs w:val="21"/>
          <w:lang w:val="en-US" w:eastAsia="zh-CN"/>
        </w:rPr>
        <w:t>g</w:t>
      </w:r>
      <w:r>
        <w:rPr>
          <w:rFonts w:ascii="Times New Roman" w:hAnsi="Times New Roman" w:cs="Times New Roman"/>
          <w:szCs w:val="21"/>
        </w:rPr>
        <w:t>–</w:t>
      </w:r>
      <w:r>
        <w:rPr>
          <w:rFonts w:hint="eastAsia" w:ascii="Times New Roman" w:hAnsi="Times New Roman" w:cs="Times New Roman"/>
          <w:szCs w:val="21"/>
          <w:lang w:val="en-US" w:eastAsia="zh-CN"/>
        </w:rPr>
        <w:t>j</w:t>
      </w:r>
      <w:r>
        <w:rPr>
          <w:rFonts w:ascii="Times New Roman" w:hAnsi="Times New Roman" w:cs="Times New Roman"/>
          <w:szCs w:val="21"/>
        </w:rPr>
        <w:t>) Densitometric quantification of TRPV1 (</w:t>
      </w:r>
      <w:r>
        <w:rPr>
          <w:rFonts w:hint="eastAsia" w:ascii="Times New Roman" w:hAnsi="Times New Roman" w:cs="Times New Roman"/>
          <w:szCs w:val="21"/>
          <w:lang w:val="en-US" w:eastAsia="zh-CN"/>
        </w:rPr>
        <w:t>g</w:t>
      </w:r>
      <w:r>
        <w:rPr>
          <w:rFonts w:ascii="Times New Roman" w:hAnsi="Times New Roman" w:cs="Times New Roman"/>
          <w:szCs w:val="21"/>
        </w:rPr>
        <w:t>), SNAP25 (</w:t>
      </w:r>
      <w:r>
        <w:rPr>
          <w:rFonts w:hint="eastAsia" w:ascii="Times New Roman" w:hAnsi="Times New Roman" w:cs="Times New Roman"/>
          <w:szCs w:val="21"/>
          <w:lang w:val="en-US" w:eastAsia="zh-CN"/>
        </w:rPr>
        <w:t>h</w:t>
      </w:r>
      <w:r>
        <w:rPr>
          <w:rFonts w:ascii="Times New Roman" w:hAnsi="Times New Roman" w:cs="Times New Roman"/>
          <w:szCs w:val="21"/>
        </w:rPr>
        <w:t>), and SV2A (</w:t>
      </w:r>
      <w:r>
        <w:rPr>
          <w:rFonts w:hint="eastAsia" w:ascii="Times New Roman" w:hAnsi="Times New Roman" w:cs="Times New Roman"/>
          <w:szCs w:val="21"/>
          <w:lang w:val="en-US" w:eastAsia="zh-CN"/>
        </w:rPr>
        <w:t>i</w:t>
      </w:r>
      <w:r>
        <w:rPr>
          <w:rFonts w:ascii="Times New Roman" w:hAnsi="Times New Roman" w:cs="Times New Roman"/>
          <w:szCs w:val="21"/>
        </w:rPr>
        <w:t xml:space="preserve">) protein levels, normalized to β-actin. Data are presented as mean </w:t>
      </w:r>
      <w:r>
        <w:rPr>
          <w:rFonts w:hint="eastAsia" w:ascii="Times New Roman" w:hAnsi="Times New Roman" w:cs="Times New Roman"/>
          <w:szCs w:val="21"/>
        </w:rPr>
        <w:t>±</w:t>
      </w:r>
      <w:r>
        <w:rPr>
          <w:rFonts w:ascii="Times New Roman" w:hAnsi="Times New Roman" w:cs="Times New Roman"/>
          <w:szCs w:val="21"/>
        </w:rPr>
        <w:t xml:space="preserve"> SEM. n = 3 per group. Each dot represents an independent biological sample; one-way ANOVA followed by Tukey’s post hoc test.</w:t>
      </w:r>
    </w:p>
    <w:p w14:paraId="5C13AE68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.</w:t>
      </w:r>
    </w:p>
    <w:p w14:paraId="4EA8892B">
      <w:pPr>
        <w:rPr>
          <w:rFonts w:ascii="Times New Roman" w:hAnsi="Times New Roman" w:cs="Times New Roman"/>
          <w:szCs w:val="21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5361305"/>
            <wp:effectExtent l="0" t="0" r="3810" b="3175"/>
            <wp:docPr id="16" name="图片 16" descr="NaV1.7-NaV1.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NaV1.7-NaV1.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5361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237722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Additional File 3. The regulation of BoNT/A on the expression of Na</w:t>
      </w:r>
      <w:r>
        <w:rPr>
          <w:rFonts w:ascii="Times New Roman" w:hAnsi="Times New Roman" w:cs="Times New Roman"/>
          <w:b/>
          <w:bCs/>
          <w:szCs w:val="21"/>
          <w:vertAlign w:val="subscript"/>
        </w:rPr>
        <w:t>v</w:t>
      </w:r>
      <w:r>
        <w:rPr>
          <w:rFonts w:ascii="Times New Roman" w:hAnsi="Times New Roman" w:cs="Times New Roman"/>
          <w:b/>
          <w:bCs/>
          <w:szCs w:val="21"/>
        </w:rPr>
        <w:t xml:space="preserve"> channels in the trigeminal ganglia of TN model mice.</w:t>
      </w:r>
    </w:p>
    <w:p w14:paraId="3DAC260D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(</w:t>
      </w:r>
      <w:r>
        <w:rPr>
          <w:rFonts w:hint="eastAsia" w:ascii="Times New Roman" w:hAnsi="Times New Roman" w:cs="Times New Roman"/>
          <w:szCs w:val="21"/>
          <w:lang w:val="en-US" w:eastAsia="zh-CN"/>
        </w:rPr>
        <w:t>a</w:t>
      </w:r>
      <w:r>
        <w:rPr>
          <w:rFonts w:ascii="Times New Roman" w:hAnsi="Times New Roman" w:cs="Times New Roman"/>
          <w:szCs w:val="21"/>
        </w:rPr>
        <w:t>) Representative immunofluorescence images of NaV1.7 (red) and NaV1.8 (green) in TG sections from the three groups, with DAPI (blue) as the nuclear counterstain. (</w:t>
      </w:r>
      <w:r>
        <w:rPr>
          <w:rFonts w:hint="eastAsia" w:ascii="Times New Roman" w:hAnsi="Times New Roman" w:cs="Times New Roman"/>
          <w:szCs w:val="21"/>
          <w:lang w:val="en-US" w:eastAsia="zh-CN"/>
        </w:rPr>
        <w:t>b</w:t>
      </w:r>
      <w:r>
        <w:rPr>
          <w:rFonts w:ascii="Times New Roman" w:hAnsi="Times New Roman" w:cs="Times New Roman"/>
          <w:szCs w:val="21"/>
        </w:rPr>
        <w:t xml:space="preserve">, </w:t>
      </w:r>
      <w:r>
        <w:rPr>
          <w:rFonts w:hint="eastAsia" w:ascii="Times New Roman" w:hAnsi="Times New Roman" w:cs="Times New Roman"/>
          <w:szCs w:val="21"/>
          <w:lang w:val="en-US" w:eastAsia="zh-CN"/>
        </w:rPr>
        <w:t>c</w:t>
      </w:r>
      <w:r>
        <w:rPr>
          <w:rFonts w:ascii="Times New Roman" w:hAnsi="Times New Roman" w:cs="Times New Roman"/>
          <w:szCs w:val="21"/>
        </w:rPr>
        <w:t>) Quantification of NaV1.7</w:t>
      </w:r>
      <w:r>
        <w:rPr>
          <w:rFonts w:ascii="Times New Roman" w:hAnsi="Times New Roman" w:cs="Times New Roman"/>
          <w:szCs w:val="21"/>
          <w:vertAlign w:val="superscript"/>
        </w:rPr>
        <w:t>+</w:t>
      </w:r>
      <w:r>
        <w:rPr>
          <w:rFonts w:ascii="Times New Roman" w:hAnsi="Times New Roman" w:cs="Times New Roman"/>
          <w:szCs w:val="21"/>
        </w:rPr>
        <w:t xml:space="preserve"> (B) and NaV1.8</w:t>
      </w:r>
      <w:r>
        <w:rPr>
          <w:rFonts w:ascii="Times New Roman" w:hAnsi="Times New Roman" w:cs="Times New Roman"/>
          <w:szCs w:val="21"/>
          <w:vertAlign w:val="superscript"/>
        </w:rPr>
        <w:t>+</w:t>
      </w:r>
      <w:r>
        <w:rPr>
          <w:rFonts w:ascii="Times New Roman" w:hAnsi="Times New Roman" w:cs="Times New Roman"/>
          <w:szCs w:val="21"/>
        </w:rPr>
        <w:t xml:space="preserve"> (</w:t>
      </w:r>
      <w:r>
        <w:rPr>
          <w:rFonts w:hint="eastAsia" w:ascii="Times New Roman" w:hAnsi="Times New Roman" w:cs="Times New Roman"/>
          <w:szCs w:val="21"/>
          <w:lang w:val="en-US" w:eastAsia="zh-CN"/>
        </w:rPr>
        <w:t>c</w:t>
      </w:r>
      <w:r>
        <w:rPr>
          <w:rFonts w:ascii="Times New Roman" w:hAnsi="Times New Roman" w:cs="Times New Roman"/>
          <w:szCs w:val="21"/>
        </w:rPr>
        <w:t>) neuron density (cells per mm</w:t>
      </w:r>
      <w:r>
        <w:rPr>
          <w:rFonts w:ascii="Times New Roman" w:hAnsi="Times New Roman" w:cs="Times New Roman"/>
          <w:szCs w:val="21"/>
          <w:vertAlign w:val="superscript"/>
        </w:rPr>
        <w:t>2</w:t>
      </w:r>
      <w:r>
        <w:rPr>
          <w:rFonts w:ascii="Times New Roman" w:hAnsi="Times New Roman" w:cs="Times New Roman"/>
          <w:szCs w:val="21"/>
        </w:rPr>
        <w:t>) in TG sections. (</w:t>
      </w:r>
      <w:r>
        <w:rPr>
          <w:rFonts w:hint="eastAsia" w:ascii="Times New Roman" w:hAnsi="Times New Roman" w:cs="Times New Roman"/>
          <w:szCs w:val="21"/>
          <w:lang w:val="en-US" w:eastAsia="zh-CN"/>
        </w:rPr>
        <w:t>d</w:t>
      </w:r>
      <w:r>
        <w:rPr>
          <w:rFonts w:ascii="Times New Roman" w:hAnsi="Times New Roman" w:cs="Times New Roman"/>
          <w:szCs w:val="21"/>
        </w:rPr>
        <w:t>) Relative mRNA expression of Na</w:t>
      </w:r>
      <w:r>
        <w:rPr>
          <w:rFonts w:ascii="Times New Roman" w:hAnsi="Times New Roman" w:cs="Times New Roman"/>
          <w:szCs w:val="21"/>
          <w:vertAlign w:val="subscript"/>
        </w:rPr>
        <w:t>V</w:t>
      </w:r>
      <w:r>
        <w:rPr>
          <w:rFonts w:ascii="Times New Roman" w:hAnsi="Times New Roman" w:cs="Times New Roman"/>
          <w:szCs w:val="21"/>
        </w:rPr>
        <w:t xml:space="preserve"> channel subtypes (</w:t>
      </w:r>
      <w:r>
        <w:rPr>
          <w:rFonts w:ascii="Times New Roman" w:hAnsi="Times New Roman" w:cs="Times New Roman"/>
          <w:i/>
          <w:iCs/>
          <w:szCs w:val="21"/>
        </w:rPr>
        <w:t>Scn3a</w:t>
      </w:r>
      <w:r>
        <w:rPr>
          <w:rFonts w:ascii="Times New Roman" w:hAnsi="Times New Roman" w:cs="Times New Roman"/>
          <w:szCs w:val="21"/>
        </w:rPr>
        <w:t xml:space="preserve"> encoding NaV1.3, </w:t>
      </w:r>
      <w:r>
        <w:rPr>
          <w:rFonts w:ascii="Times New Roman" w:hAnsi="Times New Roman" w:cs="Times New Roman"/>
          <w:i/>
          <w:iCs/>
          <w:szCs w:val="21"/>
        </w:rPr>
        <w:t>Scn9a</w:t>
      </w:r>
      <w:r>
        <w:rPr>
          <w:rFonts w:ascii="Times New Roman" w:hAnsi="Times New Roman" w:cs="Times New Roman"/>
          <w:szCs w:val="21"/>
        </w:rPr>
        <w:t xml:space="preserve"> encoding NaV1.7, </w:t>
      </w:r>
      <w:r>
        <w:rPr>
          <w:rFonts w:ascii="Times New Roman" w:hAnsi="Times New Roman" w:cs="Times New Roman"/>
          <w:i/>
          <w:iCs/>
          <w:szCs w:val="21"/>
        </w:rPr>
        <w:t>Scn10a</w:t>
      </w:r>
      <w:r>
        <w:rPr>
          <w:rFonts w:ascii="Times New Roman" w:hAnsi="Times New Roman" w:cs="Times New Roman"/>
          <w:szCs w:val="21"/>
        </w:rPr>
        <w:t xml:space="preserve"> encoding NaV1.8, and </w:t>
      </w:r>
      <w:r>
        <w:rPr>
          <w:rFonts w:ascii="Times New Roman" w:hAnsi="Times New Roman" w:cs="Times New Roman"/>
          <w:i/>
          <w:iCs/>
          <w:szCs w:val="21"/>
        </w:rPr>
        <w:t>Scn11a</w:t>
      </w:r>
      <w:r>
        <w:rPr>
          <w:rFonts w:ascii="Times New Roman" w:hAnsi="Times New Roman" w:cs="Times New Roman"/>
          <w:szCs w:val="21"/>
        </w:rPr>
        <w:t xml:space="preserve"> encoding NaV1.9) in TG tissue, normalized to β-actin. (</w:t>
      </w:r>
      <w:r>
        <w:rPr>
          <w:rFonts w:hint="eastAsia" w:ascii="Times New Roman" w:hAnsi="Times New Roman" w:cs="Times New Roman"/>
          <w:szCs w:val="21"/>
          <w:lang w:val="en-US" w:eastAsia="zh-CN"/>
        </w:rPr>
        <w:t>e</w:t>
      </w:r>
      <w:r>
        <w:rPr>
          <w:rFonts w:ascii="Times New Roman" w:hAnsi="Times New Roman" w:cs="Times New Roman"/>
          <w:szCs w:val="21"/>
        </w:rPr>
        <w:t>) Representative Western blot images of NaV1.7 in TG tissue, with β-actin as the loading control. (</w:t>
      </w:r>
      <w:r>
        <w:rPr>
          <w:rFonts w:hint="eastAsia" w:ascii="Times New Roman" w:hAnsi="Times New Roman" w:cs="Times New Roman"/>
          <w:szCs w:val="21"/>
          <w:lang w:val="en-US" w:eastAsia="zh-CN"/>
        </w:rPr>
        <w:t>f</w:t>
      </w:r>
      <w:r>
        <w:rPr>
          <w:rFonts w:ascii="Times New Roman" w:hAnsi="Times New Roman" w:cs="Times New Roman"/>
          <w:szCs w:val="21"/>
        </w:rPr>
        <w:t>) Densitometric quantification of NaV1.7 protein levels, normalized to β-actin. (</w:t>
      </w:r>
      <w:r>
        <w:rPr>
          <w:rFonts w:hint="eastAsia" w:ascii="Times New Roman" w:hAnsi="Times New Roman" w:cs="Times New Roman"/>
          <w:szCs w:val="21"/>
          <w:lang w:val="en-US" w:eastAsia="zh-CN"/>
        </w:rPr>
        <w:t>g</w:t>
      </w:r>
      <w:r>
        <w:rPr>
          <w:rFonts w:ascii="Times New Roman" w:hAnsi="Times New Roman" w:cs="Times New Roman"/>
          <w:szCs w:val="21"/>
        </w:rPr>
        <w:t>) Representative Western blot images of NaV1.8 in TG tissue, with β-tubulin as the loading control. (</w:t>
      </w:r>
      <w:r>
        <w:rPr>
          <w:rFonts w:hint="eastAsia" w:ascii="Times New Roman" w:hAnsi="Times New Roman" w:cs="Times New Roman"/>
          <w:szCs w:val="21"/>
          <w:lang w:val="en-US" w:eastAsia="zh-CN"/>
        </w:rPr>
        <w:t>h</w:t>
      </w:r>
      <w:r>
        <w:rPr>
          <w:rFonts w:ascii="Times New Roman" w:hAnsi="Times New Roman" w:cs="Times New Roman"/>
          <w:szCs w:val="21"/>
        </w:rPr>
        <w:t xml:space="preserve">) Densitometric quantification of NaV1.8 protein levels, normalized to β-tubulin. Data are presented as mean </w:t>
      </w:r>
      <w:r>
        <w:rPr>
          <w:rFonts w:hint="eastAsia" w:ascii="Times New Roman" w:hAnsi="Times New Roman" w:cs="Times New Roman"/>
          <w:szCs w:val="21"/>
        </w:rPr>
        <w:t>±</w:t>
      </w:r>
      <w:r>
        <w:rPr>
          <w:rFonts w:ascii="Times New Roman" w:hAnsi="Times New Roman" w:cs="Times New Roman"/>
          <w:szCs w:val="21"/>
        </w:rPr>
        <w:t xml:space="preserve"> SEM. n = 3–5 per group; one-way ANOVA followed by Tukey’s post hoc test. .</w:t>
      </w:r>
    </w:p>
    <w:p w14:paraId="5D784830">
      <w:pPr>
        <w:spacing w:line="360" w:lineRule="auto"/>
        <w:rPr>
          <w:rFonts w:ascii="Times New Roman" w:hAnsi="Times New Roman" w:cs="Times New Roman"/>
          <w:szCs w:val="21"/>
        </w:rPr>
      </w:pPr>
    </w:p>
    <w:p w14:paraId="4DEBE16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4147185" cy="5637530"/>
            <wp:effectExtent l="0" t="0" r="13335" b="1270"/>
            <wp:docPr id="12" name="图片 12" descr="NaV1.7-NaV1.8-延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NaV1.7-NaV1.8-延髓"/>
                    <pic:cNvPicPr>
                      <a:picLocks noChangeAspect="1"/>
                    </pic:cNvPicPr>
                  </pic:nvPicPr>
                  <pic:blipFill>
                    <a:blip r:embed="rId8"/>
                    <a:srcRect l="21342" t="68"/>
                    <a:stretch>
                      <a:fillRect/>
                    </a:stretch>
                  </pic:blipFill>
                  <pic:spPr>
                    <a:xfrm>
                      <a:off x="0" y="0"/>
                      <a:ext cx="4147185" cy="5637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8DEC2D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Additional File 4. Analysis of the expression changes of Na</w:t>
      </w:r>
      <w:r>
        <w:rPr>
          <w:rFonts w:ascii="Times New Roman" w:hAnsi="Times New Roman" w:cs="Times New Roman"/>
          <w:szCs w:val="21"/>
        </w:rPr>
        <w:t>V</w:t>
      </w:r>
      <w:r>
        <w:rPr>
          <w:rFonts w:ascii="Times New Roman" w:hAnsi="Times New Roman" w:cs="Times New Roman"/>
          <w:b/>
          <w:bCs/>
          <w:szCs w:val="21"/>
        </w:rPr>
        <w:t xml:space="preserve"> subtypes in SP5C of TN mice after BoNT/A intervention.</w:t>
      </w:r>
    </w:p>
    <w:p w14:paraId="78968370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(</w:t>
      </w:r>
      <w:r>
        <w:rPr>
          <w:rFonts w:hint="eastAsia" w:ascii="Times New Roman" w:hAnsi="Times New Roman" w:cs="Times New Roman"/>
          <w:szCs w:val="21"/>
          <w:lang w:val="en-US" w:eastAsia="zh-CN"/>
        </w:rPr>
        <w:t>a</w:t>
      </w:r>
      <w:r>
        <w:rPr>
          <w:rFonts w:ascii="Times New Roman" w:hAnsi="Times New Roman" w:cs="Times New Roman"/>
          <w:szCs w:val="21"/>
        </w:rPr>
        <w:t>) Relative mRNA expression of Naᵥ channel subtypes (Scn3a encoding NaV1.3, Scn9a encoding NaV1.7, Scn10a encoding NaV1.8, and Scn11a encoding NaV1.9) in the spinal trigeminal nucleus caudalis (SP5C) detected by RT-qPCR, normalized to β-actin. (</w:t>
      </w:r>
      <w:r>
        <w:rPr>
          <w:rFonts w:hint="eastAsia" w:ascii="Times New Roman" w:hAnsi="Times New Roman" w:cs="Times New Roman"/>
          <w:szCs w:val="21"/>
          <w:lang w:val="en-US" w:eastAsia="zh-CN"/>
        </w:rPr>
        <w:t>b</w:t>
      </w:r>
      <w:r>
        <w:rPr>
          <w:rFonts w:ascii="Times New Roman" w:hAnsi="Times New Roman" w:cs="Times New Roman"/>
          <w:szCs w:val="21"/>
        </w:rPr>
        <w:t>) Representative immunofluorescence images of NaV1.8 (green) and NaV1.7 (red) in the SP5C, with DAPI (blue) as the nuclear counterstain. Merged channels are shown in the right panel. (</w:t>
      </w:r>
      <w:r>
        <w:rPr>
          <w:rFonts w:hint="eastAsia" w:ascii="Times New Roman" w:hAnsi="Times New Roman" w:cs="Times New Roman"/>
          <w:szCs w:val="21"/>
          <w:lang w:val="en-US" w:eastAsia="zh-CN"/>
        </w:rPr>
        <w:t>c</w:t>
      </w:r>
      <w:r>
        <w:rPr>
          <w:rFonts w:ascii="Times New Roman" w:hAnsi="Times New Roman" w:cs="Times New Roman"/>
          <w:szCs w:val="21"/>
        </w:rPr>
        <w:t xml:space="preserve">, </w:t>
      </w:r>
      <w:r>
        <w:rPr>
          <w:rFonts w:hint="eastAsia" w:ascii="Times New Roman" w:hAnsi="Times New Roman" w:cs="Times New Roman"/>
          <w:szCs w:val="21"/>
          <w:lang w:val="en-US" w:eastAsia="zh-CN"/>
        </w:rPr>
        <w:t>d</w:t>
      </w:r>
      <w:r>
        <w:rPr>
          <w:rFonts w:ascii="Times New Roman" w:hAnsi="Times New Roman" w:cs="Times New Roman"/>
          <w:szCs w:val="21"/>
        </w:rPr>
        <w:t>) Quantification of NaV1.8 (C) and NaV1.7 (D) relative fluorescence intensity in the SP5C. (</w:t>
      </w:r>
      <w:r>
        <w:rPr>
          <w:rFonts w:hint="eastAsia" w:ascii="Times New Roman" w:hAnsi="Times New Roman" w:cs="Times New Roman"/>
          <w:szCs w:val="21"/>
          <w:lang w:val="en-US" w:eastAsia="zh-CN"/>
        </w:rPr>
        <w:t>e</w:t>
      </w:r>
      <w:r>
        <w:rPr>
          <w:rFonts w:ascii="Times New Roman" w:hAnsi="Times New Roman" w:cs="Times New Roman"/>
          <w:szCs w:val="21"/>
        </w:rPr>
        <w:t>) Representative Western blot images of NaV1.7 in SP5C tissue, with β-actin as the loading control. (</w:t>
      </w:r>
      <w:r>
        <w:rPr>
          <w:rFonts w:hint="eastAsia" w:ascii="Times New Roman" w:hAnsi="Times New Roman" w:cs="Times New Roman"/>
          <w:szCs w:val="21"/>
          <w:lang w:val="en-US" w:eastAsia="zh-CN"/>
        </w:rPr>
        <w:t>f</w:t>
      </w:r>
      <w:r>
        <w:rPr>
          <w:rFonts w:ascii="Times New Roman" w:hAnsi="Times New Roman" w:cs="Times New Roman"/>
          <w:szCs w:val="21"/>
        </w:rPr>
        <w:t>) Densitometric quantification of NaV1.7 protein levels, normalized to β-actin. (</w:t>
      </w:r>
      <w:r>
        <w:rPr>
          <w:rFonts w:hint="eastAsia" w:ascii="Times New Roman" w:hAnsi="Times New Roman" w:cs="Times New Roman"/>
          <w:szCs w:val="21"/>
          <w:lang w:val="en-US" w:eastAsia="zh-CN"/>
        </w:rPr>
        <w:t>g</w:t>
      </w:r>
      <w:r>
        <w:rPr>
          <w:rFonts w:ascii="Times New Roman" w:hAnsi="Times New Roman" w:cs="Times New Roman"/>
          <w:szCs w:val="21"/>
        </w:rPr>
        <w:t>) Representative Western blot images of NaV1.8 in SP5C tissue, with β-tubulin as the loading control. (</w:t>
      </w:r>
      <w:r>
        <w:rPr>
          <w:rFonts w:hint="eastAsia" w:ascii="Times New Roman" w:hAnsi="Times New Roman" w:cs="Times New Roman"/>
          <w:szCs w:val="21"/>
          <w:lang w:val="en-US" w:eastAsia="zh-CN"/>
        </w:rPr>
        <w:t>h</w:t>
      </w:r>
      <w:r>
        <w:rPr>
          <w:rFonts w:ascii="Times New Roman" w:hAnsi="Times New Roman" w:cs="Times New Roman"/>
          <w:szCs w:val="21"/>
        </w:rPr>
        <w:t xml:space="preserve">) Densitometric quantification of NaV1.8 protein levels, normalized to β-tubulin. Data are presented as mean </w:t>
      </w:r>
      <w:r>
        <w:rPr>
          <w:rFonts w:hint="eastAsia" w:ascii="Times New Roman" w:hAnsi="Times New Roman" w:cs="Times New Roman"/>
          <w:szCs w:val="21"/>
        </w:rPr>
        <w:t>±</w:t>
      </w:r>
      <w:r>
        <w:rPr>
          <w:rFonts w:ascii="Times New Roman" w:hAnsi="Times New Roman" w:cs="Times New Roman"/>
          <w:szCs w:val="21"/>
        </w:rPr>
        <w:t xml:space="preserve"> SEM. n = 3 per group. Each dot represents an independent biological sample; one-way ANOVA followed by Tukey’s post hoc test.</w:t>
      </w:r>
    </w:p>
    <w:p w14:paraId="347759D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4869815" cy="6176645"/>
            <wp:effectExtent l="0" t="0" r="6985" b="10795"/>
            <wp:docPr id="11" name="图片 11" descr="N2A常规膜片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N2A常规膜片钳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69815" cy="6176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C0CB59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Additional File 5. BoNT/A can specifically regulate NaV1.7 in N2A cells.</w:t>
      </w:r>
    </w:p>
    <w:p w14:paraId="37FFFB25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(</w:t>
      </w:r>
      <w:r>
        <w:rPr>
          <w:rFonts w:hint="eastAsia" w:ascii="Times New Roman" w:hAnsi="Times New Roman" w:cs="Times New Roman"/>
          <w:szCs w:val="21"/>
          <w:lang w:val="en-US" w:eastAsia="zh-CN"/>
        </w:rPr>
        <w:t>a</w:t>
      </w:r>
      <w:r>
        <w:rPr>
          <w:rFonts w:ascii="Times New Roman" w:hAnsi="Times New Roman" w:cs="Times New Roman"/>
          <w:szCs w:val="21"/>
        </w:rPr>
        <w:t>–</w:t>
      </w:r>
      <w:r>
        <w:rPr>
          <w:rFonts w:hint="eastAsia" w:ascii="Times New Roman" w:hAnsi="Times New Roman" w:cs="Times New Roman"/>
          <w:szCs w:val="21"/>
          <w:lang w:val="en-US" w:eastAsia="zh-CN"/>
        </w:rPr>
        <w:t>c</w:t>
      </w:r>
      <w:r>
        <w:rPr>
          <w:rFonts w:ascii="Times New Roman" w:hAnsi="Times New Roman" w:cs="Times New Roman"/>
          <w:szCs w:val="21"/>
        </w:rPr>
        <w:t>) Representative whole-cell voltage-clamp traces of voltage-gated sodium (Na</w:t>
      </w:r>
      <w:r>
        <w:rPr>
          <w:rFonts w:ascii="Times New Roman" w:hAnsi="Times New Roman" w:cs="Times New Roman"/>
          <w:szCs w:val="21"/>
          <w:vertAlign w:val="subscript"/>
        </w:rPr>
        <w:t>V</w:t>
      </w:r>
      <w:r>
        <w:rPr>
          <w:rFonts w:ascii="Times New Roman" w:hAnsi="Times New Roman" w:cs="Times New Roman"/>
          <w:szCs w:val="21"/>
        </w:rPr>
        <w:t>) currents recorded from acutely dissociated TG neurons under three experimental conditions: Control vs. BoNT/A (</w:t>
      </w:r>
      <w:r>
        <w:rPr>
          <w:rFonts w:hint="eastAsia" w:ascii="Times New Roman" w:hAnsi="Times New Roman" w:cs="Times New Roman"/>
          <w:szCs w:val="21"/>
          <w:lang w:val="en-US" w:eastAsia="zh-CN"/>
        </w:rPr>
        <w:t>a</w:t>
      </w:r>
      <w:r>
        <w:rPr>
          <w:rFonts w:ascii="Times New Roman" w:hAnsi="Times New Roman" w:cs="Times New Roman"/>
          <w:szCs w:val="21"/>
        </w:rPr>
        <w:t>), ProTXII vs. ProTXII + BoNT/A (</w:t>
      </w:r>
      <w:r>
        <w:rPr>
          <w:rFonts w:hint="eastAsia" w:ascii="Times New Roman" w:hAnsi="Times New Roman" w:cs="Times New Roman"/>
          <w:szCs w:val="21"/>
          <w:lang w:val="en-US" w:eastAsia="zh-CN"/>
        </w:rPr>
        <w:t>b</w:t>
      </w:r>
      <w:r>
        <w:rPr>
          <w:rFonts w:ascii="Times New Roman" w:hAnsi="Times New Roman" w:cs="Times New Roman"/>
          <w:szCs w:val="21"/>
        </w:rPr>
        <w:t>), and VX-548 vs. VX-548 + BoNT/A (</w:t>
      </w:r>
      <w:r>
        <w:rPr>
          <w:rFonts w:hint="eastAsia" w:ascii="Times New Roman" w:hAnsi="Times New Roman" w:cs="Times New Roman"/>
          <w:szCs w:val="21"/>
          <w:lang w:val="en-US" w:eastAsia="zh-CN"/>
        </w:rPr>
        <w:t>c</w:t>
      </w:r>
      <w:r>
        <w:rPr>
          <w:rFonts w:ascii="Times New Roman" w:hAnsi="Times New Roman" w:cs="Times New Roman"/>
          <w:szCs w:val="21"/>
        </w:rPr>
        <w:t>). Currents were evoked by step depolarizations from −80 mV to +40 mV. (</w:t>
      </w:r>
      <w:r>
        <w:rPr>
          <w:rFonts w:hint="eastAsia" w:ascii="Times New Roman" w:hAnsi="Times New Roman" w:cs="Times New Roman"/>
          <w:szCs w:val="21"/>
          <w:lang w:val="en-US" w:eastAsia="zh-CN"/>
        </w:rPr>
        <w:t>d</w:t>
      </w:r>
      <w:r>
        <w:rPr>
          <w:rFonts w:ascii="Times New Roman" w:hAnsi="Times New Roman" w:cs="Times New Roman"/>
          <w:szCs w:val="21"/>
        </w:rPr>
        <w:t>–</w:t>
      </w:r>
      <w:r>
        <w:rPr>
          <w:rFonts w:hint="eastAsia" w:ascii="Times New Roman" w:hAnsi="Times New Roman" w:cs="Times New Roman"/>
          <w:szCs w:val="21"/>
          <w:lang w:val="en-US" w:eastAsia="zh-CN"/>
        </w:rPr>
        <w:t>f</w:t>
      </w:r>
      <w:r>
        <w:rPr>
          <w:rFonts w:ascii="Times New Roman" w:hAnsi="Times New Roman" w:cs="Times New Roman"/>
          <w:szCs w:val="21"/>
        </w:rPr>
        <w:t>) Current–voltage (I–V) relationships of peak Na</w:t>
      </w:r>
      <w:r>
        <w:rPr>
          <w:rFonts w:ascii="Times New Roman" w:hAnsi="Times New Roman" w:cs="Times New Roman"/>
          <w:szCs w:val="21"/>
          <w:vertAlign w:val="subscript"/>
        </w:rPr>
        <w:t>V</w:t>
      </w:r>
      <w:r>
        <w:rPr>
          <w:rFonts w:ascii="Times New Roman" w:hAnsi="Times New Roman" w:cs="Times New Roman"/>
          <w:szCs w:val="21"/>
        </w:rPr>
        <w:t xml:space="preserve"> currents (D), and quantification of time to peak (</w:t>
      </w:r>
      <w:r>
        <w:rPr>
          <w:rFonts w:hint="eastAsia" w:ascii="Times New Roman" w:hAnsi="Times New Roman" w:cs="Times New Roman"/>
          <w:szCs w:val="21"/>
          <w:lang w:val="en-US" w:eastAsia="zh-CN"/>
        </w:rPr>
        <w:t>e</w:t>
      </w:r>
      <w:r>
        <w:rPr>
          <w:rFonts w:ascii="Times New Roman" w:hAnsi="Times New Roman" w:cs="Times New Roman"/>
          <w:szCs w:val="21"/>
        </w:rPr>
        <w:t>) and peak current amplitude (</w:t>
      </w:r>
      <w:r>
        <w:rPr>
          <w:rFonts w:hint="eastAsia" w:ascii="Times New Roman" w:hAnsi="Times New Roman" w:cs="Times New Roman"/>
          <w:szCs w:val="21"/>
          <w:lang w:val="en-US" w:eastAsia="zh-CN"/>
        </w:rPr>
        <w:t>f</w:t>
      </w:r>
      <w:r>
        <w:rPr>
          <w:rFonts w:ascii="Times New Roman" w:hAnsi="Times New Roman" w:cs="Times New Roman"/>
          <w:szCs w:val="21"/>
        </w:rPr>
        <w:t>) between the Control and BoNT/A groups. (</w:t>
      </w:r>
      <w:r>
        <w:rPr>
          <w:rFonts w:hint="eastAsia" w:ascii="Times New Roman" w:hAnsi="Times New Roman" w:cs="Times New Roman"/>
          <w:szCs w:val="21"/>
          <w:lang w:val="en-US" w:eastAsia="zh-CN"/>
        </w:rPr>
        <w:t>g</w:t>
      </w:r>
      <w:r>
        <w:rPr>
          <w:rFonts w:ascii="Times New Roman" w:hAnsi="Times New Roman" w:cs="Times New Roman"/>
          <w:szCs w:val="21"/>
        </w:rPr>
        <w:t>–</w:t>
      </w:r>
      <w:r>
        <w:rPr>
          <w:rFonts w:hint="eastAsia" w:ascii="Times New Roman" w:hAnsi="Times New Roman" w:cs="Times New Roman"/>
          <w:szCs w:val="21"/>
          <w:lang w:val="en-US" w:eastAsia="zh-CN"/>
        </w:rPr>
        <w:t>i</w:t>
      </w:r>
      <w:r>
        <w:rPr>
          <w:rFonts w:ascii="Times New Roman" w:hAnsi="Times New Roman" w:cs="Times New Roman"/>
          <w:szCs w:val="21"/>
        </w:rPr>
        <w:t>) I–V relationships (</w:t>
      </w:r>
      <w:r>
        <w:rPr>
          <w:rFonts w:hint="eastAsia" w:ascii="Times New Roman" w:hAnsi="Times New Roman" w:cs="Times New Roman"/>
          <w:szCs w:val="21"/>
          <w:lang w:val="en-US" w:eastAsia="zh-CN"/>
        </w:rPr>
        <w:t>g</w:t>
      </w:r>
      <w:r>
        <w:rPr>
          <w:rFonts w:ascii="Times New Roman" w:hAnsi="Times New Roman" w:cs="Times New Roman"/>
          <w:szCs w:val="21"/>
        </w:rPr>
        <w:t>), time to peak (</w:t>
      </w:r>
      <w:r>
        <w:rPr>
          <w:rFonts w:hint="eastAsia" w:ascii="Times New Roman" w:hAnsi="Times New Roman" w:cs="Times New Roman"/>
          <w:szCs w:val="21"/>
          <w:lang w:val="en-US" w:eastAsia="zh-CN"/>
        </w:rPr>
        <w:t>h</w:t>
      </w:r>
      <w:r>
        <w:rPr>
          <w:rFonts w:ascii="Times New Roman" w:hAnsi="Times New Roman" w:cs="Times New Roman"/>
          <w:szCs w:val="21"/>
        </w:rPr>
        <w:t>), and peak current amplitude (</w:t>
      </w:r>
      <w:r>
        <w:rPr>
          <w:rFonts w:hint="eastAsia" w:ascii="Times New Roman" w:hAnsi="Times New Roman" w:cs="Times New Roman"/>
          <w:szCs w:val="21"/>
          <w:lang w:val="en-US" w:eastAsia="zh-CN"/>
        </w:rPr>
        <w:t>i</w:t>
      </w:r>
      <w:r>
        <w:rPr>
          <w:rFonts w:ascii="Times New Roman" w:hAnsi="Times New Roman" w:cs="Times New Roman"/>
          <w:szCs w:val="21"/>
        </w:rPr>
        <w:t>) between the ProTXII and ProTXII + BoNT/A groups. (</w:t>
      </w:r>
      <w:r>
        <w:rPr>
          <w:rFonts w:hint="eastAsia" w:ascii="Times New Roman" w:hAnsi="Times New Roman" w:cs="Times New Roman"/>
          <w:szCs w:val="21"/>
          <w:lang w:val="en-US" w:eastAsia="zh-CN"/>
        </w:rPr>
        <w:t>j</w:t>
      </w:r>
      <w:r>
        <w:rPr>
          <w:rFonts w:ascii="Times New Roman" w:hAnsi="Times New Roman" w:cs="Times New Roman"/>
          <w:szCs w:val="21"/>
        </w:rPr>
        <w:t>–</w:t>
      </w:r>
      <w:r>
        <w:rPr>
          <w:rFonts w:hint="eastAsia" w:ascii="Times New Roman" w:hAnsi="Times New Roman" w:cs="Times New Roman"/>
          <w:szCs w:val="21"/>
          <w:lang w:val="en-US" w:eastAsia="zh-CN"/>
        </w:rPr>
        <w:t>l</w:t>
      </w:r>
      <w:r>
        <w:rPr>
          <w:rFonts w:ascii="Times New Roman" w:hAnsi="Times New Roman" w:cs="Times New Roman"/>
          <w:szCs w:val="21"/>
        </w:rPr>
        <w:t>) I–V relationships (</w:t>
      </w:r>
      <w:r>
        <w:rPr>
          <w:rFonts w:hint="eastAsia" w:ascii="Times New Roman" w:hAnsi="Times New Roman" w:cs="Times New Roman"/>
          <w:szCs w:val="21"/>
          <w:lang w:val="en-US" w:eastAsia="zh-CN"/>
        </w:rPr>
        <w:t>j</w:t>
      </w:r>
      <w:r>
        <w:rPr>
          <w:rFonts w:ascii="Times New Roman" w:hAnsi="Times New Roman" w:cs="Times New Roman"/>
          <w:szCs w:val="21"/>
        </w:rPr>
        <w:t>), time to peak (</w:t>
      </w:r>
      <w:r>
        <w:rPr>
          <w:rFonts w:hint="eastAsia" w:ascii="Times New Roman" w:hAnsi="Times New Roman" w:cs="Times New Roman"/>
          <w:szCs w:val="21"/>
          <w:lang w:val="en-US" w:eastAsia="zh-CN"/>
        </w:rPr>
        <w:t>k</w:t>
      </w:r>
      <w:r>
        <w:rPr>
          <w:rFonts w:ascii="Times New Roman" w:hAnsi="Times New Roman" w:cs="Times New Roman"/>
          <w:szCs w:val="21"/>
        </w:rPr>
        <w:t>), and peak current amplitude (</w:t>
      </w:r>
      <w:r>
        <w:rPr>
          <w:rFonts w:hint="eastAsia" w:ascii="Times New Roman" w:hAnsi="Times New Roman" w:cs="Times New Roman"/>
          <w:szCs w:val="21"/>
          <w:lang w:val="en-US" w:eastAsia="zh-CN"/>
        </w:rPr>
        <w:t>l</w:t>
      </w:r>
      <w:r>
        <w:rPr>
          <w:rFonts w:ascii="Times New Roman" w:hAnsi="Times New Roman" w:cs="Times New Roman"/>
          <w:szCs w:val="21"/>
        </w:rPr>
        <w:t xml:space="preserve">) between the VX-548 and VX-548 + BoNT/A groups. Data are presented as mean </w:t>
      </w:r>
      <w:r>
        <w:rPr>
          <w:rFonts w:hint="eastAsia" w:ascii="Times New Roman" w:hAnsi="Times New Roman" w:cs="Times New Roman"/>
          <w:szCs w:val="21"/>
        </w:rPr>
        <w:t>±</w:t>
      </w:r>
      <w:r>
        <w:rPr>
          <w:rFonts w:ascii="Times New Roman" w:hAnsi="Times New Roman" w:cs="Times New Roman"/>
          <w:szCs w:val="21"/>
        </w:rPr>
        <w:t xml:space="preserve"> SEM. n = 5 neurons per group. Each dot represents an individual neuron; one-way ANOVA followed by Tukey’s post hoc test for multi-group comparisons; unpaired Student’s t-test for two-group comparisons. .</w:t>
      </w:r>
    </w:p>
    <w:p w14:paraId="2FA5F0FB">
      <w:pPr>
        <w:jc w:val="center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5273040" cy="6120130"/>
            <wp:effectExtent l="0" t="0" r="0" b="6350"/>
            <wp:docPr id="13" name="图片 13" descr="N2A-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N2A-Ol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8E411B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Additional File 6. The effects of OL combined with different sodium channel inhibitors on N2A sodium current</w:t>
      </w:r>
    </w:p>
    <w:p w14:paraId="4E88D809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(</w:t>
      </w:r>
      <w:r>
        <w:rPr>
          <w:rFonts w:hint="eastAsia" w:ascii="Times New Roman" w:hAnsi="Times New Roman" w:cs="Times New Roman"/>
          <w:szCs w:val="21"/>
          <w:lang w:val="en-US" w:eastAsia="zh-CN"/>
        </w:rPr>
        <w:t>a</w:t>
      </w:r>
      <w:r>
        <w:rPr>
          <w:rFonts w:ascii="Times New Roman" w:hAnsi="Times New Roman" w:cs="Times New Roman"/>
          <w:szCs w:val="21"/>
        </w:rPr>
        <w:t>–</w:t>
      </w:r>
      <w:r>
        <w:rPr>
          <w:rFonts w:hint="eastAsia" w:ascii="Times New Roman" w:hAnsi="Times New Roman" w:cs="Times New Roman"/>
          <w:szCs w:val="21"/>
          <w:lang w:val="en-US" w:eastAsia="zh-CN"/>
        </w:rPr>
        <w:t>c</w:t>
      </w:r>
      <w:r>
        <w:rPr>
          <w:rFonts w:ascii="Times New Roman" w:hAnsi="Times New Roman" w:cs="Times New Roman"/>
          <w:szCs w:val="21"/>
        </w:rPr>
        <w:t>) Effect of olcegepant (OL) on total Na</w:t>
      </w:r>
      <w:r>
        <w:rPr>
          <w:rFonts w:ascii="Times New Roman" w:hAnsi="Times New Roman" w:cs="Times New Roman"/>
          <w:szCs w:val="21"/>
          <w:vertAlign w:val="subscript"/>
        </w:rPr>
        <w:t>V</w:t>
      </w:r>
      <w:r>
        <w:rPr>
          <w:rFonts w:ascii="Times New Roman" w:hAnsi="Times New Roman" w:cs="Times New Roman"/>
          <w:szCs w:val="21"/>
        </w:rPr>
        <w:t xml:space="preserve"> currents. (</w:t>
      </w:r>
      <w:r>
        <w:rPr>
          <w:rFonts w:hint="eastAsia" w:ascii="Times New Roman" w:hAnsi="Times New Roman" w:cs="Times New Roman"/>
          <w:szCs w:val="21"/>
          <w:lang w:val="en-US" w:eastAsia="zh-CN"/>
        </w:rPr>
        <w:t>a</w:t>
      </w:r>
      <w:r>
        <w:rPr>
          <w:rFonts w:ascii="Times New Roman" w:hAnsi="Times New Roman" w:cs="Times New Roman"/>
          <w:szCs w:val="21"/>
        </w:rPr>
        <w:t>) Representative whole-cell voltage-clamp traces of voltage-gated sodium (Na</w:t>
      </w:r>
      <w:r>
        <w:rPr>
          <w:rFonts w:ascii="Times New Roman" w:hAnsi="Times New Roman" w:cs="Times New Roman"/>
          <w:szCs w:val="21"/>
          <w:vertAlign w:val="subscript"/>
        </w:rPr>
        <w:t>V</w:t>
      </w:r>
      <w:r>
        <w:rPr>
          <w:rFonts w:ascii="Times New Roman" w:hAnsi="Times New Roman" w:cs="Times New Roman"/>
          <w:szCs w:val="21"/>
        </w:rPr>
        <w:t>) currents recorded from TG neurons in the Control and OL-treated groups. (</w:t>
      </w:r>
      <w:r>
        <w:rPr>
          <w:rFonts w:hint="eastAsia" w:ascii="Times New Roman" w:hAnsi="Times New Roman" w:cs="Times New Roman"/>
          <w:szCs w:val="21"/>
          <w:lang w:val="en-US" w:eastAsia="zh-CN"/>
        </w:rPr>
        <w:t>b</w:t>
      </w:r>
      <w:r>
        <w:rPr>
          <w:rFonts w:ascii="Times New Roman" w:hAnsi="Times New Roman" w:cs="Times New Roman"/>
          <w:szCs w:val="21"/>
        </w:rPr>
        <w:t>) Current–voltage (I–V) relationships of peak Na</w:t>
      </w:r>
      <w:r>
        <w:rPr>
          <w:rFonts w:ascii="Times New Roman" w:hAnsi="Times New Roman" w:cs="Times New Roman"/>
          <w:szCs w:val="21"/>
          <w:vertAlign w:val="subscript"/>
        </w:rPr>
        <w:t>V</w:t>
      </w:r>
      <w:r>
        <w:rPr>
          <w:rFonts w:ascii="Times New Roman" w:hAnsi="Times New Roman" w:cs="Times New Roman"/>
          <w:szCs w:val="21"/>
        </w:rPr>
        <w:t xml:space="preserve"> currents. (</w:t>
      </w:r>
      <w:r>
        <w:rPr>
          <w:rFonts w:hint="eastAsia" w:ascii="Times New Roman" w:hAnsi="Times New Roman" w:cs="Times New Roman"/>
          <w:szCs w:val="21"/>
          <w:lang w:val="en-US" w:eastAsia="zh-CN"/>
        </w:rPr>
        <w:t>c</w:t>
      </w:r>
      <w:r>
        <w:rPr>
          <w:rFonts w:ascii="Times New Roman" w:hAnsi="Times New Roman" w:cs="Times New Roman"/>
          <w:szCs w:val="21"/>
        </w:rPr>
        <w:t>) Quantification of peak Na</w:t>
      </w:r>
      <w:r>
        <w:rPr>
          <w:rFonts w:ascii="Times New Roman" w:hAnsi="Times New Roman" w:cs="Times New Roman"/>
          <w:szCs w:val="21"/>
          <w:vertAlign w:val="subscript"/>
        </w:rPr>
        <w:t>V</w:t>
      </w:r>
      <w:r>
        <w:rPr>
          <w:rFonts w:ascii="Times New Roman" w:hAnsi="Times New Roman" w:cs="Times New Roman"/>
          <w:szCs w:val="21"/>
        </w:rPr>
        <w:t xml:space="preserve"> current amplitude. (</w:t>
      </w:r>
      <w:r>
        <w:rPr>
          <w:rFonts w:hint="eastAsia" w:ascii="Times New Roman" w:hAnsi="Times New Roman" w:cs="Times New Roman"/>
          <w:szCs w:val="21"/>
          <w:lang w:val="en-US" w:eastAsia="zh-CN"/>
        </w:rPr>
        <w:t>d</w:t>
      </w:r>
      <w:r>
        <w:rPr>
          <w:rFonts w:ascii="Times New Roman" w:hAnsi="Times New Roman" w:cs="Times New Roman"/>
          <w:szCs w:val="21"/>
        </w:rPr>
        <w:t>–</w:t>
      </w:r>
      <w:r>
        <w:rPr>
          <w:rFonts w:hint="eastAsia" w:ascii="Times New Roman" w:hAnsi="Times New Roman" w:cs="Times New Roman"/>
          <w:szCs w:val="21"/>
          <w:lang w:val="en-US" w:eastAsia="zh-CN"/>
        </w:rPr>
        <w:t>f</w:t>
      </w:r>
      <w:r>
        <w:rPr>
          <w:rFonts w:ascii="Times New Roman" w:hAnsi="Times New Roman" w:cs="Times New Roman"/>
          <w:szCs w:val="21"/>
        </w:rPr>
        <w:t>) Effect of OL on Na</w:t>
      </w:r>
      <w:r>
        <w:rPr>
          <w:rFonts w:ascii="Times New Roman" w:hAnsi="Times New Roman" w:cs="Times New Roman"/>
          <w:szCs w:val="21"/>
          <w:vertAlign w:val="subscript"/>
        </w:rPr>
        <w:t>V</w:t>
      </w:r>
      <w:r>
        <w:rPr>
          <w:rFonts w:ascii="Times New Roman" w:hAnsi="Times New Roman" w:cs="Times New Roman"/>
          <w:szCs w:val="21"/>
        </w:rPr>
        <w:t xml:space="preserve"> currents in the presence of the NaV1.7-selective inhibitor ProTXII (100 nM). (</w:t>
      </w:r>
      <w:r>
        <w:rPr>
          <w:rFonts w:hint="eastAsia" w:ascii="Times New Roman" w:hAnsi="Times New Roman" w:cs="Times New Roman"/>
          <w:szCs w:val="21"/>
          <w:lang w:val="en-US" w:eastAsia="zh-CN"/>
        </w:rPr>
        <w:t>d</w:t>
      </w:r>
      <w:r>
        <w:rPr>
          <w:rFonts w:ascii="Times New Roman" w:hAnsi="Times New Roman" w:cs="Times New Roman"/>
          <w:szCs w:val="21"/>
        </w:rPr>
        <w:t>) Representative Na</w:t>
      </w:r>
      <w:r>
        <w:rPr>
          <w:rFonts w:ascii="Times New Roman" w:hAnsi="Times New Roman" w:cs="Times New Roman"/>
          <w:szCs w:val="21"/>
          <w:vertAlign w:val="subscript"/>
        </w:rPr>
        <w:t>V</w:t>
      </w:r>
      <w:r>
        <w:rPr>
          <w:rFonts w:ascii="Times New Roman" w:hAnsi="Times New Roman" w:cs="Times New Roman"/>
          <w:szCs w:val="21"/>
        </w:rPr>
        <w:t xml:space="preserve"> current traces from the ProTXII and ProTXII + OL groups. (</w:t>
      </w:r>
      <w:r>
        <w:rPr>
          <w:rFonts w:hint="eastAsia" w:ascii="Times New Roman" w:hAnsi="Times New Roman" w:cs="Times New Roman"/>
          <w:szCs w:val="21"/>
          <w:lang w:val="en-US" w:eastAsia="zh-CN"/>
        </w:rPr>
        <w:t>e</w:t>
      </w:r>
      <w:r>
        <w:rPr>
          <w:rFonts w:ascii="Times New Roman" w:hAnsi="Times New Roman" w:cs="Times New Roman"/>
          <w:szCs w:val="21"/>
        </w:rPr>
        <w:t>) I–V relationships of peak Na</w:t>
      </w:r>
      <w:r>
        <w:rPr>
          <w:rFonts w:ascii="Times New Roman" w:hAnsi="Times New Roman" w:cs="Times New Roman"/>
          <w:szCs w:val="21"/>
          <w:vertAlign w:val="subscript"/>
        </w:rPr>
        <w:t>V</w:t>
      </w:r>
      <w:r>
        <w:rPr>
          <w:rFonts w:ascii="Times New Roman" w:hAnsi="Times New Roman" w:cs="Times New Roman"/>
          <w:szCs w:val="21"/>
        </w:rPr>
        <w:t xml:space="preserve"> currents. (</w:t>
      </w:r>
      <w:r>
        <w:rPr>
          <w:rFonts w:hint="eastAsia" w:ascii="Times New Roman" w:hAnsi="Times New Roman" w:cs="Times New Roman"/>
          <w:szCs w:val="21"/>
          <w:lang w:val="en-US" w:eastAsia="zh-CN"/>
        </w:rPr>
        <w:t>f</w:t>
      </w:r>
      <w:r>
        <w:rPr>
          <w:rFonts w:ascii="Times New Roman" w:hAnsi="Times New Roman" w:cs="Times New Roman"/>
          <w:szCs w:val="21"/>
        </w:rPr>
        <w:t>) Quantification of peak Na</w:t>
      </w:r>
      <w:r>
        <w:rPr>
          <w:rFonts w:ascii="Times New Roman" w:hAnsi="Times New Roman" w:cs="Times New Roman"/>
          <w:szCs w:val="21"/>
          <w:vertAlign w:val="subscript"/>
        </w:rPr>
        <w:t>V</w:t>
      </w:r>
      <w:r>
        <w:rPr>
          <w:rFonts w:ascii="Times New Roman" w:hAnsi="Times New Roman" w:cs="Times New Roman"/>
          <w:szCs w:val="21"/>
        </w:rPr>
        <w:t xml:space="preserve"> current amplitude. (</w:t>
      </w:r>
      <w:r>
        <w:rPr>
          <w:rFonts w:hint="eastAsia" w:ascii="Times New Roman" w:hAnsi="Times New Roman" w:cs="Times New Roman"/>
          <w:szCs w:val="21"/>
          <w:lang w:val="en-US" w:eastAsia="zh-CN"/>
        </w:rPr>
        <w:t>g</w:t>
      </w:r>
      <w:r>
        <w:rPr>
          <w:rFonts w:ascii="Times New Roman" w:hAnsi="Times New Roman" w:cs="Times New Roman"/>
          <w:szCs w:val="21"/>
        </w:rPr>
        <w:t>–</w:t>
      </w:r>
      <w:r>
        <w:rPr>
          <w:rFonts w:hint="eastAsia" w:ascii="Times New Roman" w:hAnsi="Times New Roman" w:cs="Times New Roman"/>
          <w:szCs w:val="21"/>
          <w:lang w:val="en-US" w:eastAsia="zh-CN"/>
        </w:rPr>
        <w:t>i</w:t>
      </w:r>
      <w:r>
        <w:rPr>
          <w:rFonts w:ascii="Times New Roman" w:hAnsi="Times New Roman" w:cs="Times New Roman"/>
          <w:szCs w:val="21"/>
        </w:rPr>
        <w:t>) Effect of OL on Na</w:t>
      </w:r>
      <w:r>
        <w:rPr>
          <w:rFonts w:ascii="Times New Roman" w:hAnsi="Times New Roman" w:cs="Times New Roman"/>
          <w:szCs w:val="21"/>
          <w:vertAlign w:val="subscript"/>
        </w:rPr>
        <w:t>V</w:t>
      </w:r>
      <w:r>
        <w:rPr>
          <w:rFonts w:ascii="Times New Roman" w:hAnsi="Times New Roman" w:cs="Times New Roman"/>
          <w:szCs w:val="21"/>
        </w:rPr>
        <w:t xml:space="preserve"> currents in the presence of the NaV1.8-selective inhibitor VX-548 (1 μM). (</w:t>
      </w:r>
      <w:r>
        <w:rPr>
          <w:rFonts w:hint="eastAsia" w:ascii="Times New Roman" w:hAnsi="Times New Roman" w:cs="Times New Roman"/>
          <w:szCs w:val="21"/>
          <w:lang w:val="en-US" w:eastAsia="zh-CN"/>
        </w:rPr>
        <w:t>g</w:t>
      </w:r>
      <w:r>
        <w:rPr>
          <w:rFonts w:ascii="Times New Roman" w:hAnsi="Times New Roman" w:cs="Times New Roman"/>
          <w:szCs w:val="21"/>
        </w:rPr>
        <w:t>) Representative Na</w:t>
      </w:r>
      <w:r>
        <w:rPr>
          <w:rFonts w:ascii="Times New Roman" w:hAnsi="Times New Roman" w:cs="Times New Roman"/>
          <w:szCs w:val="21"/>
          <w:vertAlign w:val="subscript"/>
        </w:rPr>
        <w:t>V</w:t>
      </w:r>
      <w:r>
        <w:rPr>
          <w:rFonts w:ascii="Times New Roman" w:hAnsi="Times New Roman" w:cs="Times New Roman"/>
          <w:szCs w:val="21"/>
        </w:rPr>
        <w:t xml:space="preserve"> current traces from the VX-548 and VX-548 + OL groups. (</w:t>
      </w:r>
      <w:r>
        <w:rPr>
          <w:rFonts w:hint="eastAsia" w:ascii="Times New Roman" w:hAnsi="Times New Roman" w:cs="Times New Roman"/>
          <w:szCs w:val="21"/>
          <w:lang w:val="en-US" w:eastAsia="zh-CN"/>
        </w:rPr>
        <w:t>h</w:t>
      </w:r>
      <w:r>
        <w:rPr>
          <w:rFonts w:ascii="Times New Roman" w:hAnsi="Times New Roman" w:cs="Times New Roman"/>
          <w:szCs w:val="21"/>
        </w:rPr>
        <w:t>) I–V relationships of peak Na</w:t>
      </w:r>
      <w:r>
        <w:rPr>
          <w:rFonts w:ascii="Times New Roman" w:hAnsi="Times New Roman" w:cs="Times New Roman"/>
          <w:szCs w:val="21"/>
          <w:vertAlign w:val="subscript"/>
        </w:rPr>
        <w:t>V</w:t>
      </w:r>
      <w:r>
        <w:rPr>
          <w:rFonts w:ascii="Times New Roman" w:hAnsi="Times New Roman" w:cs="Times New Roman"/>
          <w:szCs w:val="21"/>
        </w:rPr>
        <w:t xml:space="preserve"> currents. (</w:t>
      </w:r>
      <w:r>
        <w:rPr>
          <w:rFonts w:hint="eastAsia" w:ascii="Times New Roman" w:hAnsi="Times New Roman" w:cs="Times New Roman"/>
          <w:szCs w:val="21"/>
          <w:lang w:val="en-US" w:eastAsia="zh-CN"/>
        </w:rPr>
        <w:t>i</w:t>
      </w:r>
      <w:r>
        <w:rPr>
          <w:rFonts w:ascii="Times New Roman" w:hAnsi="Times New Roman" w:cs="Times New Roman"/>
          <w:szCs w:val="21"/>
        </w:rPr>
        <w:t>) Quantification of peak Na</w:t>
      </w:r>
      <w:r>
        <w:rPr>
          <w:rFonts w:ascii="Times New Roman" w:hAnsi="Times New Roman" w:cs="Times New Roman"/>
          <w:szCs w:val="21"/>
          <w:vertAlign w:val="subscript"/>
        </w:rPr>
        <w:t>V</w:t>
      </w:r>
      <w:r>
        <w:rPr>
          <w:rFonts w:ascii="Times New Roman" w:hAnsi="Times New Roman" w:cs="Times New Roman"/>
          <w:szCs w:val="21"/>
        </w:rPr>
        <w:t xml:space="preserve"> current amplitude. Currents were evoked by step depolarizations from −80 mV to +40 mV. Data are presented as mean </w:t>
      </w:r>
      <w:r>
        <w:rPr>
          <w:rFonts w:hint="eastAsia" w:ascii="Times New Roman" w:hAnsi="Times New Roman" w:cs="Times New Roman"/>
          <w:szCs w:val="21"/>
        </w:rPr>
        <w:t>±</w:t>
      </w:r>
      <w:r>
        <w:rPr>
          <w:rFonts w:ascii="Times New Roman" w:hAnsi="Times New Roman" w:cs="Times New Roman"/>
          <w:szCs w:val="21"/>
        </w:rPr>
        <w:t xml:space="preserve"> SEM. n = 5 neurons per group. Each dot represents an individual neuron; unpaired Student's t-test for two-group comparisons. </w:t>
      </w:r>
    </w:p>
    <w:p w14:paraId="2628FD34">
      <w:pPr>
        <w:rPr>
          <w:rFonts w:ascii="Times New Roman" w:hAnsi="Times New Roman" w:cs="Times New Roman"/>
          <w:szCs w:val="21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5742940"/>
            <wp:effectExtent l="0" t="0" r="2540" b="2540"/>
            <wp:docPr id="17" name="图片 17" descr="附录图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附录图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74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929D2D">
      <w:pPr>
        <w:numPr>
          <w:ilvl w:val="255"/>
          <w:numId w:val="0"/>
        </w:numPr>
        <w:spacing w:line="360" w:lineRule="auto"/>
        <w:rPr>
          <w:rFonts w:hint="default" w:ascii="Times New Roman" w:hAnsi="Times New Roman" w:cs="Times New Roman"/>
          <w:b/>
          <w:bCs/>
          <w:szCs w:val="21"/>
        </w:rPr>
      </w:pPr>
      <w:r>
        <w:rPr>
          <w:rFonts w:hint="default" w:ascii="Times New Roman" w:hAnsi="Times New Roman" w:cs="Times New Roman"/>
          <w:b/>
          <w:bCs/>
          <w:szCs w:val="21"/>
        </w:rPr>
        <w:t>Additional File 7.CGRP enhances NaV1.7 expression and sodium current density in trigeminal ganglion neurons.</w:t>
      </w:r>
    </w:p>
    <w:p w14:paraId="66B0173A">
      <w:pPr>
        <w:spacing w:line="360" w:lineRule="auto"/>
      </w:pPr>
      <w:r>
        <w:rPr>
          <w:rFonts w:hint="default" w:ascii="Times New Roman" w:hAnsi="Times New Roman" w:cs="Times New Roman"/>
          <w:szCs w:val="21"/>
        </w:rPr>
        <w:t>(</w:t>
      </w:r>
      <w:r>
        <w:rPr>
          <w:rFonts w:hint="default" w:ascii="Times New Roman" w:hAnsi="Times New Roman" w:cs="Times New Roman"/>
          <w:szCs w:val="21"/>
          <w:lang w:val="en-US" w:eastAsia="zh-CN"/>
        </w:rPr>
        <w:t>a</w:t>
      </w:r>
      <w:r>
        <w:rPr>
          <w:rFonts w:hint="default" w:ascii="Times New Roman" w:hAnsi="Times New Roman" w:cs="Times New Roman"/>
          <w:szCs w:val="21"/>
        </w:rPr>
        <w:t>) Representative immunofluorescence images of NaV1.7 (green) in primary cultured TG neurons treated with vehicle (Control) or α-CGRP (100 nM), with DAPI (blue) as the nuclear counterstain. Scale bar: 5 μm. (</w:t>
      </w:r>
      <w:r>
        <w:rPr>
          <w:rFonts w:hint="default" w:ascii="Times New Roman" w:hAnsi="Times New Roman" w:cs="Times New Roman"/>
          <w:szCs w:val="21"/>
          <w:lang w:val="en-US" w:eastAsia="zh-CN"/>
        </w:rPr>
        <w:t>b</w:t>
      </w:r>
      <w:r>
        <w:rPr>
          <w:rFonts w:hint="default" w:ascii="Times New Roman" w:hAnsi="Times New Roman" w:cs="Times New Roman"/>
          <w:szCs w:val="21"/>
        </w:rPr>
        <w:t>) Quantification of NaV1.7 relative fluorescence intensity. (</w:t>
      </w:r>
      <w:r>
        <w:rPr>
          <w:rFonts w:hint="default" w:ascii="Times New Roman" w:hAnsi="Times New Roman" w:cs="Times New Roman"/>
          <w:szCs w:val="21"/>
          <w:lang w:val="en-US" w:eastAsia="zh-CN"/>
        </w:rPr>
        <w:t>c</w:t>
      </w:r>
      <w:r>
        <w:rPr>
          <w:rFonts w:hint="default" w:ascii="Times New Roman" w:hAnsi="Times New Roman" w:cs="Times New Roman"/>
          <w:szCs w:val="21"/>
        </w:rPr>
        <w:t>) Representative Western blot images of NaV1.7 in TG neurons before and after α-CGRP application, with β-actin as the loading control. (</w:t>
      </w:r>
      <w:r>
        <w:rPr>
          <w:rFonts w:hint="default" w:ascii="Times New Roman" w:hAnsi="Times New Roman" w:cs="Times New Roman"/>
          <w:szCs w:val="21"/>
          <w:lang w:val="en-US" w:eastAsia="zh-CN"/>
        </w:rPr>
        <w:t>d</w:t>
      </w:r>
      <w:r>
        <w:rPr>
          <w:rFonts w:hint="default" w:ascii="Times New Roman" w:hAnsi="Times New Roman" w:cs="Times New Roman"/>
          <w:szCs w:val="21"/>
        </w:rPr>
        <w:t>) Densitometric quantification of NaV1.7 protein levels, normalized to β-actin. (</w:t>
      </w:r>
      <w:r>
        <w:rPr>
          <w:rFonts w:hint="default" w:ascii="Times New Roman" w:hAnsi="Times New Roman" w:cs="Times New Roman"/>
          <w:szCs w:val="21"/>
          <w:lang w:val="en-US" w:eastAsia="zh-CN"/>
        </w:rPr>
        <w:t>e</w:t>
      </w:r>
      <w:r>
        <w:rPr>
          <w:rFonts w:hint="default" w:ascii="Times New Roman" w:hAnsi="Times New Roman" w:cs="Times New Roman"/>
          <w:szCs w:val="21"/>
        </w:rPr>
        <w:t>–</w:t>
      </w:r>
      <w:r>
        <w:rPr>
          <w:rFonts w:hint="default" w:ascii="Times New Roman" w:hAnsi="Times New Roman" w:cs="Times New Roman"/>
          <w:szCs w:val="21"/>
          <w:lang w:val="en-US" w:eastAsia="zh-CN"/>
        </w:rPr>
        <w:t>g</w:t>
      </w:r>
      <w:r>
        <w:rPr>
          <w:rFonts w:hint="default" w:ascii="Times New Roman" w:hAnsi="Times New Roman" w:cs="Times New Roman"/>
          <w:szCs w:val="21"/>
        </w:rPr>
        <w:t>) Representative whole-cell voltage-clamp traces (E), current–voltage (I–V) relationships (</w:t>
      </w:r>
      <w:r>
        <w:rPr>
          <w:rFonts w:hint="default" w:ascii="Times New Roman" w:hAnsi="Times New Roman" w:cs="Times New Roman"/>
          <w:szCs w:val="21"/>
          <w:lang w:val="en-US" w:eastAsia="zh-CN"/>
        </w:rPr>
        <w:t>f</w:t>
      </w:r>
      <w:r>
        <w:rPr>
          <w:rFonts w:hint="default" w:ascii="Times New Roman" w:hAnsi="Times New Roman" w:cs="Times New Roman"/>
          <w:szCs w:val="21"/>
        </w:rPr>
        <w:t>), and normalized conductance–voltage (G/G_max) activation curves (</w:t>
      </w:r>
      <w:r>
        <w:rPr>
          <w:rFonts w:hint="default" w:ascii="Times New Roman" w:hAnsi="Times New Roman" w:cs="Times New Roman"/>
          <w:szCs w:val="21"/>
          <w:lang w:val="en-US" w:eastAsia="zh-CN"/>
        </w:rPr>
        <w:t>g</w:t>
      </w:r>
      <w:r>
        <w:rPr>
          <w:rFonts w:hint="default" w:ascii="Times New Roman" w:hAnsi="Times New Roman" w:cs="Times New Roman"/>
          <w:szCs w:val="21"/>
        </w:rPr>
        <w:t>) of voltage-gated sodium (Na</w:t>
      </w:r>
      <w:r>
        <w:rPr>
          <w:rFonts w:hint="default" w:ascii="Times New Roman" w:hAnsi="Times New Roman" w:cs="Times New Roman"/>
          <w:szCs w:val="21"/>
          <w:vertAlign w:val="subscript"/>
        </w:rPr>
        <w:t>V</w:t>
      </w:r>
      <w:r>
        <w:rPr>
          <w:rFonts w:hint="default" w:ascii="Times New Roman" w:hAnsi="Times New Roman" w:cs="Times New Roman"/>
          <w:szCs w:val="21"/>
        </w:rPr>
        <w:t>) currents recorded from TG neurons in Control, α-CGRP, and α-CGRP + ProTXII (100 nM) groups. Currents were evoked by step depolarizations from −80 mV to +40 mV. α-CGRP increased Na</w:t>
      </w:r>
      <w:r>
        <w:rPr>
          <w:rFonts w:hint="default" w:ascii="Times New Roman" w:hAnsi="Times New Roman" w:cs="Times New Roman"/>
          <w:szCs w:val="21"/>
          <w:vertAlign w:val="subscript"/>
        </w:rPr>
        <w:t>V</w:t>
      </w:r>
      <w:r>
        <w:rPr>
          <w:rFonts w:hint="default" w:ascii="Times New Roman" w:hAnsi="Times New Roman" w:cs="Times New Roman"/>
          <w:szCs w:val="21"/>
        </w:rPr>
        <w:t xml:space="preserve"> current density and induced a hyperpolarizing shift in the activation curve, both of which were abolished by ProTXII. (</w:t>
      </w:r>
      <w:r>
        <w:rPr>
          <w:rFonts w:hint="default" w:ascii="Times New Roman" w:hAnsi="Times New Roman" w:cs="Times New Roman"/>
          <w:szCs w:val="21"/>
          <w:lang w:val="en-US" w:eastAsia="zh-CN"/>
        </w:rPr>
        <w:t>h</w:t>
      </w:r>
      <w:r>
        <w:rPr>
          <w:rFonts w:hint="default" w:ascii="Times New Roman" w:hAnsi="Times New Roman" w:cs="Times New Roman"/>
          <w:szCs w:val="21"/>
        </w:rPr>
        <w:t>) Quantification of peak Na</w:t>
      </w:r>
      <w:r>
        <w:rPr>
          <w:rFonts w:hint="default" w:ascii="Times New Roman" w:hAnsi="Times New Roman" w:cs="Times New Roman"/>
          <w:szCs w:val="21"/>
          <w:vertAlign w:val="subscript"/>
        </w:rPr>
        <w:t>V</w:t>
      </w:r>
      <w:r>
        <w:rPr>
          <w:rFonts w:hint="default" w:ascii="Times New Roman" w:hAnsi="Times New Roman" w:cs="Times New Roman"/>
          <w:szCs w:val="21"/>
        </w:rPr>
        <w:t xml:space="preserve"> current amplitude, showing that α-CGRP-induced potentiation was abolished by ProTXII. Data are presented as mean ± SEM. n = 5 neurons per group. Each dot represents an individual neuron; one-way ANOVA followed by Tukey’s post hoc test for multi-group comparisons; unpaired Student’s t-test for two-group comparisons.</w:t>
      </w:r>
    </w:p>
    <w:sectPr>
      <w:footerReference r:id="rId3" w:type="default"/>
      <w:pgSz w:w="11906" w:h="16838"/>
      <w:pgMar w:top="1440" w:right="1800" w:bottom="1440" w:left="1800" w:header="851" w:footer="992" w:gutter="0"/>
      <w:lnNumType w:countBy="1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78821363"/>
    </w:sdtPr>
    <w:sdtContent>
      <w:p w14:paraId="07A3A127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170742D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E1172A"/>
    <w:rsid w:val="18E1172A"/>
    <w:rsid w:val="6F317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tiff"/><Relationship Id="rId8" Type="http://schemas.openxmlformats.org/officeDocument/2006/relationships/image" Target="media/image4.tiff"/><Relationship Id="rId7" Type="http://schemas.openxmlformats.org/officeDocument/2006/relationships/image" Target="media/image3.tiff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7.tiff"/><Relationship Id="rId10" Type="http://schemas.openxmlformats.org/officeDocument/2006/relationships/image" Target="media/image6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1180</Words>
  <Characters>6577</Characters>
  <Lines>0</Lines>
  <Paragraphs>0</Paragraphs>
  <TotalTime>21</TotalTime>
  <ScaleCrop>false</ScaleCrop>
  <LinksUpToDate>false</LinksUpToDate>
  <CharactersWithSpaces>7742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2026-07-15T10:58:00Z</dcterms:created>
  <dc:creator>花花</dc:creator>
  <cp:lastModifiedBy>花花</cp:lastModifiedBy>
  <dcterms:modified xsi:type="dcterms:W3CDTF">2026-07-15T11:30:01Z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C68F1B29E5F34B4589FC290696EC1230_11</vt:lpwstr>
  </property>
  <property fmtid="{D5CDD505-2E9C-101B-9397-08002B2CF9AE}" pid="4" name="KSOTemplateDocerSaveRecord">
    <vt:lpwstr>eyJoZGlkIjoiYzc5ZTQ1NmI1NDIyMjNhMmQwZDkzYzJkNzNjY2ZlNmYiLCJ1c2VySWQiOiIzNTAzNTA2MDgifQ==</vt:lpwstr>
  </property>
</Properties>
</file>