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BC760" w14:textId="796A98EE" w:rsidR="00A2292E" w:rsidRPr="00743CA4" w:rsidRDefault="00A2292E" w:rsidP="009054E0">
      <w:pPr>
        <w:spacing w:line="480" w:lineRule="auto"/>
        <w:rPr>
          <w:rFonts w:ascii="Times New Roman" w:hAnsi="Times New Roman" w:cs="Times New Roman"/>
          <w:b/>
          <w:sz w:val="24"/>
        </w:rPr>
      </w:pPr>
      <w:bookmarkStart w:id="0" w:name="_Hlk208246196"/>
      <w:bookmarkEnd w:id="0"/>
      <w:r w:rsidRPr="00743CA4">
        <w:rPr>
          <w:rFonts w:ascii="Times New Roman" w:hAnsi="Times New Roman" w:cs="Times New Roman"/>
          <w:b/>
          <w:sz w:val="24"/>
        </w:rPr>
        <w:t>Supplementary Materials</w:t>
      </w:r>
      <w:r w:rsidR="0063555B" w:rsidRPr="00743CA4">
        <w:rPr>
          <w:rFonts w:ascii="Times New Roman" w:hAnsi="Times New Roman" w:cs="Times New Roman"/>
          <w:b/>
          <w:sz w:val="24"/>
        </w:rPr>
        <w:t xml:space="preserve"> 1</w:t>
      </w:r>
    </w:p>
    <w:p w14:paraId="346342D8" w14:textId="77777777" w:rsidR="005F50BF" w:rsidRPr="00743CA4" w:rsidRDefault="005F50BF" w:rsidP="004E21A0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743CA4">
        <w:rPr>
          <w:rFonts w:ascii="Times New Roman" w:hAnsi="Times New Roman" w:cs="Times New Roman"/>
          <w:b/>
          <w:sz w:val="24"/>
        </w:rPr>
        <w:t>IRAK-M attenuates pain hypersensitivity and anxiety-like behaviors in a nitroglycerin-induced chronic migraine mouse model with concomitant reductions in microglial activation and neuroinflammation</w:t>
      </w:r>
    </w:p>
    <w:p w14:paraId="13F00710" w14:textId="0BBB8829" w:rsidR="004E21A0" w:rsidRPr="00743CA4" w:rsidRDefault="004E21A0" w:rsidP="004E21A0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743CA4">
        <w:rPr>
          <w:rFonts w:ascii="Times New Roman" w:hAnsi="Times New Roman" w:cs="Times New Roman"/>
          <w:bCs/>
          <w:sz w:val="24"/>
        </w:rPr>
        <w:t>Xiao-Tao Liang</w:t>
      </w:r>
      <w:r w:rsidRPr="00743CA4">
        <w:rPr>
          <w:rFonts w:ascii="Times New Roman" w:eastAsia="宋体" w:hAnsi="Times New Roman" w:cs="Times New Roman"/>
          <w:sz w:val="24"/>
          <w:vertAlign w:val="superscript"/>
        </w:rPr>
        <w:t>†,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1,2</w:t>
      </w:r>
      <w:r w:rsidRPr="00743CA4">
        <w:rPr>
          <w:rFonts w:ascii="Times New Roman" w:hAnsi="Times New Roman" w:cs="Times New Roman"/>
          <w:bCs/>
          <w:sz w:val="24"/>
        </w:rPr>
        <w:t>,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 xml:space="preserve"> </w:t>
      </w:r>
      <w:r w:rsidRPr="00743CA4">
        <w:rPr>
          <w:rFonts w:ascii="Times New Roman" w:hAnsi="Times New Roman" w:cs="Times New Roman"/>
          <w:bCs/>
          <w:sz w:val="24"/>
        </w:rPr>
        <w:t>Shi-Ru Xie</w:t>
      </w:r>
      <w:r w:rsidRPr="00743CA4">
        <w:rPr>
          <w:rFonts w:ascii="Times New Roman" w:eastAsia="宋体" w:hAnsi="Times New Roman" w:cs="Times New Roman"/>
          <w:sz w:val="24"/>
          <w:vertAlign w:val="superscript"/>
        </w:rPr>
        <w:t>†,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743CA4">
        <w:rPr>
          <w:rFonts w:ascii="Times New Roman" w:hAnsi="Times New Roman" w:cs="Times New Roman"/>
          <w:bCs/>
          <w:sz w:val="24"/>
        </w:rPr>
        <w:t>, Xi-Mao Liu</w:t>
      </w:r>
      <w:r w:rsidRPr="00743CA4">
        <w:rPr>
          <w:rFonts w:ascii="Times New Roman" w:eastAsia="宋体" w:hAnsi="Times New Roman" w:cs="Times New Roman"/>
          <w:sz w:val="24"/>
          <w:vertAlign w:val="superscript"/>
        </w:rPr>
        <w:t>†,</w:t>
      </w:r>
      <w:r w:rsidRPr="00743CA4">
        <w:rPr>
          <w:rFonts w:ascii="Times New Roman" w:hAnsi="Times New Roman" w:cs="Times New Roman" w:hint="eastAsia"/>
          <w:bCs/>
          <w:sz w:val="24"/>
          <w:vertAlign w:val="superscript"/>
        </w:rPr>
        <w:t>3</w:t>
      </w:r>
      <w:r w:rsidRPr="00743CA4">
        <w:rPr>
          <w:rFonts w:ascii="Times New Roman" w:hAnsi="Times New Roman" w:cs="Times New Roman"/>
          <w:bCs/>
          <w:sz w:val="24"/>
        </w:rPr>
        <w:t>, Xiao-Yu Zhu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743CA4">
        <w:rPr>
          <w:rFonts w:ascii="Times New Roman" w:hAnsi="Times New Roman" w:cs="Times New Roman"/>
          <w:bCs/>
          <w:sz w:val="24"/>
        </w:rPr>
        <w:t>, Yi-Fan Xiong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743CA4">
        <w:rPr>
          <w:rFonts w:ascii="Times New Roman" w:hAnsi="Times New Roman" w:cs="Times New Roman"/>
          <w:bCs/>
          <w:sz w:val="24"/>
        </w:rPr>
        <w:t>, Yu Hong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1,2</w:t>
      </w:r>
      <w:r w:rsidRPr="00743CA4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743CA4">
        <w:rPr>
          <w:rFonts w:ascii="Times New Roman" w:hAnsi="Times New Roman" w:cs="Times New Roman"/>
          <w:bCs/>
          <w:sz w:val="24"/>
        </w:rPr>
        <w:t>Zhi</w:t>
      </w:r>
      <w:proofErr w:type="spellEnd"/>
      <w:r w:rsidRPr="00743CA4">
        <w:rPr>
          <w:rFonts w:ascii="Times New Roman" w:hAnsi="Times New Roman" w:cs="Times New Roman"/>
          <w:bCs/>
          <w:sz w:val="24"/>
        </w:rPr>
        <w:t>-Yong Wu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1,2</w:t>
      </w:r>
      <w:r w:rsidRPr="00743CA4">
        <w:rPr>
          <w:rFonts w:ascii="Times New Roman" w:hAnsi="Times New Roman" w:cs="Times New Roman"/>
          <w:bCs/>
          <w:sz w:val="24"/>
        </w:rPr>
        <w:t>, Yu-Heng Zou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743CA4">
        <w:rPr>
          <w:rFonts w:ascii="Times New Roman" w:hAnsi="Times New Roman" w:cs="Times New Roman"/>
          <w:bCs/>
          <w:sz w:val="24"/>
        </w:rPr>
        <w:t>, Yun-Yan Zhao</w:t>
      </w:r>
      <w:r w:rsidRPr="00743CA4">
        <w:rPr>
          <w:rFonts w:ascii="Times New Roman" w:hAnsi="Times New Roman" w:cs="Times New Roman" w:hint="eastAsia"/>
          <w:bCs/>
          <w:sz w:val="24"/>
          <w:vertAlign w:val="superscript"/>
        </w:rPr>
        <w:t>4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*</w:t>
      </w:r>
      <w:r w:rsidRPr="00743CA4">
        <w:rPr>
          <w:rFonts w:ascii="Times New Roman" w:hAnsi="Times New Roman" w:cs="Times New Roman"/>
          <w:bCs/>
          <w:sz w:val="24"/>
        </w:rPr>
        <w:t>, Yue-Wen Ding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1,2*</w:t>
      </w:r>
      <w:r w:rsidRPr="00743CA4">
        <w:rPr>
          <w:rFonts w:ascii="Times New Roman" w:hAnsi="Times New Roman" w:cs="Times New Roman"/>
          <w:bCs/>
          <w:sz w:val="24"/>
        </w:rPr>
        <w:t>, Xiao-Shan Liang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1,</w:t>
      </w:r>
      <w:r w:rsidRPr="00743CA4">
        <w:rPr>
          <w:rFonts w:ascii="Times New Roman" w:hAnsi="Times New Roman" w:cs="Times New Roman" w:hint="eastAsia"/>
          <w:bCs/>
          <w:sz w:val="24"/>
          <w:vertAlign w:val="superscript"/>
        </w:rPr>
        <w:t>5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*</w:t>
      </w:r>
      <w:r w:rsidRPr="00743CA4">
        <w:rPr>
          <w:rFonts w:ascii="Times New Roman" w:hAnsi="Times New Roman" w:cs="Times New Roman"/>
          <w:bCs/>
          <w:sz w:val="24"/>
        </w:rPr>
        <w:t>, Wei Xie</w:t>
      </w:r>
      <w:r w:rsidRPr="00743CA4">
        <w:rPr>
          <w:rFonts w:ascii="Times New Roman" w:hAnsi="Times New Roman" w:cs="Times New Roman"/>
          <w:bCs/>
          <w:sz w:val="24"/>
          <w:vertAlign w:val="superscript"/>
        </w:rPr>
        <w:t>1,2*</w:t>
      </w:r>
    </w:p>
    <w:p w14:paraId="7A4BB7B1" w14:textId="77777777" w:rsidR="004E21A0" w:rsidRPr="00743CA4" w:rsidRDefault="004E21A0" w:rsidP="004E21A0">
      <w:pPr>
        <w:spacing w:line="480" w:lineRule="auto"/>
        <w:rPr>
          <w:rFonts w:ascii="Times New Roman" w:hAnsi="Times New Roman" w:cs="Times New Roman"/>
          <w:bCs/>
          <w:sz w:val="24"/>
        </w:rPr>
      </w:pPr>
      <w:bookmarkStart w:id="1" w:name="_Hlk209640827"/>
      <w:r w:rsidRPr="00743CA4">
        <w:rPr>
          <w:rFonts w:ascii="Times New Roman" w:hAnsi="Times New Roman" w:cs="Times New Roman"/>
          <w:bCs/>
          <w:sz w:val="24"/>
          <w:vertAlign w:val="superscript"/>
        </w:rPr>
        <w:t>1</w:t>
      </w:r>
      <w:r w:rsidRPr="00743CA4">
        <w:rPr>
          <w:rFonts w:ascii="Times New Roman" w:hAnsi="Times New Roman" w:cs="Times New Roman" w:hint="eastAsia"/>
          <w:bCs/>
          <w:sz w:val="24"/>
          <w:vertAlign w:val="superscript"/>
        </w:rPr>
        <w:t xml:space="preserve"> </w:t>
      </w:r>
      <w:r w:rsidRPr="00743CA4">
        <w:rPr>
          <w:rFonts w:ascii="Times New Roman" w:hAnsi="Times New Roman" w:cs="Times New Roman"/>
          <w:bCs/>
          <w:sz w:val="24"/>
        </w:rPr>
        <w:t xml:space="preserve">Department of Traditional Chinese Medicine, </w:t>
      </w:r>
      <w:proofErr w:type="spellStart"/>
      <w:r w:rsidRPr="00743CA4">
        <w:rPr>
          <w:rFonts w:ascii="Times New Roman" w:hAnsi="Times New Roman" w:cs="Times New Roman"/>
          <w:bCs/>
          <w:sz w:val="24"/>
        </w:rPr>
        <w:t>Nanfang</w:t>
      </w:r>
      <w:proofErr w:type="spellEnd"/>
      <w:r w:rsidRPr="00743CA4">
        <w:rPr>
          <w:rFonts w:ascii="Times New Roman" w:hAnsi="Times New Roman" w:cs="Times New Roman"/>
          <w:bCs/>
          <w:sz w:val="24"/>
        </w:rPr>
        <w:t xml:space="preserve"> Hospital, Southern Medical University, Guangzhou 510515, P.R. China.</w:t>
      </w:r>
    </w:p>
    <w:p w14:paraId="45D2FB0F" w14:textId="77777777" w:rsidR="004E21A0" w:rsidRPr="00743CA4" w:rsidRDefault="004E21A0" w:rsidP="004E21A0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743CA4">
        <w:rPr>
          <w:rFonts w:ascii="Times New Roman" w:hAnsi="Times New Roman" w:cs="Times New Roman"/>
          <w:bCs/>
          <w:sz w:val="24"/>
          <w:vertAlign w:val="superscript"/>
        </w:rPr>
        <w:t xml:space="preserve">2 </w:t>
      </w:r>
      <w:r w:rsidRPr="00743CA4">
        <w:rPr>
          <w:rFonts w:ascii="Times New Roman" w:hAnsi="Times New Roman" w:cs="Times New Roman"/>
          <w:bCs/>
          <w:sz w:val="24"/>
        </w:rPr>
        <w:t>School of Traditional Chinese Medicine, Southern Medical University, Guangzhou 510515, P.R. China.</w:t>
      </w:r>
    </w:p>
    <w:p w14:paraId="49F64EBB" w14:textId="77777777" w:rsidR="004E21A0" w:rsidRPr="00743CA4" w:rsidRDefault="004E21A0" w:rsidP="004E21A0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743CA4">
        <w:rPr>
          <w:rFonts w:ascii="Times New Roman" w:hAnsi="Times New Roman" w:cs="Times New Roman"/>
          <w:bCs/>
          <w:sz w:val="24"/>
          <w:vertAlign w:val="superscript"/>
        </w:rPr>
        <w:t>3</w:t>
      </w:r>
      <w:r w:rsidRPr="00743CA4">
        <w:rPr>
          <w:rFonts w:ascii="Times New Roman" w:hAnsi="Times New Roman" w:cs="Times New Roman" w:hint="eastAsia"/>
          <w:bCs/>
          <w:sz w:val="24"/>
        </w:rPr>
        <w:t xml:space="preserve"> </w:t>
      </w:r>
      <w:r w:rsidRPr="00743CA4">
        <w:rPr>
          <w:rFonts w:ascii="Times New Roman" w:hAnsi="Times New Roman" w:cs="Times New Roman"/>
          <w:bCs/>
          <w:sz w:val="24"/>
        </w:rPr>
        <w:t xml:space="preserve">Department of Cardiovascular Surgery, </w:t>
      </w:r>
      <w:proofErr w:type="spellStart"/>
      <w:r w:rsidRPr="00743CA4">
        <w:rPr>
          <w:rFonts w:ascii="Times New Roman" w:hAnsi="Times New Roman" w:cs="Times New Roman"/>
          <w:bCs/>
          <w:sz w:val="24"/>
        </w:rPr>
        <w:t>Nanfang</w:t>
      </w:r>
      <w:proofErr w:type="spellEnd"/>
      <w:r w:rsidRPr="00743CA4">
        <w:rPr>
          <w:rFonts w:ascii="Times New Roman" w:hAnsi="Times New Roman" w:cs="Times New Roman"/>
          <w:bCs/>
          <w:sz w:val="24"/>
        </w:rPr>
        <w:t xml:space="preserve"> Hospital, Southern Medical University, Guangzhou 510515, P.R. China.</w:t>
      </w:r>
    </w:p>
    <w:p w14:paraId="09374570" w14:textId="77777777" w:rsidR="004E21A0" w:rsidRPr="00743CA4" w:rsidRDefault="004E21A0" w:rsidP="004E21A0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743CA4">
        <w:rPr>
          <w:rFonts w:ascii="Times New Roman" w:hAnsi="Times New Roman" w:cs="Times New Roman" w:hint="eastAsia"/>
          <w:bCs/>
          <w:sz w:val="24"/>
          <w:vertAlign w:val="superscript"/>
        </w:rPr>
        <w:t>4</w:t>
      </w:r>
      <w:r w:rsidRPr="00743CA4">
        <w:rPr>
          <w:rFonts w:ascii="Times New Roman" w:hAnsi="Times New Roman" w:cs="Times New Roman"/>
          <w:bCs/>
          <w:sz w:val="24"/>
        </w:rPr>
        <w:t xml:space="preserve"> Department of Critical Care Medicine, The Affiliated Traditional Chinese Medicine Hospital of Guangzhou Medical University, Guangzhou 510130, P.R. China.</w:t>
      </w:r>
    </w:p>
    <w:p w14:paraId="286F8393" w14:textId="77777777" w:rsidR="004E21A0" w:rsidRPr="00743CA4" w:rsidRDefault="004E21A0" w:rsidP="004E21A0">
      <w:pPr>
        <w:spacing w:line="480" w:lineRule="auto"/>
        <w:rPr>
          <w:rFonts w:ascii="Times New Roman" w:hAnsi="Times New Roman" w:cs="Times New Roman"/>
          <w:bCs/>
          <w:sz w:val="24"/>
        </w:rPr>
      </w:pPr>
      <w:bookmarkStart w:id="2" w:name="_Hlk210906800"/>
      <w:r w:rsidRPr="00743CA4">
        <w:rPr>
          <w:rFonts w:ascii="Times New Roman" w:hAnsi="Times New Roman" w:cs="Times New Roman" w:hint="eastAsia"/>
          <w:bCs/>
          <w:sz w:val="24"/>
          <w:vertAlign w:val="superscript"/>
        </w:rPr>
        <w:t xml:space="preserve">5 </w:t>
      </w:r>
      <w:r w:rsidRPr="00743CA4">
        <w:rPr>
          <w:rFonts w:ascii="Times New Roman" w:hAnsi="Times New Roman" w:cs="Times New Roman"/>
          <w:bCs/>
          <w:sz w:val="24"/>
        </w:rPr>
        <w:t>Department of Neurology, Beth Israel Deaconess Medical Center, Harvard Medical School, Boston, MA 02215-5400, USA.</w:t>
      </w:r>
    </w:p>
    <w:bookmarkEnd w:id="2"/>
    <w:p w14:paraId="5917667B" w14:textId="77777777" w:rsidR="004E21A0" w:rsidRPr="00743CA4" w:rsidRDefault="004E21A0" w:rsidP="004E21A0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743CA4">
        <w:rPr>
          <w:rFonts w:ascii="Times New Roman" w:eastAsia="宋体" w:hAnsi="Times New Roman" w:cs="Times New Roman"/>
          <w:sz w:val="24"/>
          <w:vertAlign w:val="superscript"/>
        </w:rPr>
        <w:t>†</w:t>
      </w:r>
      <w:r w:rsidRPr="00743CA4">
        <w:rPr>
          <w:rFonts w:ascii="Times New Roman" w:hAnsi="Times New Roman" w:cs="Times New Roman"/>
          <w:bCs/>
          <w:sz w:val="24"/>
        </w:rPr>
        <w:t>These authors contributed equally to this work.</w:t>
      </w:r>
    </w:p>
    <w:bookmarkEnd w:id="1"/>
    <w:p w14:paraId="71C372D8" w14:textId="77777777" w:rsidR="004E21A0" w:rsidRPr="00743CA4" w:rsidRDefault="004E21A0" w:rsidP="004E21A0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743CA4">
        <w:rPr>
          <w:rFonts w:ascii="Times New Roman" w:hAnsi="Times New Roman" w:cs="Times New Roman"/>
          <w:bCs/>
          <w:sz w:val="24"/>
        </w:rPr>
        <w:t>*Correspondence and requests for materials should be addressed to Yun-Yan Zhao (z-y-y116@163.com), Yue-Wen Ding (</w:t>
      </w:r>
      <w:r w:rsidRPr="00743CA4">
        <w:rPr>
          <w:rStyle w:val="ae"/>
          <w:rFonts w:ascii="Times New Roman" w:hAnsi="Times New Roman" w:cs="Times New Roman"/>
          <w:color w:val="auto"/>
          <w:sz w:val="24"/>
        </w:rPr>
        <w:t>dingyw2011@163.com</w:t>
      </w:r>
      <w:r w:rsidRPr="00743CA4">
        <w:rPr>
          <w:rFonts w:ascii="Times New Roman" w:hAnsi="Times New Roman" w:cs="Times New Roman"/>
          <w:bCs/>
          <w:sz w:val="24"/>
        </w:rPr>
        <w:t>), Xiao-Shan Liang (</w:t>
      </w:r>
      <w:hyperlink r:id="rId7" w:history="1">
        <w:r w:rsidRPr="00743CA4">
          <w:rPr>
            <w:rStyle w:val="ae"/>
            <w:rFonts w:ascii="Times New Roman" w:hAnsi="Times New Roman" w:cs="Times New Roman"/>
            <w:bCs/>
            <w:color w:val="auto"/>
            <w:sz w:val="24"/>
          </w:rPr>
          <w:t>liangxiaoshan@smu.edu.cn</w:t>
        </w:r>
      </w:hyperlink>
      <w:r w:rsidRPr="00743CA4">
        <w:rPr>
          <w:rFonts w:ascii="Times New Roman" w:hAnsi="Times New Roman" w:cs="Times New Roman"/>
          <w:bCs/>
          <w:sz w:val="24"/>
        </w:rPr>
        <w:t xml:space="preserve">) and Wei </w:t>
      </w:r>
      <w:proofErr w:type="spellStart"/>
      <w:r w:rsidRPr="00743CA4">
        <w:rPr>
          <w:rFonts w:ascii="Times New Roman" w:hAnsi="Times New Roman" w:cs="Times New Roman"/>
          <w:bCs/>
          <w:sz w:val="24"/>
        </w:rPr>
        <w:t>Xie</w:t>
      </w:r>
      <w:proofErr w:type="spellEnd"/>
      <w:r w:rsidRPr="00743CA4">
        <w:rPr>
          <w:rFonts w:ascii="Times New Roman" w:hAnsi="Times New Roman" w:cs="Times New Roman"/>
          <w:bCs/>
          <w:sz w:val="24"/>
        </w:rPr>
        <w:t xml:space="preserve"> (</w:t>
      </w:r>
      <w:hyperlink r:id="rId8" w:history="1">
        <w:r w:rsidRPr="00743CA4">
          <w:rPr>
            <w:rStyle w:val="ae"/>
            <w:rFonts w:ascii="Times New Roman" w:hAnsi="Times New Roman" w:cs="Times New Roman"/>
            <w:bCs/>
            <w:color w:val="auto"/>
            <w:sz w:val="24"/>
          </w:rPr>
          <w:t>xieweizn@smu.edu.cn</w:t>
        </w:r>
      </w:hyperlink>
      <w:r w:rsidRPr="00743CA4">
        <w:rPr>
          <w:rFonts w:ascii="Times New Roman" w:hAnsi="Times New Roman" w:cs="Times New Roman"/>
          <w:bCs/>
          <w:sz w:val="24"/>
        </w:rPr>
        <w:t xml:space="preserve">). </w:t>
      </w:r>
    </w:p>
    <w:p w14:paraId="7219B377" w14:textId="77777777" w:rsidR="004E21A0" w:rsidRPr="00743CA4" w:rsidRDefault="004E21A0" w:rsidP="004E21A0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743CA4">
        <w:rPr>
          <w:rFonts w:ascii="Times New Roman" w:hAnsi="Times New Roman" w:cs="Times New Roman"/>
          <w:bCs/>
          <w:sz w:val="24"/>
        </w:rPr>
        <w:t xml:space="preserve">*Corresponding author at 1838 Guangzhou Avenue North, </w:t>
      </w:r>
      <w:proofErr w:type="spellStart"/>
      <w:r w:rsidRPr="00743CA4">
        <w:rPr>
          <w:rFonts w:ascii="Times New Roman" w:hAnsi="Times New Roman" w:cs="Times New Roman"/>
          <w:bCs/>
          <w:sz w:val="24"/>
        </w:rPr>
        <w:t>Baiyun</w:t>
      </w:r>
      <w:proofErr w:type="spellEnd"/>
      <w:r w:rsidRPr="00743CA4">
        <w:rPr>
          <w:rFonts w:ascii="Times New Roman" w:hAnsi="Times New Roman" w:cs="Times New Roman"/>
          <w:bCs/>
          <w:sz w:val="24"/>
        </w:rPr>
        <w:t xml:space="preserve"> District, Guangzhou </w:t>
      </w:r>
      <w:r w:rsidRPr="00743CA4">
        <w:rPr>
          <w:rFonts w:ascii="Times New Roman" w:hAnsi="Times New Roman" w:cs="Times New Roman"/>
          <w:bCs/>
          <w:sz w:val="24"/>
        </w:rPr>
        <w:lastRenderedPageBreak/>
        <w:t>City, Guangdong Province, China</w:t>
      </w:r>
    </w:p>
    <w:p w14:paraId="55CCBE5C" w14:textId="77777777" w:rsidR="00D84B1E" w:rsidRPr="00743CA4" w:rsidRDefault="00D84B1E" w:rsidP="00FB4DA0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4D41DDF0" w14:textId="3BFC36BD" w:rsidR="00FB4DA0" w:rsidRPr="00743CA4" w:rsidRDefault="00FB4DA0" w:rsidP="00FB4DA0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743CA4">
        <w:rPr>
          <w:rFonts w:ascii="Times New Roman" w:hAnsi="Times New Roman" w:cs="Times New Roman"/>
          <w:b/>
          <w:sz w:val="24"/>
        </w:rPr>
        <w:t>Supplementary Methods</w:t>
      </w:r>
    </w:p>
    <w:p w14:paraId="491B9A6D" w14:textId="35AC912D" w:rsidR="008C083D" w:rsidRPr="00743CA4" w:rsidRDefault="008C083D" w:rsidP="008C083D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>Sucrose preference test</w:t>
      </w:r>
      <w:r w:rsidRPr="00743CA4">
        <w:rPr>
          <w:rFonts w:ascii="Times New Roman" w:hAnsi="Times New Roman" w:cs="Times New Roman"/>
          <w:sz w:val="24"/>
        </w:rPr>
        <w:br/>
      </w:r>
      <w:r w:rsidRPr="00743CA4">
        <w:rPr>
          <w:rFonts w:ascii="Times New Roman" w:hAnsi="Times New Roman" w:cs="Times New Roman" w:hint="eastAsia"/>
          <w:sz w:val="24"/>
        </w:rPr>
        <w:t>A</w:t>
      </w:r>
      <w:r w:rsidRPr="00743CA4">
        <w:rPr>
          <w:rFonts w:ascii="Times New Roman" w:hAnsi="Times New Roman" w:cs="Times New Roman"/>
          <w:sz w:val="24"/>
        </w:rPr>
        <w:t>s previously described</w:t>
      </w:r>
      <w:r w:rsidRPr="00743CA4">
        <w:rPr>
          <w:rFonts w:ascii="Times New Roman" w:hAnsi="Times New Roman" w:cs="Times New Roman" w:hint="eastAsia"/>
          <w:sz w:val="24"/>
        </w:rPr>
        <w:t xml:space="preserve"> </w:t>
      </w:r>
      <w:r w:rsidRPr="00743CA4">
        <w:rPr>
          <w:rFonts w:ascii="Times New Roman" w:hAnsi="Times New Roman" w:cs="Times New Roman"/>
          <w:sz w:val="24"/>
        </w:rPr>
        <w:fldChar w:fldCharType="begin"/>
      </w:r>
      <w:r w:rsidRPr="00743CA4">
        <w:rPr>
          <w:rFonts w:ascii="Times New Roman" w:hAnsi="Times New Roman" w:cs="Times New Roman"/>
          <w:sz w:val="24"/>
        </w:rPr>
        <w:instrText xml:space="preserve"> ADDIN NE.Ref.{D3D4E7B1-9131-4E9D-BA91-09C6567BAEE1}</w:instrText>
      </w:r>
      <w:r w:rsidRPr="00743CA4">
        <w:rPr>
          <w:rFonts w:ascii="Times New Roman" w:hAnsi="Times New Roman" w:cs="Times New Roman"/>
          <w:sz w:val="24"/>
        </w:rPr>
        <w:fldChar w:fldCharType="separate"/>
      </w:r>
      <w:r w:rsidRPr="00743CA4">
        <w:rPr>
          <w:rFonts w:ascii="Times New Roman" w:hAnsi="Times New Roman" w:cs="Times New Roman"/>
          <w:kern w:val="0"/>
          <w:sz w:val="24"/>
        </w:rPr>
        <w:t>[1]</w:t>
      </w:r>
      <w:r w:rsidRPr="00743CA4">
        <w:rPr>
          <w:rFonts w:ascii="Times New Roman" w:hAnsi="Times New Roman" w:cs="Times New Roman"/>
          <w:sz w:val="24"/>
        </w:rPr>
        <w:fldChar w:fldCharType="end"/>
      </w:r>
      <w:r w:rsidR="008F7E1D" w:rsidRPr="00743CA4">
        <w:rPr>
          <w:rFonts w:ascii="Times New Roman" w:hAnsi="Times New Roman" w:cs="Times New Roman"/>
          <w:sz w:val="24"/>
        </w:rPr>
        <w:t>, m</w:t>
      </w:r>
      <w:r w:rsidRPr="00743CA4">
        <w:rPr>
          <w:rFonts w:ascii="Times New Roman" w:hAnsi="Times New Roman" w:cs="Times New Roman"/>
          <w:sz w:val="24"/>
        </w:rPr>
        <w:t xml:space="preserve">ice were individually housed and given free access to two bottles, one containing water and the other containing 1% sucrose solution. To minimize side preference, bottle positions were alternated every 12 h. Mice were habituated to the two-bottle setup for at least 2 days before testing. Sucrose preference was calculated daily as follows: sucrose preference (%) = </w:t>
      </w:r>
      <w:proofErr w:type="gramStart"/>
      <w:r w:rsidRPr="00743CA4">
        <w:rPr>
          <w:rFonts w:ascii="Times New Roman" w:hAnsi="Times New Roman" w:cs="Times New Roman"/>
          <w:sz w:val="24"/>
        </w:rPr>
        <w:t>V(</w:t>
      </w:r>
      <w:proofErr w:type="gramEnd"/>
      <w:r w:rsidRPr="00743CA4">
        <w:rPr>
          <w:rFonts w:ascii="Times New Roman" w:hAnsi="Times New Roman" w:cs="Times New Roman"/>
          <w:sz w:val="24"/>
        </w:rPr>
        <w:t>sucrose solution) / [V(sucrose solution) + V(water)] × 100%.</w:t>
      </w:r>
    </w:p>
    <w:p w14:paraId="188A32E4" w14:textId="19661177" w:rsidR="00326D69" w:rsidRPr="00743CA4" w:rsidRDefault="008C083D" w:rsidP="00FB4DA0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>Forced swimming test</w:t>
      </w:r>
      <w:r w:rsidRPr="00743CA4">
        <w:rPr>
          <w:rFonts w:ascii="Times New Roman" w:hAnsi="Times New Roman" w:cs="Times New Roman"/>
          <w:sz w:val="24"/>
        </w:rPr>
        <w:br/>
      </w:r>
      <w:r w:rsidRPr="00743CA4">
        <w:rPr>
          <w:rFonts w:ascii="Times New Roman" w:hAnsi="Times New Roman" w:cs="Times New Roman" w:hint="eastAsia"/>
          <w:sz w:val="24"/>
        </w:rPr>
        <w:t>A</w:t>
      </w:r>
      <w:r w:rsidRPr="00743CA4">
        <w:rPr>
          <w:rFonts w:ascii="Times New Roman" w:hAnsi="Times New Roman" w:cs="Times New Roman"/>
          <w:sz w:val="24"/>
        </w:rPr>
        <w:t>s previously described</w:t>
      </w:r>
      <w:r w:rsidRPr="00743CA4">
        <w:rPr>
          <w:rFonts w:ascii="Times New Roman" w:hAnsi="Times New Roman" w:cs="Times New Roman" w:hint="eastAsia"/>
          <w:sz w:val="24"/>
        </w:rPr>
        <w:t xml:space="preserve"> </w:t>
      </w:r>
      <w:r w:rsidRPr="00743CA4">
        <w:rPr>
          <w:rFonts w:ascii="Times New Roman" w:hAnsi="Times New Roman" w:cs="Times New Roman"/>
          <w:sz w:val="24"/>
        </w:rPr>
        <w:fldChar w:fldCharType="begin"/>
      </w:r>
      <w:r w:rsidRPr="00743CA4">
        <w:rPr>
          <w:rFonts w:ascii="Times New Roman" w:hAnsi="Times New Roman" w:cs="Times New Roman"/>
          <w:sz w:val="24"/>
        </w:rPr>
        <w:instrText xml:space="preserve"> ADDIN NE.Ref.{5FF28C22-D9B2-48C5-985B-42013FAAC6FA}</w:instrText>
      </w:r>
      <w:r w:rsidRPr="00743CA4">
        <w:rPr>
          <w:rFonts w:ascii="Times New Roman" w:hAnsi="Times New Roman" w:cs="Times New Roman"/>
          <w:sz w:val="24"/>
        </w:rPr>
        <w:fldChar w:fldCharType="separate"/>
      </w:r>
      <w:r w:rsidRPr="00743CA4">
        <w:rPr>
          <w:rFonts w:ascii="Times New Roman" w:hAnsi="Times New Roman" w:cs="Times New Roman"/>
          <w:kern w:val="0"/>
          <w:sz w:val="24"/>
        </w:rPr>
        <w:t>[1]</w:t>
      </w:r>
      <w:r w:rsidRPr="00743CA4">
        <w:rPr>
          <w:rFonts w:ascii="Times New Roman" w:hAnsi="Times New Roman" w:cs="Times New Roman"/>
          <w:sz w:val="24"/>
        </w:rPr>
        <w:fldChar w:fldCharType="end"/>
      </w:r>
      <w:r w:rsidRPr="00743CA4">
        <w:rPr>
          <w:rFonts w:ascii="Times New Roman" w:hAnsi="Times New Roman" w:cs="Times New Roman" w:hint="eastAsia"/>
          <w:sz w:val="24"/>
        </w:rPr>
        <w:t>, m</w:t>
      </w:r>
      <w:r w:rsidRPr="00743CA4">
        <w:rPr>
          <w:rFonts w:ascii="Times New Roman" w:hAnsi="Times New Roman" w:cs="Times New Roman"/>
          <w:sz w:val="24"/>
        </w:rPr>
        <w:t>ice were placed individually in a Plexiglas cylinder (12 cm in diameter</w:t>
      </w:r>
      <w:r w:rsidR="008F7E1D" w:rsidRPr="00743CA4">
        <w:rPr>
          <w:rFonts w:ascii="Times New Roman" w:hAnsi="Times New Roman" w:cs="Times New Roman"/>
          <w:sz w:val="24"/>
        </w:rPr>
        <w:t xml:space="preserve"> and </w:t>
      </w:r>
      <w:r w:rsidRPr="00743CA4">
        <w:rPr>
          <w:rFonts w:ascii="Times New Roman" w:hAnsi="Times New Roman" w:cs="Times New Roman"/>
          <w:sz w:val="24"/>
        </w:rPr>
        <w:t xml:space="preserve">25 cm in height) filled with </w:t>
      </w:r>
      <w:r w:rsidR="008F7E1D" w:rsidRPr="00743CA4">
        <w:rPr>
          <w:rFonts w:ascii="Times New Roman" w:hAnsi="Times New Roman" w:cs="Times New Roman"/>
          <w:sz w:val="24"/>
        </w:rPr>
        <w:t xml:space="preserve">water to a depth of 15 cm </w:t>
      </w:r>
      <w:r w:rsidRPr="00743CA4">
        <w:rPr>
          <w:rFonts w:ascii="Times New Roman" w:hAnsi="Times New Roman" w:cs="Times New Roman"/>
          <w:sz w:val="24"/>
        </w:rPr>
        <w:t>(24 ± 1 °C). A 5-min pre-swim habituation session was conducted 1 day before testing. On the test day, mice were allowed to swim for 6 min continuously, and immobility time during the last 5 min was recorded using a video-tracking system.</w:t>
      </w:r>
    </w:p>
    <w:p w14:paraId="07B3454E" w14:textId="77777777" w:rsidR="00CC02A2" w:rsidRPr="00743CA4" w:rsidRDefault="00CC02A2" w:rsidP="00CC02A2">
      <w:pPr>
        <w:spacing w:beforeLines="50" w:before="156" w:afterLines="50" w:after="156" w:line="480" w:lineRule="auto"/>
        <w:rPr>
          <w:rFonts w:ascii="Times New Roman" w:hAnsi="Times New Roman" w:cs="Times New Roman"/>
          <w:b/>
          <w:bCs/>
          <w:sz w:val="24"/>
        </w:rPr>
      </w:pPr>
      <w:bookmarkStart w:id="3" w:name="_Hlk209706553"/>
      <w:r w:rsidRPr="00743CA4">
        <w:rPr>
          <w:rFonts w:ascii="Times New Roman" w:hAnsi="Times New Roman" w:cs="Times New Roman"/>
          <w:b/>
          <w:bCs/>
          <w:sz w:val="24"/>
        </w:rPr>
        <w:t>Statistical Analysis</w:t>
      </w:r>
    </w:p>
    <w:bookmarkEnd w:id="3"/>
    <w:p w14:paraId="0376641B" w14:textId="51B69BB7" w:rsidR="00CC02A2" w:rsidRPr="00743CA4" w:rsidRDefault="008F7E1D" w:rsidP="00CC02A2">
      <w:pPr>
        <w:spacing w:beforeLines="50" w:before="156" w:afterLines="50" w:after="156"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sz w:val="24"/>
        </w:rPr>
        <w:t xml:space="preserve">Statistical analyses were conducted using IBM SPSS Statistics, version 20.0 </w:t>
      </w:r>
      <w:r w:rsidR="00CC02A2" w:rsidRPr="00743CA4">
        <w:rPr>
          <w:rFonts w:ascii="Times New Roman" w:hAnsi="Times New Roman" w:cs="Times New Roman"/>
          <w:sz w:val="24"/>
        </w:rPr>
        <w:t>(IBM, Armonk, NY, USA) and GraphPad Prism</w:t>
      </w:r>
      <w:r w:rsidRPr="00743CA4">
        <w:rPr>
          <w:rFonts w:ascii="Times New Roman" w:hAnsi="Times New Roman" w:cs="Times New Roman"/>
          <w:sz w:val="24"/>
        </w:rPr>
        <w:t xml:space="preserve">, version 8.0 </w:t>
      </w:r>
      <w:r w:rsidR="00CC02A2" w:rsidRPr="00743CA4">
        <w:rPr>
          <w:rFonts w:ascii="Times New Roman" w:hAnsi="Times New Roman" w:cs="Times New Roman"/>
          <w:sz w:val="24"/>
        </w:rPr>
        <w:t>(GraphPad Software, San Diego, CA, USA). Data are presented as mean ± SEM unless otherwise specified. Normality and homogeneity of variance were assessed before statistical testing using the Shapiro–</w:t>
      </w:r>
      <w:r w:rsidR="00CC02A2" w:rsidRPr="00743CA4">
        <w:rPr>
          <w:rFonts w:ascii="Times New Roman" w:hAnsi="Times New Roman" w:cs="Times New Roman"/>
          <w:sz w:val="24"/>
        </w:rPr>
        <w:lastRenderedPageBreak/>
        <w:t xml:space="preserve">Wilk and </w:t>
      </w:r>
      <w:proofErr w:type="spellStart"/>
      <w:r w:rsidR="00CC02A2" w:rsidRPr="00743CA4">
        <w:rPr>
          <w:rFonts w:ascii="Times New Roman" w:hAnsi="Times New Roman" w:cs="Times New Roman"/>
          <w:sz w:val="24"/>
        </w:rPr>
        <w:t>Levene</w:t>
      </w:r>
      <w:proofErr w:type="spellEnd"/>
      <w:r w:rsidR="00CC02A2" w:rsidRPr="00743CA4">
        <w:rPr>
          <w:rFonts w:ascii="Times New Roman" w:hAnsi="Times New Roman" w:cs="Times New Roman"/>
          <w:sz w:val="24"/>
        </w:rPr>
        <w:t xml:space="preserve"> tests, respectively. Comparisons between two groups were performed using an unpaired two-tailed Student’s t test.</w:t>
      </w:r>
      <w:r w:rsidR="00CC02A2" w:rsidRPr="00743CA4">
        <w:rPr>
          <w:rFonts w:ascii="Times New Roman" w:hAnsi="Times New Roman" w:cs="Times New Roman"/>
        </w:rPr>
        <w:t xml:space="preserve"> </w:t>
      </w:r>
      <w:r w:rsidR="00CC02A2" w:rsidRPr="00743CA4">
        <w:rPr>
          <w:rFonts w:ascii="Times New Roman" w:hAnsi="Times New Roman" w:cs="Times New Roman" w:hint="eastAsia"/>
          <w:sz w:val="24"/>
        </w:rPr>
        <w:t>One-way ANOVA or two-way ANOVA followed by Bonferroni or Dunnett post hoc test was used for analyses with multiple comparisons</w:t>
      </w:r>
      <w:r w:rsidR="00CC02A2" w:rsidRPr="00743CA4">
        <w:rPr>
          <w:rFonts w:ascii="Times New Roman" w:hAnsi="Times New Roman" w:cs="Times New Roman"/>
          <w:sz w:val="24"/>
        </w:rPr>
        <w:t>.</w:t>
      </w:r>
      <w:r w:rsidR="00CC02A2" w:rsidRPr="00743CA4">
        <w:rPr>
          <w:rFonts w:ascii="Times New Roman" w:hAnsi="Times New Roman" w:cs="Times New Roman"/>
        </w:rPr>
        <w:t xml:space="preserve"> </w:t>
      </w:r>
      <w:r w:rsidR="00CC02A2" w:rsidRPr="00743CA4">
        <w:rPr>
          <w:rFonts w:ascii="Times New Roman" w:hAnsi="Times New Roman" w:cs="Times New Roman"/>
          <w:sz w:val="24"/>
        </w:rPr>
        <w:t xml:space="preserve">A value of </w:t>
      </w:r>
      <w:r w:rsidR="00CC02A2" w:rsidRPr="00743CA4">
        <w:rPr>
          <w:rFonts w:ascii="Times New Roman" w:hAnsi="Times New Roman" w:cs="Times New Roman"/>
          <w:i/>
          <w:iCs/>
          <w:sz w:val="24"/>
        </w:rPr>
        <w:t>p</w:t>
      </w:r>
      <w:r w:rsidR="00CC02A2" w:rsidRPr="00743CA4">
        <w:rPr>
          <w:rFonts w:ascii="Times New Roman" w:hAnsi="Times New Roman" w:cs="Times New Roman"/>
          <w:sz w:val="24"/>
        </w:rPr>
        <w:t xml:space="preserve"> &lt; 0.05 was considered statistically significant (</w:t>
      </w:r>
      <w:r w:rsidR="00CC02A2" w:rsidRPr="00743CA4">
        <w:rPr>
          <w:rFonts w:ascii="Times New Roman" w:hAnsi="Times New Roman" w:cs="Times New Roman"/>
          <w:i/>
          <w:iCs/>
          <w:sz w:val="24"/>
        </w:rPr>
        <w:t>*p</w:t>
      </w:r>
      <w:r w:rsidR="00CC02A2" w:rsidRPr="00743CA4">
        <w:rPr>
          <w:rFonts w:ascii="Times New Roman" w:hAnsi="Times New Roman" w:cs="Times New Roman"/>
          <w:sz w:val="24"/>
        </w:rPr>
        <w:t xml:space="preserve"> &lt; 0.05, **</w:t>
      </w:r>
      <w:r w:rsidR="00CC02A2" w:rsidRPr="00743CA4">
        <w:rPr>
          <w:rFonts w:ascii="Times New Roman" w:hAnsi="Times New Roman" w:cs="Times New Roman"/>
          <w:i/>
          <w:iCs/>
          <w:sz w:val="24"/>
        </w:rPr>
        <w:t>p</w:t>
      </w:r>
      <w:r w:rsidR="00CC02A2" w:rsidRPr="00743CA4">
        <w:rPr>
          <w:rFonts w:ascii="Times New Roman" w:hAnsi="Times New Roman" w:cs="Times New Roman"/>
          <w:sz w:val="24"/>
        </w:rPr>
        <w:t xml:space="preserve"> &lt; 0.01).</w:t>
      </w:r>
    </w:p>
    <w:p w14:paraId="03E17C57" w14:textId="77777777" w:rsidR="008C083D" w:rsidRPr="00743CA4" w:rsidRDefault="008C083D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51B988A0" w14:textId="26040932" w:rsidR="00A2292E" w:rsidRPr="00743CA4" w:rsidRDefault="00A2292E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 xml:space="preserve">Supplementary Figures: </w:t>
      </w:r>
    </w:p>
    <w:p w14:paraId="347A2C03" w14:textId="141AE573" w:rsidR="00441C85" w:rsidRPr="00743CA4" w:rsidRDefault="00E73A70" w:rsidP="00441C8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66E11C0E" wp14:editId="7F8AAE19">
            <wp:extent cx="5274310" cy="25425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751C5" w14:textId="12688499" w:rsidR="00441C85" w:rsidRPr="00743CA4" w:rsidRDefault="00441C85" w:rsidP="00441C8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Pr="00743CA4">
        <w:rPr>
          <w:rFonts w:ascii="Times New Roman" w:hAnsi="Times New Roman" w:cs="Times New Roman" w:hint="eastAsia"/>
          <w:b/>
          <w:bCs/>
          <w:sz w:val="24"/>
        </w:rPr>
        <w:t>1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 </w:t>
      </w:r>
      <w:r w:rsidR="008F7E1D" w:rsidRPr="00743CA4">
        <w:rPr>
          <w:rFonts w:ascii="Times New Roman" w:hAnsi="Times New Roman" w:cs="Times New Roman"/>
          <w:b/>
          <w:bCs/>
          <w:sz w:val="24"/>
        </w:rPr>
        <w:t>Genotyping of IRAK-M-knockout mice and validation of AAV-mediated IRAK-M overexpression</w:t>
      </w:r>
    </w:p>
    <w:p w14:paraId="4BB456A1" w14:textId="42446C3F" w:rsidR="00441C85" w:rsidRPr="00743CA4" w:rsidRDefault="00441C85" w:rsidP="009054E0">
      <w:pPr>
        <w:spacing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>(A)</w:t>
      </w:r>
      <w:r w:rsidRPr="00743CA4">
        <w:rPr>
          <w:rFonts w:ascii="Times New Roman" w:hAnsi="Times New Roman" w:cs="Times New Roman"/>
          <w:sz w:val="24"/>
        </w:rPr>
        <w:t xml:space="preserve"> The wild-type (+/+) and homozygote (-/-) alleles generate PCR products of </w:t>
      </w:r>
      <w:r w:rsidR="0063555B" w:rsidRPr="00743CA4">
        <w:rPr>
          <w:rFonts w:ascii="Times New Roman" w:hAnsi="Times New Roman" w:cs="Times New Roman"/>
          <w:sz w:val="24"/>
        </w:rPr>
        <w:t>6</w:t>
      </w:r>
      <w:r w:rsidRPr="00743CA4">
        <w:rPr>
          <w:rFonts w:ascii="Times New Roman" w:hAnsi="Times New Roman" w:cs="Times New Roman"/>
          <w:sz w:val="24"/>
        </w:rPr>
        <w:t xml:space="preserve">00 bp and </w:t>
      </w:r>
      <w:r w:rsidR="0063555B" w:rsidRPr="00743CA4">
        <w:rPr>
          <w:rFonts w:ascii="Times New Roman" w:hAnsi="Times New Roman" w:cs="Times New Roman"/>
          <w:sz w:val="24"/>
        </w:rPr>
        <w:t>5</w:t>
      </w:r>
      <w:r w:rsidRPr="00743CA4">
        <w:rPr>
          <w:rFonts w:ascii="Times New Roman" w:hAnsi="Times New Roman" w:cs="Times New Roman"/>
          <w:sz w:val="24"/>
        </w:rPr>
        <w:t xml:space="preserve">00 bp, respectively. 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(B) </w:t>
      </w:r>
      <w:r w:rsidRPr="00743CA4">
        <w:rPr>
          <w:rFonts w:ascii="Times New Roman" w:hAnsi="Times New Roman" w:cs="Times New Roman"/>
          <w:sz w:val="24"/>
        </w:rPr>
        <w:t>IRAK-M mRNA levels were measured in WT, WT + AAV</w:t>
      </w:r>
      <w:r w:rsidRPr="00743CA4">
        <w:rPr>
          <w:rFonts w:ascii="Times New Roman" w:hAnsi="Times New Roman" w:cs="Times New Roman"/>
          <w:sz w:val="24"/>
          <w:vertAlign w:val="superscript"/>
        </w:rPr>
        <w:t>-con</w:t>
      </w:r>
      <w:r w:rsidR="00E73A70" w:rsidRPr="00743CA4">
        <w:rPr>
          <w:rFonts w:ascii="Times New Roman" w:hAnsi="Times New Roman" w:cs="Times New Roman" w:hint="eastAsia"/>
          <w:sz w:val="24"/>
          <w:vertAlign w:val="superscript"/>
        </w:rPr>
        <w:t>trol</w:t>
      </w:r>
      <w:r w:rsidRPr="00743CA4">
        <w:rPr>
          <w:rFonts w:ascii="Times New Roman" w:hAnsi="Times New Roman" w:cs="Times New Roman"/>
          <w:sz w:val="24"/>
        </w:rPr>
        <w:t>, and WT + AAV</w:t>
      </w:r>
      <w:r w:rsidRPr="00743CA4">
        <w:rPr>
          <w:rFonts w:ascii="Times New Roman" w:hAnsi="Times New Roman" w:cs="Times New Roman"/>
          <w:sz w:val="24"/>
          <w:vertAlign w:val="superscript"/>
        </w:rPr>
        <w:t>-IRAK-M</w:t>
      </w:r>
      <w:r w:rsidRPr="00743CA4">
        <w:rPr>
          <w:rFonts w:ascii="Times New Roman" w:hAnsi="Times New Roman" w:cs="Times New Roman"/>
          <w:sz w:val="24"/>
        </w:rPr>
        <w:t xml:space="preserve"> mice by RT-PCR before modeling (n = </w:t>
      </w:r>
      <w:r w:rsidRPr="00743CA4">
        <w:rPr>
          <w:rFonts w:ascii="Times New Roman" w:hAnsi="Times New Roman" w:cs="Times New Roman" w:hint="eastAsia"/>
          <w:sz w:val="24"/>
        </w:rPr>
        <w:t>4</w:t>
      </w:r>
      <w:r w:rsidR="0063555B" w:rsidRPr="00743CA4">
        <w:rPr>
          <w:rFonts w:ascii="Times New Roman" w:hAnsi="Times New Roman" w:cs="Times New Roman"/>
          <w:sz w:val="24"/>
        </w:rPr>
        <w:t xml:space="preserve"> mice per group</w:t>
      </w:r>
      <w:r w:rsidRPr="00743CA4">
        <w:rPr>
          <w:rFonts w:ascii="Times New Roman" w:hAnsi="Times New Roman" w:cs="Times New Roman"/>
          <w:sz w:val="24"/>
        </w:rPr>
        <w:t>).</w:t>
      </w:r>
      <w:r w:rsidRPr="00743CA4">
        <w:rPr>
          <w:rFonts w:ascii="Times New Roman" w:hAnsi="Times New Roman" w:cs="Times New Roman" w:hint="eastAsia"/>
          <w:sz w:val="24"/>
        </w:rPr>
        <w:t xml:space="preserve"> </w:t>
      </w:r>
      <w:r w:rsidRPr="00743CA4">
        <w:rPr>
          <w:rFonts w:ascii="Times New Roman" w:hAnsi="Times New Roman" w:cs="Times New Roman"/>
          <w:sz w:val="24"/>
        </w:rPr>
        <w:t>Data are presented as mean ± SEM</w:t>
      </w:r>
      <w:r w:rsidR="008F7E1D" w:rsidRPr="00743CA4">
        <w:rPr>
          <w:rFonts w:ascii="Times New Roman" w:hAnsi="Times New Roman" w:cs="Times New Roman"/>
          <w:sz w:val="24"/>
        </w:rPr>
        <w:t>.</w:t>
      </w:r>
      <w:r w:rsidRPr="00743CA4">
        <w:rPr>
          <w:rFonts w:ascii="Times New Roman" w:hAnsi="Times New Roman" w:cs="Times New Roman"/>
          <w:sz w:val="24"/>
        </w:rPr>
        <w:t xml:space="preserve"> Statistical analysis was performed using </w:t>
      </w:r>
      <w:r w:rsidRPr="00743CA4">
        <w:rPr>
          <w:rFonts w:ascii="Times New Roman" w:hAnsi="Times New Roman" w:cs="Times New Roman" w:hint="eastAsia"/>
          <w:sz w:val="24"/>
        </w:rPr>
        <w:t xml:space="preserve">one-way ANOVA </w:t>
      </w:r>
      <w:r w:rsidR="009642E4" w:rsidRPr="00743CA4">
        <w:rPr>
          <w:rFonts w:ascii="Times New Roman" w:hAnsi="Times New Roman" w:cs="Times New Roman"/>
          <w:sz w:val="24"/>
        </w:rPr>
        <w:t>followed by</w:t>
      </w:r>
      <w:r w:rsidRPr="00743CA4">
        <w:rPr>
          <w:rFonts w:ascii="Times New Roman" w:hAnsi="Times New Roman" w:cs="Times New Roman" w:hint="eastAsia"/>
          <w:sz w:val="24"/>
        </w:rPr>
        <w:t xml:space="preserve"> Dunnett</w:t>
      </w:r>
      <w:r w:rsidRPr="00743CA4">
        <w:rPr>
          <w:rFonts w:ascii="Times New Roman" w:hAnsi="Times New Roman" w:cs="Times New Roman" w:hint="eastAsia"/>
          <w:sz w:val="24"/>
        </w:rPr>
        <w:t>’</w:t>
      </w:r>
      <w:r w:rsidRPr="00743CA4">
        <w:rPr>
          <w:rFonts w:ascii="Times New Roman" w:hAnsi="Times New Roman" w:cs="Times New Roman" w:hint="eastAsia"/>
          <w:sz w:val="24"/>
        </w:rPr>
        <w:t>s multiple</w:t>
      </w:r>
      <w:r w:rsidR="008F7E1D" w:rsidRPr="00743CA4">
        <w:rPr>
          <w:rFonts w:ascii="Times New Roman" w:hAnsi="Times New Roman" w:cs="Times New Roman"/>
          <w:sz w:val="24"/>
        </w:rPr>
        <w:t>-</w:t>
      </w:r>
      <w:r w:rsidRPr="00743CA4">
        <w:rPr>
          <w:rFonts w:ascii="Times New Roman" w:hAnsi="Times New Roman" w:cs="Times New Roman" w:hint="eastAsia"/>
          <w:sz w:val="24"/>
        </w:rPr>
        <w:t>comparison test in</w:t>
      </w:r>
      <w:r w:rsidRPr="00743CA4">
        <w:rPr>
          <w:rFonts w:ascii="Times New Roman" w:hAnsi="Times New Roman" w:cs="Times New Roman"/>
          <w:sz w:val="24"/>
        </w:rPr>
        <w:t xml:space="preserve"> (</w:t>
      </w:r>
      <w:r w:rsidR="0063555B" w:rsidRPr="00743CA4">
        <w:rPr>
          <w:rFonts w:ascii="Times New Roman" w:hAnsi="Times New Roman" w:cs="Times New Roman"/>
          <w:sz w:val="24"/>
        </w:rPr>
        <w:t>B</w:t>
      </w:r>
      <w:r w:rsidRPr="00743CA4">
        <w:rPr>
          <w:rFonts w:ascii="Times New Roman" w:hAnsi="Times New Roman" w:cs="Times New Roman"/>
          <w:sz w:val="24"/>
        </w:rPr>
        <w:t>).</w:t>
      </w:r>
      <w:r w:rsidR="008F7E1D" w:rsidRPr="00743CA4">
        <w:rPr>
          <w:rFonts w:ascii="Times New Roman" w:hAnsi="Times New Roman" w:cs="Times New Roman"/>
          <w:i/>
          <w:iCs/>
          <w:sz w:val="24"/>
        </w:rPr>
        <w:t xml:space="preserve"> *p</w:t>
      </w:r>
      <w:r w:rsidR="008F7E1D" w:rsidRPr="00743CA4">
        <w:rPr>
          <w:rFonts w:ascii="Times New Roman" w:hAnsi="Times New Roman" w:cs="Times New Roman"/>
          <w:sz w:val="24"/>
        </w:rPr>
        <w:t xml:space="preserve"> &lt; 0.05, </w:t>
      </w:r>
      <w:r w:rsidR="008F7E1D" w:rsidRPr="00743CA4">
        <w:rPr>
          <w:rFonts w:ascii="Times New Roman" w:hAnsi="Times New Roman" w:cs="Times New Roman"/>
          <w:i/>
          <w:iCs/>
          <w:sz w:val="24"/>
        </w:rPr>
        <w:t>**p</w:t>
      </w:r>
      <w:r w:rsidR="008F7E1D" w:rsidRPr="00743CA4">
        <w:rPr>
          <w:rFonts w:ascii="Times New Roman" w:hAnsi="Times New Roman" w:cs="Times New Roman"/>
          <w:sz w:val="24"/>
        </w:rPr>
        <w:t xml:space="preserve"> &lt; 0.01.</w:t>
      </w:r>
    </w:p>
    <w:p w14:paraId="118B5429" w14:textId="43E6C141" w:rsidR="000335F6" w:rsidRPr="00743CA4" w:rsidRDefault="00E73A70" w:rsidP="000335F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0690B4C1" wp14:editId="78188AD2">
            <wp:extent cx="5274310" cy="549021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D290E" w14:textId="4E8A945B" w:rsidR="000335F6" w:rsidRPr="00743CA4" w:rsidRDefault="000335F6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441C85" w:rsidRPr="00743CA4">
        <w:rPr>
          <w:rFonts w:ascii="Times New Roman" w:hAnsi="Times New Roman" w:cs="Times New Roman" w:hint="eastAsia"/>
          <w:b/>
          <w:bCs/>
          <w:sz w:val="24"/>
        </w:rPr>
        <w:t>2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 Effects of saline and vehicle treatment on nociceptive thresholds and </w:t>
      </w:r>
      <w:r w:rsidR="008F7E1D" w:rsidRPr="00743CA4">
        <w:rPr>
          <w:rFonts w:ascii="Times New Roman" w:hAnsi="Times New Roman" w:cs="Times New Roman"/>
          <w:b/>
          <w:bCs/>
          <w:sz w:val="24"/>
        </w:rPr>
        <w:t>anxiety-related behavioral measures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 in WT mice</w:t>
      </w:r>
    </w:p>
    <w:p w14:paraId="02A5D5B3" w14:textId="755CEB85" w:rsidR="00020F6F" w:rsidRPr="00743CA4" w:rsidRDefault="00020F6F" w:rsidP="009054E0">
      <w:pPr>
        <w:spacing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 xml:space="preserve">(A) </w:t>
      </w:r>
      <w:r w:rsidRPr="00743CA4">
        <w:rPr>
          <w:rFonts w:ascii="Times New Roman" w:hAnsi="Times New Roman" w:cs="Times New Roman"/>
          <w:sz w:val="24"/>
        </w:rPr>
        <w:t>Mechanical withdrawal thresholds assessed using paw withdrawal.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 (B) </w:t>
      </w:r>
      <w:r w:rsidRPr="00743CA4">
        <w:rPr>
          <w:rFonts w:ascii="Times New Roman" w:hAnsi="Times New Roman" w:cs="Times New Roman"/>
          <w:sz w:val="24"/>
        </w:rPr>
        <w:t xml:space="preserve">Thermal withdrawal latencies assessed using the hot-plate test. 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(C–D) </w:t>
      </w:r>
      <w:r w:rsidRPr="00743CA4">
        <w:rPr>
          <w:rFonts w:ascii="Times New Roman" w:hAnsi="Times New Roman" w:cs="Times New Roman"/>
          <w:sz w:val="24"/>
        </w:rPr>
        <w:t xml:space="preserve">Time spent in the light compartment and number of entries into the light compartment in the light-aversion test. 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(E–F) </w:t>
      </w:r>
      <w:r w:rsidRPr="00743CA4">
        <w:rPr>
          <w:rFonts w:ascii="Times New Roman" w:hAnsi="Times New Roman" w:cs="Times New Roman"/>
          <w:sz w:val="24"/>
        </w:rPr>
        <w:t>Total distance traveled and percentage of time spent in the central zone in the open-field test.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 (G–H) </w:t>
      </w:r>
      <w:r w:rsidRPr="00743CA4">
        <w:rPr>
          <w:rFonts w:ascii="Times New Roman" w:hAnsi="Times New Roman" w:cs="Times New Roman"/>
          <w:sz w:val="24"/>
        </w:rPr>
        <w:t xml:space="preserve">Percentage of time spent in the open arms and number of open-arm entries in the elevated plus-maze test. n = 6 mice per group. Data are presented as </w:t>
      </w:r>
      <w:r w:rsidRPr="00743CA4">
        <w:rPr>
          <w:rFonts w:ascii="Times New Roman" w:hAnsi="Times New Roman" w:cs="Times New Roman"/>
          <w:sz w:val="24"/>
        </w:rPr>
        <w:lastRenderedPageBreak/>
        <w:t xml:space="preserve">mean ± SEM. </w:t>
      </w:r>
      <w:r w:rsidR="008F7E1D" w:rsidRPr="00743CA4">
        <w:rPr>
          <w:rFonts w:ascii="Times New Roman" w:hAnsi="Times New Roman" w:cs="Times New Roman"/>
          <w:sz w:val="24"/>
        </w:rPr>
        <w:t>Two-way repeated-measures ANOVA followed by Bonferroni-adjusted multiple comparisons was used for</w:t>
      </w:r>
      <w:r w:rsidRPr="00743CA4">
        <w:rPr>
          <w:rFonts w:ascii="Times New Roman" w:hAnsi="Times New Roman" w:cs="Times New Roman"/>
          <w:sz w:val="24"/>
        </w:rPr>
        <w:t xml:space="preserve"> (A–B), and an unpaired two-tailed Student’s t test was used for (C–H). No significant differences were observed between the WT + saline and WT + vehicle groups; ns, not significant.</w:t>
      </w:r>
    </w:p>
    <w:p w14:paraId="5C296BAF" w14:textId="6A5CBC04" w:rsidR="000335F6" w:rsidRPr="00743CA4" w:rsidRDefault="00A77C8B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07E6ACFB" wp14:editId="0F6EB918">
            <wp:extent cx="5274310" cy="2503170"/>
            <wp:effectExtent l="0" t="0" r="0" b="0"/>
            <wp:docPr id="11551614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161472" name="图片 11551614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75FE" w14:textId="6019A736" w:rsidR="0041753F" w:rsidRPr="00743CA4" w:rsidRDefault="0041753F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441C85" w:rsidRPr="00743CA4">
        <w:rPr>
          <w:rFonts w:ascii="Times New Roman" w:hAnsi="Times New Roman" w:cs="Times New Roman" w:hint="eastAsia"/>
          <w:b/>
          <w:bCs/>
          <w:sz w:val="24"/>
        </w:rPr>
        <w:t>3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 </w:t>
      </w:r>
      <w:r w:rsidR="00A77C8B" w:rsidRPr="00743CA4">
        <w:rPr>
          <w:rFonts w:ascii="Times New Roman" w:hAnsi="Times New Roman" w:cs="Times New Roman"/>
          <w:b/>
          <w:bCs/>
          <w:sz w:val="24"/>
        </w:rPr>
        <w:t>Assessment of depression-like behaviors in NTG-induced chronic migraine mice</w:t>
      </w:r>
    </w:p>
    <w:p w14:paraId="4DB1EB63" w14:textId="228ADE4C" w:rsidR="00560C8C" w:rsidRPr="00743CA4" w:rsidRDefault="00FE052A" w:rsidP="009054E0">
      <w:pPr>
        <w:spacing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 xml:space="preserve">(A) </w:t>
      </w:r>
      <w:r w:rsidRPr="00743CA4">
        <w:rPr>
          <w:rFonts w:ascii="Times New Roman" w:hAnsi="Times New Roman" w:cs="Times New Roman"/>
          <w:sz w:val="24"/>
        </w:rPr>
        <w:t xml:space="preserve">Experimental timeline. </w:t>
      </w:r>
      <w:r w:rsidR="008F7E1D" w:rsidRPr="00743CA4">
        <w:rPr>
          <w:rFonts w:ascii="Times New Roman" w:hAnsi="Times New Roman" w:cs="Times New Roman"/>
          <w:sz w:val="24"/>
        </w:rPr>
        <w:t>Depression-related behavioral measures</w:t>
      </w:r>
      <w:r w:rsidRPr="00743CA4">
        <w:rPr>
          <w:rFonts w:ascii="Times New Roman" w:hAnsi="Times New Roman" w:cs="Times New Roman"/>
          <w:sz w:val="24"/>
        </w:rPr>
        <w:t xml:space="preserve">, including the sucrose preference test (SPT) and forced swim test (FST), were assessed between days 9 and 16. </w:t>
      </w:r>
      <w:r w:rsidRPr="00743CA4">
        <w:rPr>
          <w:rFonts w:ascii="Times New Roman" w:hAnsi="Times New Roman" w:cs="Times New Roman"/>
          <w:b/>
          <w:bCs/>
          <w:sz w:val="24"/>
        </w:rPr>
        <w:t>(B)</w:t>
      </w:r>
      <w:r w:rsidRPr="00743CA4">
        <w:rPr>
          <w:rFonts w:ascii="Times New Roman" w:hAnsi="Times New Roman" w:cs="Times New Roman"/>
          <w:sz w:val="24"/>
        </w:rPr>
        <w:t xml:space="preserve"> Schematic of the sucrose preference test. 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(C) </w:t>
      </w:r>
      <w:r w:rsidRPr="00743CA4">
        <w:rPr>
          <w:rFonts w:ascii="Times New Roman" w:hAnsi="Times New Roman" w:cs="Times New Roman"/>
          <w:sz w:val="24"/>
        </w:rPr>
        <w:t xml:space="preserve">Sucrose preference. </w:t>
      </w:r>
      <w:r w:rsidRPr="00743CA4">
        <w:rPr>
          <w:rFonts w:ascii="Times New Roman" w:hAnsi="Times New Roman" w:cs="Times New Roman"/>
          <w:b/>
          <w:bCs/>
          <w:sz w:val="24"/>
        </w:rPr>
        <w:t>(D)</w:t>
      </w:r>
      <w:r w:rsidRPr="00743CA4">
        <w:rPr>
          <w:rFonts w:ascii="Times New Roman" w:hAnsi="Times New Roman" w:cs="Times New Roman"/>
          <w:sz w:val="24"/>
        </w:rPr>
        <w:t xml:space="preserve"> Schematic of the forced swim test. </w:t>
      </w:r>
      <w:r w:rsidRPr="00743CA4">
        <w:rPr>
          <w:rFonts w:ascii="Times New Roman" w:hAnsi="Times New Roman" w:cs="Times New Roman"/>
          <w:b/>
          <w:bCs/>
          <w:sz w:val="24"/>
        </w:rPr>
        <w:t>(E)</w:t>
      </w:r>
      <w:r w:rsidRPr="00743CA4">
        <w:rPr>
          <w:rFonts w:ascii="Times New Roman" w:hAnsi="Times New Roman" w:cs="Times New Roman"/>
          <w:sz w:val="24"/>
        </w:rPr>
        <w:t xml:space="preserve"> Immobility time in the forced swim test. Data are presented as mean ± SEM. n = </w:t>
      </w:r>
      <w:r w:rsidR="00880F00" w:rsidRPr="00743CA4">
        <w:rPr>
          <w:rFonts w:ascii="Times New Roman" w:hAnsi="Times New Roman" w:cs="Times New Roman"/>
          <w:sz w:val="24"/>
        </w:rPr>
        <w:t>12</w:t>
      </w:r>
      <w:r w:rsidRPr="00743CA4">
        <w:rPr>
          <w:rFonts w:ascii="Times New Roman" w:hAnsi="Times New Roman" w:cs="Times New Roman"/>
          <w:sz w:val="24"/>
        </w:rPr>
        <w:t xml:space="preserve"> </w:t>
      </w:r>
      <w:r w:rsidR="0063555B" w:rsidRPr="00743CA4">
        <w:rPr>
          <w:rFonts w:ascii="Times New Roman" w:hAnsi="Times New Roman" w:cs="Times New Roman"/>
          <w:sz w:val="24"/>
        </w:rPr>
        <w:t xml:space="preserve">mice </w:t>
      </w:r>
      <w:r w:rsidRPr="00743CA4">
        <w:rPr>
          <w:rFonts w:ascii="Times New Roman" w:hAnsi="Times New Roman" w:cs="Times New Roman"/>
          <w:sz w:val="24"/>
        </w:rPr>
        <w:t xml:space="preserve">per group. Statistical analysis was performed using Student’s t-test in (C) and (E). </w:t>
      </w:r>
      <w:r w:rsidR="008F7E1D" w:rsidRPr="00743CA4">
        <w:rPr>
          <w:rFonts w:ascii="Times New Roman" w:hAnsi="Times New Roman" w:cs="Times New Roman"/>
          <w:sz w:val="24"/>
        </w:rPr>
        <w:t>No significant differences were observed between groups; ns, not significant.</w:t>
      </w:r>
    </w:p>
    <w:p w14:paraId="15E31C35" w14:textId="6D8B426F" w:rsidR="00560C8C" w:rsidRPr="00743CA4" w:rsidRDefault="009E47B7" w:rsidP="009054E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2808D18" wp14:editId="248D6C2E">
            <wp:extent cx="5274310" cy="26917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B916B" w14:textId="065EB0CD" w:rsidR="006F2DD1" w:rsidRPr="00743CA4" w:rsidRDefault="00560C8C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6F2DD1" w:rsidRPr="00743CA4">
        <w:rPr>
          <w:rFonts w:ascii="Times New Roman" w:hAnsi="Times New Roman" w:cs="Times New Roman"/>
          <w:b/>
          <w:bCs/>
          <w:sz w:val="24"/>
        </w:rPr>
        <w:t>4</w:t>
      </w:r>
      <w:r w:rsidR="00545718" w:rsidRPr="00743CA4">
        <w:rPr>
          <w:rFonts w:ascii="Times New Roman" w:hAnsi="Times New Roman" w:cs="Times New Roman"/>
          <w:b/>
          <w:bCs/>
          <w:sz w:val="24"/>
        </w:rPr>
        <w:t xml:space="preserve"> </w:t>
      </w:r>
      <w:r w:rsidR="008F7E1D" w:rsidRPr="00743CA4">
        <w:rPr>
          <w:rFonts w:ascii="Times New Roman" w:hAnsi="Times New Roman" w:cs="Times New Roman"/>
          <w:b/>
          <w:bCs/>
          <w:sz w:val="24"/>
        </w:rPr>
        <w:t>IRAK-M knockout is associated with enhanced STAT1 activation and increased expression of M1-associated microglial markers</w:t>
      </w:r>
    </w:p>
    <w:p w14:paraId="222C5C14" w14:textId="4C563865" w:rsidR="00020F6F" w:rsidRPr="00743CA4" w:rsidRDefault="00020F6F" w:rsidP="00020F6F">
      <w:pPr>
        <w:spacing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>(A)</w:t>
      </w:r>
      <w:r w:rsidRPr="00743CA4">
        <w:rPr>
          <w:rFonts w:ascii="Times New Roman" w:hAnsi="Times New Roman" w:cs="Times New Roman"/>
          <w:sz w:val="24"/>
        </w:rPr>
        <w:t xml:space="preserve"> Representative immunoblots showing phosphorylated STAT1 (p-STAT1), total STAT1, SOCS1, and β-actin expression in the TNC of WT + saline, WT + NTG, IRAK-M-KO + saline, and IRAK-M-KO + NTG mice. 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(B–C) </w:t>
      </w:r>
      <w:r w:rsidRPr="00743CA4">
        <w:rPr>
          <w:rFonts w:ascii="Times New Roman" w:hAnsi="Times New Roman" w:cs="Times New Roman"/>
          <w:sz w:val="24"/>
        </w:rPr>
        <w:t>Quantification of the p-STAT1/STAT1 ratio and SOCS1 protein expression.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 (D–E) </w:t>
      </w:r>
      <w:r w:rsidRPr="00743CA4">
        <w:rPr>
          <w:rFonts w:ascii="Times New Roman" w:hAnsi="Times New Roman" w:cs="Times New Roman"/>
          <w:sz w:val="24"/>
        </w:rPr>
        <w:t xml:space="preserve">Relative mRNA levels of CD86 and </w:t>
      </w:r>
      <w:proofErr w:type="spellStart"/>
      <w:r w:rsidRPr="00743CA4">
        <w:rPr>
          <w:rFonts w:ascii="Times New Roman" w:hAnsi="Times New Roman" w:cs="Times New Roman"/>
          <w:sz w:val="24"/>
        </w:rPr>
        <w:t>iNOS</w:t>
      </w:r>
      <w:proofErr w:type="spellEnd"/>
      <w:r w:rsidRPr="00743CA4">
        <w:rPr>
          <w:rFonts w:ascii="Times New Roman" w:hAnsi="Times New Roman" w:cs="Times New Roman"/>
          <w:sz w:val="24"/>
        </w:rPr>
        <w:t xml:space="preserve"> in the indicated experimental groups. Data are presented as mean ± SEM. n = 6 per group. Statistical analysis was performed using one-way ANOVA followed by </w:t>
      </w:r>
      <w:r w:rsidRPr="00743CA4">
        <w:rPr>
          <w:rFonts w:ascii="Times New Roman" w:hAnsi="Times New Roman" w:cs="Times New Roman" w:hint="eastAsia"/>
          <w:sz w:val="24"/>
        </w:rPr>
        <w:t>Dunnett</w:t>
      </w:r>
      <w:proofErr w:type="gramStart"/>
      <w:r w:rsidRPr="00743CA4">
        <w:rPr>
          <w:rFonts w:ascii="Times New Roman" w:hAnsi="Times New Roman" w:cs="Times New Roman" w:hint="eastAsia"/>
          <w:sz w:val="24"/>
        </w:rPr>
        <w:t>’</w:t>
      </w:r>
      <w:proofErr w:type="gramEnd"/>
      <w:r w:rsidRPr="00743CA4">
        <w:rPr>
          <w:rFonts w:ascii="Times New Roman" w:hAnsi="Times New Roman" w:cs="Times New Roman" w:hint="eastAsia"/>
          <w:sz w:val="24"/>
        </w:rPr>
        <w:t>s multiple</w:t>
      </w:r>
      <w:r w:rsidR="008F7E1D" w:rsidRPr="00743CA4">
        <w:rPr>
          <w:rFonts w:ascii="Times New Roman" w:hAnsi="Times New Roman" w:cs="Times New Roman"/>
          <w:sz w:val="24"/>
        </w:rPr>
        <w:t>-</w:t>
      </w:r>
      <w:r w:rsidRPr="00743CA4">
        <w:rPr>
          <w:rFonts w:ascii="Times New Roman" w:hAnsi="Times New Roman" w:cs="Times New Roman" w:hint="eastAsia"/>
          <w:sz w:val="24"/>
        </w:rPr>
        <w:t>comparison</w:t>
      </w:r>
      <w:r w:rsidR="008F7E1D" w:rsidRPr="00743CA4">
        <w:rPr>
          <w:rFonts w:ascii="Times New Roman" w:hAnsi="Times New Roman" w:cs="Times New Roman"/>
          <w:sz w:val="24"/>
        </w:rPr>
        <w:t>s</w:t>
      </w:r>
      <w:r w:rsidRPr="00743CA4">
        <w:rPr>
          <w:rFonts w:ascii="Times New Roman" w:hAnsi="Times New Roman" w:cs="Times New Roman" w:hint="eastAsia"/>
          <w:sz w:val="24"/>
        </w:rPr>
        <w:t xml:space="preserve"> </w:t>
      </w:r>
      <w:r w:rsidRPr="00743CA4">
        <w:rPr>
          <w:rFonts w:ascii="Times New Roman" w:hAnsi="Times New Roman" w:cs="Times New Roman"/>
          <w:sz w:val="24"/>
        </w:rPr>
        <w:t>test in (B–E). *</w:t>
      </w:r>
      <w:r w:rsidRPr="00743CA4">
        <w:rPr>
          <w:rFonts w:ascii="Times New Roman" w:hAnsi="Times New Roman" w:cs="Times New Roman"/>
          <w:i/>
          <w:iCs/>
          <w:sz w:val="24"/>
        </w:rPr>
        <w:t>p</w:t>
      </w:r>
      <w:r w:rsidRPr="00743CA4">
        <w:rPr>
          <w:rFonts w:ascii="Times New Roman" w:hAnsi="Times New Roman" w:cs="Times New Roman"/>
          <w:sz w:val="24"/>
        </w:rPr>
        <w:t xml:space="preserve"> &lt; 0.05, **</w:t>
      </w:r>
      <w:r w:rsidRPr="00743CA4">
        <w:rPr>
          <w:rFonts w:ascii="Times New Roman" w:hAnsi="Times New Roman" w:cs="Times New Roman"/>
          <w:i/>
          <w:iCs/>
          <w:sz w:val="24"/>
        </w:rPr>
        <w:t>p</w:t>
      </w:r>
      <w:r w:rsidRPr="00743CA4">
        <w:rPr>
          <w:rFonts w:ascii="Times New Roman" w:hAnsi="Times New Roman" w:cs="Times New Roman"/>
          <w:sz w:val="24"/>
        </w:rPr>
        <w:t xml:space="preserve"> &lt; 0.01.</w:t>
      </w:r>
    </w:p>
    <w:p w14:paraId="65B24195" w14:textId="31FD82A5" w:rsidR="00B70F7A" w:rsidRPr="00743CA4" w:rsidRDefault="00E73A70" w:rsidP="009054E0">
      <w:pPr>
        <w:spacing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589BA72" wp14:editId="268A99A7">
            <wp:extent cx="5274310" cy="319722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27CBB" w14:textId="2796E5C1" w:rsidR="00560C8C" w:rsidRPr="00743CA4" w:rsidRDefault="00B70F7A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>Supplementary Fig. 5 Effects of AAV-mediated IRAK-M overexpression on basal nociceptive thresholds and inflammatory cytokine expression in WT mice</w:t>
      </w:r>
    </w:p>
    <w:p w14:paraId="015DE064" w14:textId="22A540DE" w:rsidR="00B70F7A" w:rsidRPr="00743CA4" w:rsidRDefault="00B70F7A" w:rsidP="009054E0">
      <w:pPr>
        <w:spacing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>(A–B)</w:t>
      </w:r>
      <w:r w:rsidRPr="00743CA4">
        <w:rPr>
          <w:rFonts w:ascii="Times New Roman" w:hAnsi="Times New Roman" w:cs="Times New Roman"/>
          <w:sz w:val="24"/>
        </w:rPr>
        <w:t xml:space="preserve"> Mechanical pain thresholds assessed by von Frey filament stimulation and thermal withdrawal latency assessed by heat stimulation across experimental days (n = 6</w:t>
      </w:r>
      <w:r w:rsidR="0063555B" w:rsidRPr="00743CA4">
        <w:rPr>
          <w:rFonts w:ascii="Times New Roman" w:hAnsi="Times New Roman" w:cs="Times New Roman"/>
          <w:sz w:val="24"/>
        </w:rPr>
        <w:t xml:space="preserve"> mice per group</w:t>
      </w:r>
      <w:r w:rsidRPr="00743CA4">
        <w:rPr>
          <w:rFonts w:ascii="Times New Roman" w:hAnsi="Times New Roman" w:cs="Times New Roman"/>
          <w:sz w:val="24"/>
        </w:rPr>
        <w:t xml:space="preserve">). </w:t>
      </w:r>
      <w:r w:rsidRPr="00743CA4">
        <w:rPr>
          <w:rFonts w:ascii="Times New Roman" w:hAnsi="Times New Roman" w:cs="Times New Roman"/>
          <w:b/>
          <w:bCs/>
          <w:sz w:val="24"/>
        </w:rPr>
        <w:t>(C–F)</w:t>
      </w:r>
      <w:r w:rsidRPr="00743CA4">
        <w:rPr>
          <w:rFonts w:ascii="Times New Roman" w:hAnsi="Times New Roman" w:cs="Times New Roman"/>
          <w:sz w:val="24"/>
        </w:rPr>
        <w:t xml:space="preserve"> Relative mRNA expression levels of IL-1β, IL-6, TNF-α, and IFN-γ in each group (n = 4</w:t>
      </w:r>
      <w:r w:rsidR="0063555B" w:rsidRPr="00743CA4">
        <w:rPr>
          <w:rFonts w:ascii="Times New Roman" w:hAnsi="Times New Roman" w:cs="Times New Roman"/>
          <w:sz w:val="24"/>
        </w:rPr>
        <w:t xml:space="preserve"> mice per group</w:t>
      </w:r>
      <w:r w:rsidRPr="00743CA4">
        <w:rPr>
          <w:rFonts w:ascii="Times New Roman" w:hAnsi="Times New Roman" w:cs="Times New Roman"/>
          <w:sz w:val="24"/>
        </w:rPr>
        <w:t xml:space="preserve">). Data are presented as mean ± SEM. </w:t>
      </w:r>
      <w:r w:rsidR="008F7E1D" w:rsidRPr="00743CA4">
        <w:rPr>
          <w:rFonts w:ascii="Times New Roman" w:hAnsi="Times New Roman" w:cs="Times New Roman"/>
          <w:sz w:val="24"/>
        </w:rPr>
        <w:t>Two-way repeated-measures ANOVA followed by Bonferroni-adjusted multiple comparisons was used for (A–B), and an unpaired two-tailed Student’s t test was used for (C–F). No significant differences were observed between groups; ns, not significant.</w:t>
      </w:r>
    </w:p>
    <w:p w14:paraId="750E15EA" w14:textId="3AB64CD6" w:rsidR="00560C8C" w:rsidRPr="00743CA4" w:rsidRDefault="009E47B7" w:rsidP="009054E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EAE9178" wp14:editId="41F9D2D5">
            <wp:extent cx="5274310" cy="254698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D5254" w14:textId="153A8334" w:rsidR="001E2020" w:rsidRPr="00743CA4" w:rsidRDefault="00545718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100C8D" w:rsidRPr="00743CA4">
        <w:rPr>
          <w:rFonts w:ascii="Times New Roman" w:hAnsi="Times New Roman" w:cs="Times New Roman"/>
          <w:b/>
          <w:bCs/>
          <w:sz w:val="24"/>
        </w:rPr>
        <w:t>6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 </w:t>
      </w:r>
      <w:r w:rsidR="008F7E1D" w:rsidRPr="00743CA4">
        <w:rPr>
          <w:rFonts w:ascii="Times New Roman" w:hAnsi="Times New Roman" w:cs="Times New Roman"/>
          <w:b/>
          <w:bCs/>
          <w:sz w:val="24"/>
        </w:rPr>
        <w:t>IRAK-M overexpression is associated with reduced STAT1 activation and lower expression of M1-associated microglial markers</w:t>
      </w:r>
    </w:p>
    <w:p w14:paraId="4E96AB14" w14:textId="53C54B29" w:rsidR="00441C85" w:rsidRPr="00743CA4" w:rsidRDefault="00467C5A" w:rsidP="00441C85">
      <w:pPr>
        <w:spacing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>(A)</w:t>
      </w:r>
      <w:r w:rsidRPr="00743CA4">
        <w:rPr>
          <w:rFonts w:ascii="Times New Roman" w:hAnsi="Times New Roman" w:cs="Times New Roman"/>
          <w:sz w:val="24"/>
        </w:rPr>
        <w:t xml:space="preserve"> </w:t>
      </w:r>
      <w:r w:rsidR="001B17D4" w:rsidRPr="00743CA4">
        <w:rPr>
          <w:rFonts w:ascii="Times New Roman" w:hAnsi="Times New Roman" w:cs="Times New Roman"/>
          <w:sz w:val="24"/>
        </w:rPr>
        <w:t>Representative immunoblots showing phosphorylated STAT1 (p-STAT1), total STAT1, SOCS1, and β-actin expression in the TNC of WT + saline, WT + NTG, AAV</w:t>
      </w:r>
      <w:r w:rsidR="001B17D4" w:rsidRPr="00743CA4">
        <w:rPr>
          <w:rFonts w:ascii="Times New Roman" w:hAnsi="Times New Roman" w:cs="Times New Roman"/>
          <w:sz w:val="24"/>
          <w:vertAlign w:val="superscript"/>
        </w:rPr>
        <w:t>-con</w:t>
      </w:r>
      <w:r w:rsidR="001B17D4" w:rsidRPr="00743CA4">
        <w:rPr>
          <w:rFonts w:ascii="Times New Roman" w:hAnsi="Times New Roman" w:cs="Times New Roman"/>
          <w:sz w:val="24"/>
        </w:rPr>
        <w:t xml:space="preserve"> + NTG, and AAV</w:t>
      </w:r>
      <w:r w:rsidR="001B17D4" w:rsidRPr="00743CA4">
        <w:rPr>
          <w:rFonts w:ascii="Times New Roman" w:hAnsi="Times New Roman" w:cs="Times New Roman"/>
          <w:sz w:val="24"/>
          <w:vertAlign w:val="superscript"/>
        </w:rPr>
        <w:t>-IRAK-M</w:t>
      </w:r>
      <w:r w:rsidR="001B17D4" w:rsidRPr="00743CA4">
        <w:rPr>
          <w:rFonts w:ascii="Times New Roman" w:hAnsi="Times New Roman" w:cs="Times New Roman"/>
          <w:sz w:val="24"/>
        </w:rPr>
        <w:t xml:space="preserve"> + NTG mice</w:t>
      </w:r>
      <w:r w:rsidRPr="00743CA4">
        <w:rPr>
          <w:rFonts w:ascii="Times New Roman" w:hAnsi="Times New Roman" w:cs="Times New Roman"/>
          <w:sz w:val="24"/>
        </w:rPr>
        <w:t xml:space="preserve">. 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(B–C) </w:t>
      </w:r>
      <w:r w:rsidR="001B17D4" w:rsidRPr="00743CA4">
        <w:rPr>
          <w:rFonts w:ascii="Times New Roman" w:hAnsi="Times New Roman" w:cs="Times New Roman"/>
          <w:sz w:val="24"/>
        </w:rPr>
        <w:t>Quantification of the p-STAT1/STAT1 ratio and SOCS1 protein expression</w:t>
      </w:r>
      <w:r w:rsidRPr="00743CA4">
        <w:rPr>
          <w:rFonts w:ascii="Times New Roman" w:hAnsi="Times New Roman" w:cs="Times New Roman"/>
          <w:sz w:val="24"/>
        </w:rPr>
        <w:t>.</w:t>
      </w:r>
      <w:r w:rsidRPr="00743CA4">
        <w:rPr>
          <w:rFonts w:ascii="Times New Roman" w:hAnsi="Times New Roman" w:cs="Times New Roman"/>
          <w:b/>
          <w:bCs/>
          <w:sz w:val="24"/>
        </w:rPr>
        <w:t xml:space="preserve"> (D–E) </w:t>
      </w:r>
      <w:r w:rsidR="001B17D4" w:rsidRPr="00743CA4">
        <w:rPr>
          <w:rFonts w:ascii="Times New Roman" w:hAnsi="Times New Roman" w:cs="Times New Roman"/>
          <w:sz w:val="24"/>
        </w:rPr>
        <w:t xml:space="preserve">Relative mRNA levels of CD86 and </w:t>
      </w:r>
      <w:proofErr w:type="spellStart"/>
      <w:r w:rsidR="001B17D4" w:rsidRPr="00743CA4">
        <w:rPr>
          <w:rFonts w:ascii="Times New Roman" w:hAnsi="Times New Roman" w:cs="Times New Roman"/>
          <w:sz w:val="24"/>
        </w:rPr>
        <w:t>iNOS</w:t>
      </w:r>
      <w:proofErr w:type="spellEnd"/>
      <w:r w:rsidR="001B17D4" w:rsidRPr="00743CA4">
        <w:rPr>
          <w:rFonts w:ascii="Times New Roman" w:hAnsi="Times New Roman" w:cs="Times New Roman"/>
          <w:sz w:val="24"/>
        </w:rPr>
        <w:t xml:space="preserve"> in the indicated experimental groups. </w:t>
      </w:r>
      <w:r w:rsidR="008F7E1D" w:rsidRPr="00743CA4">
        <w:rPr>
          <w:rFonts w:ascii="Times New Roman" w:hAnsi="Times New Roman" w:cs="Times New Roman"/>
          <w:sz w:val="24"/>
        </w:rPr>
        <w:t xml:space="preserve">n = 6 per group. </w:t>
      </w:r>
      <w:r w:rsidRPr="00743CA4">
        <w:rPr>
          <w:rFonts w:ascii="Times New Roman" w:hAnsi="Times New Roman" w:cs="Times New Roman"/>
          <w:sz w:val="24"/>
        </w:rPr>
        <w:t>Data are presented as mean ± SEM.</w:t>
      </w:r>
      <w:r w:rsidR="008F7E1D" w:rsidRPr="00743CA4">
        <w:t xml:space="preserve"> </w:t>
      </w:r>
      <w:r w:rsidR="008F7E1D" w:rsidRPr="00743CA4">
        <w:rPr>
          <w:rFonts w:ascii="Times New Roman" w:hAnsi="Times New Roman" w:cs="Times New Roman"/>
          <w:sz w:val="24"/>
        </w:rPr>
        <w:t xml:space="preserve">One-way ANOVA followed by Dunnett’s multiple-comparisons test was used for (B–E). </w:t>
      </w:r>
      <w:r w:rsidR="00441C85" w:rsidRPr="00743CA4">
        <w:rPr>
          <w:rFonts w:ascii="Times New Roman" w:hAnsi="Times New Roman" w:cs="Times New Roman"/>
          <w:sz w:val="24"/>
        </w:rPr>
        <w:t>*</w:t>
      </w:r>
      <w:r w:rsidR="00441C85" w:rsidRPr="00743CA4">
        <w:rPr>
          <w:rFonts w:ascii="Times New Roman" w:hAnsi="Times New Roman" w:cs="Times New Roman"/>
          <w:i/>
          <w:iCs/>
          <w:sz w:val="24"/>
        </w:rPr>
        <w:t>p</w:t>
      </w:r>
      <w:r w:rsidR="00441C85" w:rsidRPr="00743CA4">
        <w:rPr>
          <w:rFonts w:ascii="Times New Roman" w:hAnsi="Times New Roman" w:cs="Times New Roman"/>
          <w:sz w:val="24"/>
        </w:rPr>
        <w:t xml:space="preserve"> &lt; 0.05, **</w:t>
      </w:r>
      <w:r w:rsidR="00441C85" w:rsidRPr="00743CA4">
        <w:rPr>
          <w:rFonts w:ascii="Times New Roman" w:hAnsi="Times New Roman" w:cs="Times New Roman"/>
          <w:i/>
          <w:iCs/>
          <w:sz w:val="24"/>
        </w:rPr>
        <w:t>p</w:t>
      </w:r>
      <w:r w:rsidR="00441C85" w:rsidRPr="00743CA4">
        <w:rPr>
          <w:rFonts w:ascii="Times New Roman" w:hAnsi="Times New Roman" w:cs="Times New Roman"/>
          <w:sz w:val="24"/>
        </w:rPr>
        <w:t xml:space="preserve"> &lt; 0.01.</w:t>
      </w:r>
    </w:p>
    <w:p w14:paraId="2C65B528" w14:textId="77777777" w:rsidR="00100C8D" w:rsidRPr="00743CA4" w:rsidRDefault="00100C8D" w:rsidP="00EA52D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7191508F" w14:textId="77777777" w:rsidR="00EA52DA" w:rsidRPr="00743CA4" w:rsidRDefault="001254B6" w:rsidP="00EA52D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 xml:space="preserve">Supplementary Table: </w:t>
      </w:r>
    </w:p>
    <w:p w14:paraId="7E2C13CD" w14:textId="4ADC8DF3" w:rsidR="0046781F" w:rsidRPr="00743CA4" w:rsidRDefault="0046781F" w:rsidP="00EA52D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>Supplementary Table. 1</w:t>
      </w:r>
      <w:r w:rsidRPr="00743CA4">
        <w:rPr>
          <w:rFonts w:ascii="Times New Roman" w:hAnsi="Times New Roman" w:cs="Times New Roman"/>
          <w:sz w:val="24"/>
        </w:rPr>
        <w:t xml:space="preserve"> </w:t>
      </w:r>
      <w:r w:rsidR="008F7E1D" w:rsidRPr="00743CA4">
        <w:rPr>
          <w:rFonts w:ascii="Times New Roman" w:hAnsi="Times New Roman" w:cs="Times New Roman"/>
          <w:sz w:val="24"/>
        </w:rPr>
        <w:t>Primers used for RT-qPCR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3560"/>
      </w:tblGrid>
      <w:tr w:rsidR="00743CA4" w:rsidRPr="00743CA4" w14:paraId="467C574A" w14:textId="77777777" w:rsidTr="003D747F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0095DB" w14:textId="77777777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Gene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D81F276" w14:textId="77777777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Forward primer sequence (5′–3′)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3D3F751B" w14:textId="77777777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Reverse primer sequence (5′–3′)</w:t>
            </w:r>
          </w:p>
        </w:tc>
      </w:tr>
      <w:tr w:rsidR="00743CA4" w:rsidRPr="00743CA4" w14:paraId="22246F94" w14:textId="77777777" w:rsidTr="003D747F">
        <w:tc>
          <w:tcPr>
            <w:tcW w:w="1276" w:type="dxa"/>
            <w:tcBorders>
              <w:top w:val="single" w:sz="4" w:space="0" w:color="auto"/>
            </w:tcBorders>
          </w:tcPr>
          <w:p w14:paraId="2B2D7A7D" w14:textId="4C779EE0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IL-1β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AC0E7A1" w14:textId="4A7ABF04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GTGAAATGCCACCTTTTGACAGTGA</w:t>
            </w:r>
          </w:p>
        </w:tc>
        <w:tc>
          <w:tcPr>
            <w:tcW w:w="3560" w:type="dxa"/>
            <w:tcBorders>
              <w:top w:val="single" w:sz="4" w:space="0" w:color="auto"/>
            </w:tcBorders>
          </w:tcPr>
          <w:p w14:paraId="2582B347" w14:textId="349B45BC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GAAGGTCCACGGGAAAGACAC</w:t>
            </w:r>
          </w:p>
        </w:tc>
      </w:tr>
      <w:tr w:rsidR="00743CA4" w:rsidRPr="00743CA4" w14:paraId="00355E46" w14:textId="77777777" w:rsidTr="003D747F">
        <w:tc>
          <w:tcPr>
            <w:tcW w:w="1276" w:type="dxa"/>
          </w:tcPr>
          <w:p w14:paraId="6AD950DD" w14:textId="0D24EA20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lastRenderedPageBreak/>
              <w:t>IL-6</w:t>
            </w:r>
          </w:p>
        </w:tc>
        <w:tc>
          <w:tcPr>
            <w:tcW w:w="3686" w:type="dxa"/>
          </w:tcPr>
          <w:p w14:paraId="2E000ECB" w14:textId="3F11AD52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ACAACCACGGCCTTCCCTACTT</w:t>
            </w:r>
          </w:p>
        </w:tc>
        <w:tc>
          <w:tcPr>
            <w:tcW w:w="3560" w:type="dxa"/>
          </w:tcPr>
          <w:p w14:paraId="534459C9" w14:textId="7AE060EC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CACGATTTCCCAGAGAACATGTG</w:t>
            </w:r>
          </w:p>
        </w:tc>
      </w:tr>
      <w:tr w:rsidR="00743CA4" w:rsidRPr="00743CA4" w14:paraId="356BD052" w14:textId="77777777" w:rsidTr="003D747F">
        <w:tc>
          <w:tcPr>
            <w:tcW w:w="1276" w:type="dxa"/>
          </w:tcPr>
          <w:p w14:paraId="1A6E4646" w14:textId="604C58E9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TNF-α</w:t>
            </w:r>
          </w:p>
        </w:tc>
        <w:tc>
          <w:tcPr>
            <w:tcW w:w="3686" w:type="dxa"/>
          </w:tcPr>
          <w:p w14:paraId="138AB0AB" w14:textId="60E061DB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GCCTCCCTCTCATCAGTTCTATG</w:t>
            </w:r>
          </w:p>
        </w:tc>
        <w:tc>
          <w:tcPr>
            <w:tcW w:w="3560" w:type="dxa"/>
          </w:tcPr>
          <w:p w14:paraId="4AA84BAC" w14:textId="142D6864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ACCTGGGAGTAGACAAGGTACAA</w:t>
            </w:r>
          </w:p>
        </w:tc>
      </w:tr>
      <w:tr w:rsidR="00743CA4" w:rsidRPr="00743CA4" w14:paraId="31A2A2DF" w14:textId="77777777" w:rsidTr="003D747F">
        <w:tc>
          <w:tcPr>
            <w:tcW w:w="1276" w:type="dxa"/>
          </w:tcPr>
          <w:p w14:paraId="0423A6BF" w14:textId="5DFCA957" w:rsidR="0046781F" w:rsidRPr="00743CA4" w:rsidRDefault="003D747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IFN-γ</w:t>
            </w:r>
          </w:p>
        </w:tc>
        <w:tc>
          <w:tcPr>
            <w:tcW w:w="3686" w:type="dxa"/>
          </w:tcPr>
          <w:p w14:paraId="66C08F67" w14:textId="6FF7F6FD" w:rsidR="0046781F" w:rsidRPr="00743CA4" w:rsidRDefault="003D747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AGCAACAACATAAGCGTCATTGA</w:t>
            </w:r>
          </w:p>
        </w:tc>
        <w:tc>
          <w:tcPr>
            <w:tcW w:w="3560" w:type="dxa"/>
          </w:tcPr>
          <w:p w14:paraId="044A4E18" w14:textId="74360F6F" w:rsidR="0046781F" w:rsidRPr="00743CA4" w:rsidRDefault="003D747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TGACCTCAAACTTGGCAATACTC</w:t>
            </w:r>
          </w:p>
        </w:tc>
      </w:tr>
      <w:tr w:rsidR="00743CA4" w:rsidRPr="00743CA4" w14:paraId="604469D6" w14:textId="77777777" w:rsidTr="003D747F">
        <w:tc>
          <w:tcPr>
            <w:tcW w:w="1276" w:type="dxa"/>
          </w:tcPr>
          <w:p w14:paraId="474F08AC" w14:textId="2472D5F6" w:rsidR="0046781F" w:rsidRPr="00743CA4" w:rsidRDefault="003D747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IRAK-M</w:t>
            </w:r>
          </w:p>
        </w:tc>
        <w:tc>
          <w:tcPr>
            <w:tcW w:w="3686" w:type="dxa"/>
          </w:tcPr>
          <w:p w14:paraId="3E0C8926" w14:textId="35C0C1DF" w:rsidR="0046781F" w:rsidRPr="00743CA4" w:rsidRDefault="003D747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AGAGCAGCAGAGTTCTACCATAAA</w:t>
            </w:r>
          </w:p>
        </w:tc>
        <w:tc>
          <w:tcPr>
            <w:tcW w:w="3560" w:type="dxa"/>
          </w:tcPr>
          <w:p w14:paraId="01F64868" w14:textId="4C27BF8E" w:rsidR="0046781F" w:rsidRPr="00743CA4" w:rsidRDefault="003D747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AGAACCTCCATGATCACGATTCC</w:t>
            </w:r>
          </w:p>
        </w:tc>
      </w:tr>
      <w:tr w:rsidR="00743CA4" w:rsidRPr="00743CA4" w14:paraId="6944067B" w14:textId="77777777" w:rsidTr="003D747F">
        <w:tc>
          <w:tcPr>
            <w:tcW w:w="1276" w:type="dxa"/>
          </w:tcPr>
          <w:p w14:paraId="3B9D2F74" w14:textId="18A4D2DC" w:rsidR="0046781F" w:rsidRPr="00743CA4" w:rsidRDefault="009C1B56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CD86</w:t>
            </w:r>
          </w:p>
        </w:tc>
        <w:tc>
          <w:tcPr>
            <w:tcW w:w="3686" w:type="dxa"/>
          </w:tcPr>
          <w:p w14:paraId="18325786" w14:textId="1F971DF7" w:rsidR="0046781F" w:rsidRPr="00743CA4" w:rsidRDefault="004D6B59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CTGGACTCTACGACTTCACAATG</w:t>
            </w:r>
          </w:p>
        </w:tc>
        <w:tc>
          <w:tcPr>
            <w:tcW w:w="3560" w:type="dxa"/>
          </w:tcPr>
          <w:p w14:paraId="5E54761C" w14:textId="39805942" w:rsidR="0046781F" w:rsidRPr="00743CA4" w:rsidRDefault="004D6B59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AGTTGGCGATCACTGACAGTT</w:t>
            </w:r>
          </w:p>
        </w:tc>
      </w:tr>
      <w:tr w:rsidR="00743CA4" w:rsidRPr="00743CA4" w14:paraId="44902050" w14:textId="77777777" w:rsidTr="003D747F">
        <w:tc>
          <w:tcPr>
            <w:tcW w:w="1276" w:type="dxa"/>
          </w:tcPr>
          <w:p w14:paraId="71B9959D" w14:textId="0234E4EE" w:rsidR="0046781F" w:rsidRPr="00743CA4" w:rsidRDefault="009C1B56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24"/>
              </w:rPr>
              <w:t>iNOS</w:t>
            </w:r>
            <w:proofErr w:type="spellEnd"/>
          </w:p>
        </w:tc>
        <w:tc>
          <w:tcPr>
            <w:tcW w:w="3686" w:type="dxa"/>
          </w:tcPr>
          <w:p w14:paraId="77ADAEAE" w14:textId="66CC215C" w:rsidR="0046781F" w:rsidRPr="00743CA4" w:rsidRDefault="004D6B59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GTTCTCAGCCCAACAATACAAGA</w:t>
            </w:r>
          </w:p>
        </w:tc>
        <w:tc>
          <w:tcPr>
            <w:tcW w:w="3560" w:type="dxa"/>
          </w:tcPr>
          <w:p w14:paraId="5D1332C9" w14:textId="5310FE52" w:rsidR="0046781F" w:rsidRPr="00743CA4" w:rsidRDefault="004D6B59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GTGGACGGGTCGATGTCAC</w:t>
            </w:r>
          </w:p>
        </w:tc>
      </w:tr>
      <w:tr w:rsidR="0046781F" w:rsidRPr="00743CA4" w14:paraId="202AADC3" w14:textId="77777777" w:rsidTr="003D747F">
        <w:tc>
          <w:tcPr>
            <w:tcW w:w="1276" w:type="dxa"/>
            <w:tcBorders>
              <w:bottom w:val="single" w:sz="4" w:space="0" w:color="auto"/>
            </w:tcBorders>
          </w:tcPr>
          <w:p w14:paraId="683467FD" w14:textId="1556B29D" w:rsidR="0046781F" w:rsidRPr="00743CA4" w:rsidRDefault="009C1B56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GAPDH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D864753" w14:textId="77777777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GACCTCAACTACATGGTCTACA</w:t>
            </w:r>
          </w:p>
        </w:tc>
        <w:tc>
          <w:tcPr>
            <w:tcW w:w="3560" w:type="dxa"/>
            <w:tcBorders>
              <w:bottom w:val="single" w:sz="4" w:space="0" w:color="auto"/>
            </w:tcBorders>
          </w:tcPr>
          <w:p w14:paraId="636B2300" w14:textId="77777777" w:rsidR="0046781F" w:rsidRPr="00743CA4" w:rsidRDefault="0046781F" w:rsidP="009054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743CA4">
              <w:rPr>
                <w:rFonts w:ascii="Times New Roman" w:hAnsi="Times New Roman" w:cs="Times New Roman"/>
                <w:sz w:val="24"/>
              </w:rPr>
              <w:t>ACTCCACGACATACTCAGCAC</w:t>
            </w:r>
          </w:p>
        </w:tc>
      </w:tr>
    </w:tbl>
    <w:p w14:paraId="2058E7DC" w14:textId="77777777" w:rsidR="0046781F" w:rsidRPr="00743CA4" w:rsidRDefault="0046781F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DC3AA7B" w14:textId="062E5433" w:rsidR="0046781F" w:rsidRPr="00743CA4" w:rsidRDefault="00F85FB7" w:rsidP="00905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743CA4">
        <w:rPr>
          <w:rFonts w:ascii="Times New Roman" w:hAnsi="Times New Roman" w:cs="Times New Roman"/>
          <w:b/>
          <w:bCs/>
          <w:sz w:val="24"/>
        </w:rPr>
        <w:t>Supplementary Table. 2</w:t>
      </w:r>
      <w:r w:rsidR="0046781F" w:rsidRPr="00743CA4">
        <w:rPr>
          <w:rFonts w:ascii="Times New Roman" w:hAnsi="Times New Roman" w:cs="Times New Roman"/>
          <w:b/>
          <w:bCs/>
          <w:sz w:val="24"/>
        </w:rPr>
        <w:t xml:space="preserve"> </w:t>
      </w:r>
      <w:r w:rsidR="0046781F" w:rsidRPr="00743CA4">
        <w:rPr>
          <w:rFonts w:ascii="Times New Roman" w:hAnsi="Times New Roman" w:cs="Times New Roman"/>
          <w:sz w:val="24"/>
        </w:rPr>
        <w:t xml:space="preserve">Key </w:t>
      </w:r>
      <w:r w:rsidR="008F7E1D" w:rsidRPr="00743CA4">
        <w:rPr>
          <w:rFonts w:ascii="Times New Roman" w:hAnsi="Times New Roman" w:cs="Times New Roman"/>
          <w:sz w:val="24"/>
        </w:rPr>
        <w:t>re</w:t>
      </w:r>
      <w:r w:rsidR="0046781F" w:rsidRPr="00743CA4">
        <w:rPr>
          <w:rFonts w:ascii="Times New Roman" w:hAnsi="Times New Roman" w:cs="Times New Roman"/>
          <w:sz w:val="24"/>
        </w:rPr>
        <w:t>source</w:t>
      </w:r>
      <w:r w:rsidR="008F7E1D" w:rsidRPr="00743CA4">
        <w:rPr>
          <w:rFonts w:ascii="Times New Roman" w:hAnsi="Times New Roman" w:cs="Times New Roman"/>
          <w:sz w:val="24"/>
        </w:rPr>
        <w:t>s</w:t>
      </w:r>
    </w:p>
    <w:tbl>
      <w:tblPr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302"/>
        <w:gridCol w:w="1276"/>
        <w:gridCol w:w="1302"/>
      </w:tblGrid>
      <w:tr w:rsidR="00743CA4" w:rsidRPr="00743CA4" w14:paraId="2843245D" w14:textId="3357BF96" w:rsidTr="00224B87">
        <w:trPr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FF612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Resource type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FCBA9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Specific Reagent or Resource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4D1F0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 or Reference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698DE" w14:textId="4A87BFCC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Catalog number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DB71B" w14:textId="561F4F9E" w:rsidR="00C865FF" w:rsidRPr="00743CA4" w:rsidRDefault="00C865FF" w:rsidP="00707A2E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</w:t>
            </w:r>
            <w:r w:rsidRPr="00743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RID</w:t>
            </w:r>
          </w:p>
        </w:tc>
      </w:tr>
      <w:tr w:rsidR="00743CA4" w:rsidRPr="00743CA4" w14:paraId="69F2DA30" w14:textId="4E4669F0" w:rsidTr="00224B87">
        <w:trPr>
          <w:jc w:val="center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32D6C19A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Chemical Compound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73CE0529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Isoflurane</w:t>
            </w:r>
          </w:p>
        </w:tc>
        <w:tc>
          <w:tcPr>
            <w:tcW w:w="2302" w:type="dxa"/>
            <w:tcBorders>
              <w:top w:val="single" w:sz="4" w:space="0" w:color="auto"/>
            </w:tcBorders>
            <w:vAlign w:val="center"/>
          </w:tcPr>
          <w:p w14:paraId="41A8FC64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RWD Life Science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AE763F8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R510-22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7E5B01F0" w14:textId="79CC4279" w:rsidR="00C865FF" w:rsidRPr="00743CA4" w:rsidRDefault="00707A2E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61BE242E" w14:textId="046647A8" w:rsidTr="00224B87">
        <w:trPr>
          <w:jc w:val="center"/>
        </w:trPr>
        <w:tc>
          <w:tcPr>
            <w:tcW w:w="2093" w:type="dxa"/>
            <w:vAlign w:val="center"/>
          </w:tcPr>
          <w:p w14:paraId="282EB617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Chemical Compound</w:t>
            </w:r>
          </w:p>
        </w:tc>
        <w:tc>
          <w:tcPr>
            <w:tcW w:w="2551" w:type="dxa"/>
            <w:vAlign w:val="center"/>
          </w:tcPr>
          <w:p w14:paraId="230C549E" w14:textId="72B200F9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4% PFA</w:t>
            </w:r>
          </w:p>
        </w:tc>
        <w:tc>
          <w:tcPr>
            <w:tcW w:w="2302" w:type="dxa"/>
            <w:vAlign w:val="center"/>
          </w:tcPr>
          <w:p w14:paraId="2B16F715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Leagene</w:t>
            </w:r>
            <w:proofErr w:type="spellEnd"/>
          </w:p>
        </w:tc>
        <w:tc>
          <w:tcPr>
            <w:tcW w:w="1276" w:type="dxa"/>
            <w:vAlign w:val="center"/>
          </w:tcPr>
          <w:p w14:paraId="2B11B79F" w14:textId="2D6841FE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DF013</w:t>
            </w:r>
            <w:r w:rsidR="004C6BCB" w:rsidRPr="00743CA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2" w:type="dxa"/>
            <w:vAlign w:val="center"/>
          </w:tcPr>
          <w:p w14:paraId="62D7A80F" w14:textId="052BBBB2" w:rsidR="00C865FF" w:rsidRPr="00743CA4" w:rsidRDefault="00707A2E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03533819" w14:textId="065731DA" w:rsidTr="00224B87">
        <w:trPr>
          <w:jc w:val="center"/>
        </w:trPr>
        <w:tc>
          <w:tcPr>
            <w:tcW w:w="2093" w:type="dxa"/>
            <w:vAlign w:val="center"/>
          </w:tcPr>
          <w:p w14:paraId="567ED53F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Chemical Compound</w:t>
            </w:r>
          </w:p>
        </w:tc>
        <w:tc>
          <w:tcPr>
            <w:tcW w:w="2551" w:type="dxa"/>
            <w:vAlign w:val="center"/>
          </w:tcPr>
          <w:p w14:paraId="5AC7B83D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TRIzol</w:t>
            </w:r>
            <w:proofErr w:type="spellEnd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™ Reagent</w:t>
            </w:r>
          </w:p>
        </w:tc>
        <w:tc>
          <w:tcPr>
            <w:tcW w:w="2302" w:type="dxa"/>
            <w:vAlign w:val="center"/>
          </w:tcPr>
          <w:p w14:paraId="3AF3DAA5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Invitrogen</w:t>
            </w:r>
          </w:p>
        </w:tc>
        <w:tc>
          <w:tcPr>
            <w:tcW w:w="1276" w:type="dxa"/>
            <w:vAlign w:val="center"/>
          </w:tcPr>
          <w:p w14:paraId="3817C7A8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15596018CN</w:t>
            </w:r>
          </w:p>
        </w:tc>
        <w:tc>
          <w:tcPr>
            <w:tcW w:w="1302" w:type="dxa"/>
            <w:vAlign w:val="center"/>
          </w:tcPr>
          <w:p w14:paraId="5A2028F9" w14:textId="294CDFA0" w:rsidR="00C865FF" w:rsidRPr="00743CA4" w:rsidRDefault="00707A2E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5B379938" w14:textId="1ED0BBD0" w:rsidTr="00224B87">
        <w:trPr>
          <w:jc w:val="center"/>
        </w:trPr>
        <w:tc>
          <w:tcPr>
            <w:tcW w:w="2093" w:type="dxa"/>
            <w:vAlign w:val="center"/>
          </w:tcPr>
          <w:p w14:paraId="2A9BD62C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Chemical Compound</w:t>
            </w:r>
          </w:p>
        </w:tc>
        <w:tc>
          <w:tcPr>
            <w:tcW w:w="2551" w:type="dxa"/>
            <w:vAlign w:val="center"/>
          </w:tcPr>
          <w:p w14:paraId="37742D94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RIPA Lysis Buffer</w:t>
            </w:r>
          </w:p>
        </w:tc>
        <w:tc>
          <w:tcPr>
            <w:tcW w:w="2302" w:type="dxa"/>
            <w:vAlign w:val="center"/>
          </w:tcPr>
          <w:p w14:paraId="7F055E34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1276" w:type="dxa"/>
            <w:vAlign w:val="center"/>
          </w:tcPr>
          <w:p w14:paraId="0BFBF01F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P0013B</w:t>
            </w:r>
          </w:p>
        </w:tc>
        <w:tc>
          <w:tcPr>
            <w:tcW w:w="1302" w:type="dxa"/>
            <w:vAlign w:val="center"/>
          </w:tcPr>
          <w:p w14:paraId="48C1EEDB" w14:textId="7EFC1F62" w:rsidR="00C865FF" w:rsidRPr="00743CA4" w:rsidRDefault="00707A2E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2BD12128" w14:textId="52F52EA9" w:rsidTr="00224B87">
        <w:trPr>
          <w:jc w:val="center"/>
        </w:trPr>
        <w:tc>
          <w:tcPr>
            <w:tcW w:w="2093" w:type="dxa"/>
            <w:vAlign w:val="center"/>
          </w:tcPr>
          <w:p w14:paraId="7EFDEFE0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Chemical Compound</w:t>
            </w:r>
          </w:p>
        </w:tc>
        <w:tc>
          <w:tcPr>
            <w:tcW w:w="2551" w:type="dxa"/>
            <w:vAlign w:val="center"/>
          </w:tcPr>
          <w:p w14:paraId="6EE87236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Protease and phosphatase inhibitor, 50X</w:t>
            </w:r>
          </w:p>
        </w:tc>
        <w:tc>
          <w:tcPr>
            <w:tcW w:w="2302" w:type="dxa"/>
            <w:vAlign w:val="center"/>
          </w:tcPr>
          <w:p w14:paraId="66727BF9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1276" w:type="dxa"/>
            <w:vAlign w:val="center"/>
          </w:tcPr>
          <w:p w14:paraId="510AF11F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P1045</w:t>
            </w:r>
          </w:p>
        </w:tc>
        <w:tc>
          <w:tcPr>
            <w:tcW w:w="1302" w:type="dxa"/>
            <w:vAlign w:val="center"/>
          </w:tcPr>
          <w:p w14:paraId="230BE0D7" w14:textId="05FE11C3" w:rsidR="00C865FF" w:rsidRPr="00743CA4" w:rsidRDefault="00707A2E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3EB2B1C9" w14:textId="19BD4A9C" w:rsidTr="00224B87">
        <w:trPr>
          <w:jc w:val="center"/>
        </w:trPr>
        <w:tc>
          <w:tcPr>
            <w:tcW w:w="2093" w:type="dxa"/>
            <w:vAlign w:val="center"/>
          </w:tcPr>
          <w:p w14:paraId="10F1CEC8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Chemical Compound</w:t>
            </w:r>
          </w:p>
        </w:tc>
        <w:tc>
          <w:tcPr>
            <w:tcW w:w="2551" w:type="dxa"/>
            <w:vAlign w:val="center"/>
          </w:tcPr>
          <w:p w14:paraId="27967A91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Goat Serum</w:t>
            </w:r>
          </w:p>
        </w:tc>
        <w:tc>
          <w:tcPr>
            <w:tcW w:w="2302" w:type="dxa"/>
            <w:vAlign w:val="center"/>
          </w:tcPr>
          <w:p w14:paraId="52E8D116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1276" w:type="dxa"/>
            <w:vAlign w:val="center"/>
          </w:tcPr>
          <w:p w14:paraId="48AA0C9D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C0265</w:t>
            </w:r>
          </w:p>
        </w:tc>
        <w:tc>
          <w:tcPr>
            <w:tcW w:w="1302" w:type="dxa"/>
            <w:vAlign w:val="center"/>
          </w:tcPr>
          <w:p w14:paraId="0DE4067C" w14:textId="05CC3446" w:rsidR="00C865FF" w:rsidRPr="00743CA4" w:rsidRDefault="00707A2E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10AAA24E" w14:textId="7FD98548" w:rsidTr="00224B87">
        <w:trPr>
          <w:jc w:val="center"/>
        </w:trPr>
        <w:tc>
          <w:tcPr>
            <w:tcW w:w="2093" w:type="dxa"/>
            <w:vAlign w:val="center"/>
          </w:tcPr>
          <w:p w14:paraId="685B422F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Chemical Compound</w:t>
            </w:r>
          </w:p>
        </w:tc>
        <w:tc>
          <w:tcPr>
            <w:tcW w:w="2551" w:type="dxa"/>
            <w:vAlign w:val="center"/>
          </w:tcPr>
          <w:p w14:paraId="100700EF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Triton X-100</w:t>
            </w:r>
          </w:p>
        </w:tc>
        <w:tc>
          <w:tcPr>
            <w:tcW w:w="2302" w:type="dxa"/>
            <w:vAlign w:val="center"/>
          </w:tcPr>
          <w:p w14:paraId="77BB8DF6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1276" w:type="dxa"/>
            <w:vAlign w:val="center"/>
          </w:tcPr>
          <w:p w14:paraId="71421EF5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ST1723</w:t>
            </w:r>
          </w:p>
        </w:tc>
        <w:tc>
          <w:tcPr>
            <w:tcW w:w="1302" w:type="dxa"/>
            <w:vAlign w:val="center"/>
          </w:tcPr>
          <w:p w14:paraId="56DB0AE0" w14:textId="32DA8FD2" w:rsidR="00C865FF" w:rsidRPr="00743CA4" w:rsidRDefault="00707A2E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041FEA40" w14:textId="2C3D069F" w:rsidTr="00224B87">
        <w:trPr>
          <w:jc w:val="center"/>
        </w:trPr>
        <w:tc>
          <w:tcPr>
            <w:tcW w:w="2093" w:type="dxa"/>
            <w:vAlign w:val="center"/>
          </w:tcPr>
          <w:p w14:paraId="7D214334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Chemical Compound</w:t>
            </w:r>
          </w:p>
        </w:tc>
        <w:tc>
          <w:tcPr>
            <w:tcW w:w="2551" w:type="dxa"/>
            <w:vAlign w:val="center"/>
          </w:tcPr>
          <w:p w14:paraId="001C1CED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BCA Protein Assay Kit</w:t>
            </w:r>
          </w:p>
        </w:tc>
        <w:tc>
          <w:tcPr>
            <w:tcW w:w="2302" w:type="dxa"/>
            <w:vAlign w:val="center"/>
          </w:tcPr>
          <w:p w14:paraId="518E6D77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1276" w:type="dxa"/>
            <w:vAlign w:val="center"/>
          </w:tcPr>
          <w:p w14:paraId="600A3F01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P0012</w:t>
            </w:r>
          </w:p>
        </w:tc>
        <w:tc>
          <w:tcPr>
            <w:tcW w:w="1302" w:type="dxa"/>
            <w:vAlign w:val="center"/>
          </w:tcPr>
          <w:p w14:paraId="3C33D409" w14:textId="3DA6EE4E" w:rsidR="00C865FF" w:rsidRPr="00743CA4" w:rsidRDefault="00707A2E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50A00D5A" w14:textId="2B5A21AE" w:rsidTr="00224B87">
        <w:trPr>
          <w:jc w:val="center"/>
        </w:trPr>
        <w:tc>
          <w:tcPr>
            <w:tcW w:w="2093" w:type="dxa"/>
            <w:vAlign w:val="center"/>
          </w:tcPr>
          <w:p w14:paraId="576A4768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Chemical Compound</w:t>
            </w:r>
          </w:p>
        </w:tc>
        <w:tc>
          <w:tcPr>
            <w:tcW w:w="2551" w:type="dxa"/>
            <w:vAlign w:val="center"/>
          </w:tcPr>
          <w:p w14:paraId="2342366D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Albumin Bovine (BSA)</w:t>
            </w:r>
          </w:p>
        </w:tc>
        <w:tc>
          <w:tcPr>
            <w:tcW w:w="2302" w:type="dxa"/>
            <w:vAlign w:val="center"/>
          </w:tcPr>
          <w:p w14:paraId="3E2EBEAD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Biofroxx</w:t>
            </w:r>
            <w:proofErr w:type="spellEnd"/>
          </w:p>
        </w:tc>
        <w:tc>
          <w:tcPr>
            <w:tcW w:w="1276" w:type="dxa"/>
            <w:vAlign w:val="center"/>
          </w:tcPr>
          <w:p w14:paraId="2255CCD7" w14:textId="77777777" w:rsidR="00C865FF" w:rsidRPr="00743CA4" w:rsidRDefault="00C865FF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4240GR100</w:t>
            </w:r>
          </w:p>
        </w:tc>
        <w:tc>
          <w:tcPr>
            <w:tcW w:w="1302" w:type="dxa"/>
            <w:vAlign w:val="center"/>
          </w:tcPr>
          <w:p w14:paraId="3BCAE3D5" w14:textId="4810F589" w:rsidR="00C865FF" w:rsidRPr="00743CA4" w:rsidRDefault="00707A2E" w:rsidP="009054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4E973291" w14:textId="77777777" w:rsidTr="00224B87">
        <w:trPr>
          <w:jc w:val="center"/>
        </w:trPr>
        <w:tc>
          <w:tcPr>
            <w:tcW w:w="2093" w:type="dxa"/>
            <w:vAlign w:val="center"/>
          </w:tcPr>
          <w:p w14:paraId="413DB1D2" w14:textId="44B6AD39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Chemical Compound</w:t>
            </w:r>
          </w:p>
        </w:tc>
        <w:tc>
          <w:tcPr>
            <w:tcW w:w="2551" w:type="dxa"/>
            <w:vAlign w:val="center"/>
          </w:tcPr>
          <w:p w14:paraId="76DB9D1A" w14:textId="2F204B8F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 xml:space="preserve">Mounting Medium, antifading (with DAPI) </w:t>
            </w:r>
          </w:p>
        </w:tc>
        <w:tc>
          <w:tcPr>
            <w:tcW w:w="2302" w:type="dxa"/>
            <w:vAlign w:val="center"/>
          </w:tcPr>
          <w:p w14:paraId="6226EA26" w14:textId="04FF7D5A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Solarbio</w:t>
            </w:r>
            <w:proofErr w:type="spellEnd"/>
          </w:p>
        </w:tc>
        <w:tc>
          <w:tcPr>
            <w:tcW w:w="1276" w:type="dxa"/>
            <w:vAlign w:val="center"/>
          </w:tcPr>
          <w:p w14:paraId="09F1AFD1" w14:textId="58789559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S2110</w:t>
            </w:r>
          </w:p>
        </w:tc>
        <w:tc>
          <w:tcPr>
            <w:tcW w:w="1302" w:type="dxa"/>
            <w:vAlign w:val="center"/>
          </w:tcPr>
          <w:p w14:paraId="17F289A5" w14:textId="25066541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6ECCAF10" w14:textId="77777777" w:rsidTr="00224B87">
        <w:trPr>
          <w:jc w:val="center"/>
        </w:trPr>
        <w:tc>
          <w:tcPr>
            <w:tcW w:w="2093" w:type="dxa"/>
            <w:vAlign w:val="center"/>
          </w:tcPr>
          <w:p w14:paraId="02C69338" w14:textId="69EA3046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Commercial Assay or Kit</w:t>
            </w:r>
          </w:p>
        </w:tc>
        <w:tc>
          <w:tcPr>
            <w:tcW w:w="2551" w:type="dxa"/>
            <w:vAlign w:val="center"/>
          </w:tcPr>
          <w:p w14:paraId="170A6C3D" w14:textId="10DB9F7D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Color PAGE Gel Rapid Preparation Kit (10%)</w:t>
            </w:r>
          </w:p>
        </w:tc>
        <w:tc>
          <w:tcPr>
            <w:tcW w:w="2302" w:type="dxa"/>
            <w:vAlign w:val="center"/>
          </w:tcPr>
          <w:p w14:paraId="05E7300A" w14:textId="6E1304E3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EpiZyme</w:t>
            </w:r>
            <w:proofErr w:type="spellEnd"/>
          </w:p>
        </w:tc>
        <w:tc>
          <w:tcPr>
            <w:tcW w:w="1276" w:type="dxa"/>
            <w:vAlign w:val="center"/>
          </w:tcPr>
          <w:p w14:paraId="112AABE1" w14:textId="4D768468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PG112</w:t>
            </w:r>
          </w:p>
        </w:tc>
        <w:tc>
          <w:tcPr>
            <w:tcW w:w="1302" w:type="dxa"/>
            <w:vAlign w:val="center"/>
          </w:tcPr>
          <w:p w14:paraId="2D108BB7" w14:textId="6577BF37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23629B6D" w14:textId="7AF6F52C" w:rsidTr="00224B87">
        <w:trPr>
          <w:jc w:val="center"/>
        </w:trPr>
        <w:tc>
          <w:tcPr>
            <w:tcW w:w="2093" w:type="dxa"/>
            <w:vAlign w:val="center"/>
          </w:tcPr>
          <w:p w14:paraId="4343A1B1" w14:textId="77777777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Commercial Assay or Kit</w:t>
            </w:r>
          </w:p>
        </w:tc>
        <w:tc>
          <w:tcPr>
            <w:tcW w:w="2551" w:type="dxa"/>
            <w:vAlign w:val="center"/>
          </w:tcPr>
          <w:p w14:paraId="149ECAB6" w14:textId="1B987C40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SevenFast</w:t>
            </w:r>
            <w:proofErr w:type="spellEnd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 xml:space="preserve">® Two Step </w:t>
            </w: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RT&amp;qPCR</w:t>
            </w:r>
            <w:proofErr w:type="spellEnd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 xml:space="preserve"> Kit</w:t>
            </w:r>
          </w:p>
        </w:tc>
        <w:tc>
          <w:tcPr>
            <w:tcW w:w="2302" w:type="dxa"/>
            <w:vAlign w:val="center"/>
          </w:tcPr>
          <w:p w14:paraId="2AD35F91" w14:textId="413DC93D" w:rsidR="00B91F64" w:rsidRPr="00743CA4" w:rsidRDefault="00854762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Seven Biotech</w:t>
            </w:r>
          </w:p>
        </w:tc>
        <w:tc>
          <w:tcPr>
            <w:tcW w:w="1276" w:type="dxa"/>
            <w:vAlign w:val="center"/>
          </w:tcPr>
          <w:p w14:paraId="0A06010A" w14:textId="61A3D84C" w:rsidR="00B91F64" w:rsidRPr="00743CA4" w:rsidRDefault="00854762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QR-01</w:t>
            </w:r>
          </w:p>
        </w:tc>
        <w:tc>
          <w:tcPr>
            <w:tcW w:w="1302" w:type="dxa"/>
            <w:vAlign w:val="center"/>
          </w:tcPr>
          <w:p w14:paraId="6F288A6C" w14:textId="3583209E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1DDC1A47" w14:textId="0F0BB540" w:rsidTr="00224B87">
        <w:trPr>
          <w:jc w:val="center"/>
        </w:trPr>
        <w:tc>
          <w:tcPr>
            <w:tcW w:w="2093" w:type="dxa"/>
            <w:vAlign w:val="center"/>
          </w:tcPr>
          <w:p w14:paraId="6B999C31" w14:textId="77777777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Material</w:t>
            </w:r>
          </w:p>
        </w:tc>
        <w:tc>
          <w:tcPr>
            <w:tcW w:w="2551" w:type="dxa"/>
            <w:vAlign w:val="center"/>
          </w:tcPr>
          <w:p w14:paraId="7F09F34A" w14:textId="77777777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PVDF membrane</w:t>
            </w:r>
          </w:p>
        </w:tc>
        <w:tc>
          <w:tcPr>
            <w:tcW w:w="2302" w:type="dxa"/>
            <w:vAlign w:val="center"/>
          </w:tcPr>
          <w:p w14:paraId="3BC768E0" w14:textId="77777777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Millipore</w:t>
            </w:r>
          </w:p>
        </w:tc>
        <w:tc>
          <w:tcPr>
            <w:tcW w:w="1276" w:type="dxa"/>
            <w:vAlign w:val="center"/>
          </w:tcPr>
          <w:p w14:paraId="6C0F311D" w14:textId="00025669" w:rsidR="00B91F64" w:rsidRPr="00743CA4" w:rsidRDefault="00B23CFE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88518</w:t>
            </w:r>
          </w:p>
        </w:tc>
        <w:tc>
          <w:tcPr>
            <w:tcW w:w="1302" w:type="dxa"/>
            <w:vAlign w:val="center"/>
          </w:tcPr>
          <w:p w14:paraId="4F350907" w14:textId="1646BD58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245C066B" w14:textId="40A834E6" w:rsidTr="00224B87">
        <w:trPr>
          <w:jc w:val="center"/>
        </w:trPr>
        <w:tc>
          <w:tcPr>
            <w:tcW w:w="2093" w:type="dxa"/>
            <w:vAlign w:val="center"/>
          </w:tcPr>
          <w:p w14:paraId="74D1E3CD" w14:textId="68A74EA2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</w:p>
        </w:tc>
        <w:tc>
          <w:tcPr>
            <w:tcW w:w="2551" w:type="dxa"/>
            <w:vAlign w:val="center"/>
          </w:tcPr>
          <w:p w14:paraId="331D3393" w14:textId="4E6874C2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Goat anti-Rabbit IgG (H+L) Cross-Adsorbed Secondary Antibody, Alexa Fluor™ 594</w:t>
            </w:r>
          </w:p>
        </w:tc>
        <w:tc>
          <w:tcPr>
            <w:tcW w:w="2302" w:type="dxa"/>
            <w:vAlign w:val="center"/>
          </w:tcPr>
          <w:p w14:paraId="02504AE0" w14:textId="77777777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Invitrogen</w:t>
            </w:r>
          </w:p>
        </w:tc>
        <w:tc>
          <w:tcPr>
            <w:tcW w:w="1276" w:type="dxa"/>
            <w:vAlign w:val="center"/>
          </w:tcPr>
          <w:p w14:paraId="5D5516E4" w14:textId="77777777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A-11012</w:t>
            </w:r>
          </w:p>
        </w:tc>
        <w:tc>
          <w:tcPr>
            <w:tcW w:w="1302" w:type="dxa"/>
            <w:vAlign w:val="center"/>
          </w:tcPr>
          <w:p w14:paraId="10022FDA" w14:textId="03F366DC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AB_2534079</w:t>
            </w:r>
          </w:p>
        </w:tc>
      </w:tr>
      <w:tr w:rsidR="00743CA4" w:rsidRPr="00743CA4" w14:paraId="20B9728A" w14:textId="3EF27EEF" w:rsidTr="00224B87">
        <w:trPr>
          <w:jc w:val="center"/>
        </w:trPr>
        <w:tc>
          <w:tcPr>
            <w:tcW w:w="2093" w:type="dxa"/>
            <w:vAlign w:val="center"/>
          </w:tcPr>
          <w:p w14:paraId="30D6C853" w14:textId="40C4CDF4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</w:p>
        </w:tc>
        <w:tc>
          <w:tcPr>
            <w:tcW w:w="2551" w:type="dxa"/>
            <w:vAlign w:val="center"/>
          </w:tcPr>
          <w:p w14:paraId="3ACFF6CA" w14:textId="150D6965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Goat anti-Mouse IgG (H+L) Cross-Adsorbed Secondary Antibody, Alexa Fluor™ 488</w:t>
            </w:r>
          </w:p>
        </w:tc>
        <w:tc>
          <w:tcPr>
            <w:tcW w:w="2302" w:type="dxa"/>
            <w:vAlign w:val="center"/>
          </w:tcPr>
          <w:p w14:paraId="573B66AB" w14:textId="1D5F1B5F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Invitrogen</w:t>
            </w:r>
          </w:p>
        </w:tc>
        <w:tc>
          <w:tcPr>
            <w:tcW w:w="1276" w:type="dxa"/>
            <w:vAlign w:val="center"/>
          </w:tcPr>
          <w:p w14:paraId="1CDE8C4F" w14:textId="0D1093AC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A-11001</w:t>
            </w:r>
          </w:p>
        </w:tc>
        <w:tc>
          <w:tcPr>
            <w:tcW w:w="1302" w:type="dxa"/>
            <w:vAlign w:val="center"/>
          </w:tcPr>
          <w:p w14:paraId="77FC6E43" w14:textId="36F5A940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AB_2534069</w:t>
            </w:r>
          </w:p>
        </w:tc>
      </w:tr>
      <w:tr w:rsidR="00743CA4" w:rsidRPr="00743CA4" w14:paraId="0D339A81" w14:textId="2A1EFF92" w:rsidTr="00224B87">
        <w:trPr>
          <w:jc w:val="center"/>
        </w:trPr>
        <w:tc>
          <w:tcPr>
            <w:tcW w:w="2093" w:type="dxa"/>
            <w:vAlign w:val="center"/>
          </w:tcPr>
          <w:p w14:paraId="0E482B28" w14:textId="5E336081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</w:p>
        </w:tc>
        <w:tc>
          <w:tcPr>
            <w:tcW w:w="2551" w:type="dxa"/>
            <w:vAlign w:val="center"/>
          </w:tcPr>
          <w:p w14:paraId="01AC57FB" w14:textId="539837C0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Goat anti-Rat IgG (H+L) Cross-Adsorbed Secondary Antibody, Alexa Fluor™ 488</w:t>
            </w:r>
          </w:p>
        </w:tc>
        <w:tc>
          <w:tcPr>
            <w:tcW w:w="2302" w:type="dxa"/>
            <w:vAlign w:val="center"/>
          </w:tcPr>
          <w:p w14:paraId="4BB7DF5F" w14:textId="28410348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Invitrogen</w:t>
            </w:r>
          </w:p>
        </w:tc>
        <w:tc>
          <w:tcPr>
            <w:tcW w:w="1276" w:type="dxa"/>
            <w:vAlign w:val="center"/>
          </w:tcPr>
          <w:p w14:paraId="68011947" w14:textId="766E97F8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A-11006</w:t>
            </w:r>
          </w:p>
        </w:tc>
        <w:tc>
          <w:tcPr>
            <w:tcW w:w="1302" w:type="dxa"/>
            <w:vAlign w:val="center"/>
          </w:tcPr>
          <w:p w14:paraId="023F4801" w14:textId="5870A38C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AB_2534074</w:t>
            </w:r>
          </w:p>
        </w:tc>
      </w:tr>
      <w:tr w:rsidR="00743CA4" w:rsidRPr="00743CA4" w14:paraId="3278E944" w14:textId="50B9F82C" w:rsidTr="00224B87">
        <w:trPr>
          <w:jc w:val="center"/>
        </w:trPr>
        <w:tc>
          <w:tcPr>
            <w:tcW w:w="2093" w:type="dxa"/>
            <w:vAlign w:val="center"/>
          </w:tcPr>
          <w:p w14:paraId="6B43844C" w14:textId="41C8D6B7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Secondary Antibody</w:t>
            </w:r>
          </w:p>
        </w:tc>
        <w:tc>
          <w:tcPr>
            <w:tcW w:w="2551" w:type="dxa"/>
            <w:vAlign w:val="center"/>
          </w:tcPr>
          <w:p w14:paraId="183752F2" w14:textId="765531B7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Goat Anti-Rabbit IgG (H+L) HRP</w:t>
            </w:r>
          </w:p>
        </w:tc>
        <w:tc>
          <w:tcPr>
            <w:tcW w:w="2302" w:type="dxa"/>
            <w:vAlign w:val="center"/>
          </w:tcPr>
          <w:p w14:paraId="1D75C0CB" w14:textId="28960975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Affinity Biosciences</w:t>
            </w:r>
          </w:p>
        </w:tc>
        <w:tc>
          <w:tcPr>
            <w:tcW w:w="1276" w:type="dxa"/>
            <w:vAlign w:val="center"/>
          </w:tcPr>
          <w:p w14:paraId="4971EC09" w14:textId="39B40A8F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S0001</w:t>
            </w:r>
          </w:p>
        </w:tc>
        <w:tc>
          <w:tcPr>
            <w:tcW w:w="1302" w:type="dxa"/>
            <w:vAlign w:val="center"/>
          </w:tcPr>
          <w:p w14:paraId="09729777" w14:textId="1FF57354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AB_2839429</w:t>
            </w:r>
          </w:p>
        </w:tc>
      </w:tr>
      <w:tr w:rsidR="00743CA4" w:rsidRPr="00743CA4" w14:paraId="78C97F39" w14:textId="0C2974CB" w:rsidTr="00224B87">
        <w:trPr>
          <w:jc w:val="center"/>
        </w:trPr>
        <w:tc>
          <w:tcPr>
            <w:tcW w:w="2093" w:type="dxa"/>
            <w:vAlign w:val="center"/>
          </w:tcPr>
          <w:p w14:paraId="6399A0EE" w14:textId="3F099B9F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</w:p>
        </w:tc>
        <w:tc>
          <w:tcPr>
            <w:tcW w:w="2551" w:type="dxa"/>
            <w:vAlign w:val="center"/>
          </w:tcPr>
          <w:p w14:paraId="17BFB264" w14:textId="20577560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Goat Anti-Mouse IgG (H+L) HRP</w:t>
            </w:r>
          </w:p>
        </w:tc>
        <w:tc>
          <w:tcPr>
            <w:tcW w:w="2302" w:type="dxa"/>
            <w:vAlign w:val="center"/>
          </w:tcPr>
          <w:p w14:paraId="302B5755" w14:textId="58C0AF4E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Affinity Biosciences</w:t>
            </w:r>
          </w:p>
        </w:tc>
        <w:tc>
          <w:tcPr>
            <w:tcW w:w="1276" w:type="dxa"/>
            <w:vAlign w:val="center"/>
          </w:tcPr>
          <w:p w14:paraId="09C229C7" w14:textId="36B3CCA2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S0002</w:t>
            </w:r>
          </w:p>
        </w:tc>
        <w:tc>
          <w:tcPr>
            <w:tcW w:w="1302" w:type="dxa"/>
            <w:vAlign w:val="center"/>
          </w:tcPr>
          <w:p w14:paraId="2D724AF1" w14:textId="2F642382" w:rsidR="00B91F64" w:rsidRPr="00743CA4" w:rsidRDefault="00B91F64" w:rsidP="00B91F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AB_2839430</w:t>
            </w:r>
          </w:p>
        </w:tc>
      </w:tr>
      <w:tr w:rsidR="00743CA4" w:rsidRPr="00743CA4" w14:paraId="337BCBA2" w14:textId="14B1C610" w:rsidTr="00224B87">
        <w:trPr>
          <w:jc w:val="center"/>
        </w:trPr>
        <w:tc>
          <w:tcPr>
            <w:tcW w:w="2093" w:type="dxa"/>
            <w:vAlign w:val="center"/>
          </w:tcPr>
          <w:p w14:paraId="36F570A6" w14:textId="689D34B2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00EF61E8" w14:textId="77777777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anti-c-</w:t>
            </w: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Fos</w:t>
            </w:r>
            <w:proofErr w:type="spellEnd"/>
          </w:p>
        </w:tc>
        <w:tc>
          <w:tcPr>
            <w:tcW w:w="2302" w:type="dxa"/>
            <w:vAlign w:val="center"/>
          </w:tcPr>
          <w:p w14:paraId="7A8BAD56" w14:textId="77777777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Novus Biologicals</w:t>
            </w:r>
          </w:p>
        </w:tc>
        <w:tc>
          <w:tcPr>
            <w:tcW w:w="1276" w:type="dxa"/>
            <w:vAlign w:val="center"/>
          </w:tcPr>
          <w:p w14:paraId="5B85B4F4" w14:textId="77777777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NBP2-50057</w:t>
            </w:r>
          </w:p>
        </w:tc>
        <w:tc>
          <w:tcPr>
            <w:tcW w:w="1302" w:type="dxa"/>
            <w:vAlign w:val="center"/>
          </w:tcPr>
          <w:p w14:paraId="0308045F" w14:textId="1F9FCDD5" w:rsidR="0063555B" w:rsidRPr="00743CA4" w:rsidRDefault="00C4161E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AB_2665388</w:t>
            </w:r>
          </w:p>
        </w:tc>
      </w:tr>
      <w:tr w:rsidR="00743CA4" w:rsidRPr="00743CA4" w14:paraId="4608826E" w14:textId="659C5899" w:rsidTr="00224B87">
        <w:trPr>
          <w:jc w:val="center"/>
        </w:trPr>
        <w:tc>
          <w:tcPr>
            <w:tcW w:w="2093" w:type="dxa"/>
            <w:vAlign w:val="center"/>
          </w:tcPr>
          <w:p w14:paraId="2F3FDB45" w14:textId="102E7371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3FCBC29A" w14:textId="72B6C03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Mouse anti-CGRP</w:t>
            </w:r>
          </w:p>
        </w:tc>
        <w:tc>
          <w:tcPr>
            <w:tcW w:w="2302" w:type="dxa"/>
            <w:vAlign w:val="center"/>
          </w:tcPr>
          <w:p w14:paraId="06F5744D" w14:textId="63C84A67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Santa Cruz Biotechnology</w:t>
            </w:r>
          </w:p>
        </w:tc>
        <w:tc>
          <w:tcPr>
            <w:tcW w:w="1276" w:type="dxa"/>
            <w:vAlign w:val="center"/>
          </w:tcPr>
          <w:p w14:paraId="117B6619" w14:textId="04C9B815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sc-57053</w:t>
            </w:r>
          </w:p>
        </w:tc>
        <w:tc>
          <w:tcPr>
            <w:tcW w:w="1302" w:type="dxa"/>
            <w:vAlign w:val="center"/>
          </w:tcPr>
          <w:p w14:paraId="39FFC63E" w14:textId="0D31369D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AB_2259462</w:t>
            </w:r>
          </w:p>
        </w:tc>
      </w:tr>
      <w:tr w:rsidR="00743CA4" w:rsidRPr="00743CA4" w14:paraId="0AA4E734" w14:textId="24650F24" w:rsidTr="00224B87">
        <w:trPr>
          <w:jc w:val="center"/>
        </w:trPr>
        <w:tc>
          <w:tcPr>
            <w:tcW w:w="2093" w:type="dxa"/>
            <w:vAlign w:val="center"/>
          </w:tcPr>
          <w:p w14:paraId="51F3F36C" w14:textId="28A87AE3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16CE4B5B" w14:textId="2A86469A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Rat anti-IBA1</w:t>
            </w:r>
          </w:p>
        </w:tc>
        <w:tc>
          <w:tcPr>
            <w:tcW w:w="2302" w:type="dxa"/>
            <w:vAlign w:val="center"/>
          </w:tcPr>
          <w:p w14:paraId="032DA2BA" w14:textId="54A05EA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Synaptic Systems</w:t>
            </w:r>
          </w:p>
        </w:tc>
        <w:tc>
          <w:tcPr>
            <w:tcW w:w="1276" w:type="dxa"/>
            <w:vAlign w:val="center"/>
          </w:tcPr>
          <w:p w14:paraId="08C863AF" w14:textId="1C5FFC7D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234017</w:t>
            </w:r>
          </w:p>
        </w:tc>
        <w:tc>
          <w:tcPr>
            <w:tcW w:w="1302" w:type="dxa"/>
            <w:vAlign w:val="center"/>
          </w:tcPr>
          <w:p w14:paraId="5402B104" w14:textId="0B926B51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AB_2891289</w:t>
            </w:r>
          </w:p>
        </w:tc>
      </w:tr>
      <w:tr w:rsidR="00743CA4" w:rsidRPr="00743CA4" w14:paraId="0CA18548" w14:textId="064DD799" w:rsidTr="00224B87">
        <w:trPr>
          <w:jc w:val="center"/>
        </w:trPr>
        <w:tc>
          <w:tcPr>
            <w:tcW w:w="2093" w:type="dxa"/>
            <w:vAlign w:val="center"/>
          </w:tcPr>
          <w:p w14:paraId="0C39DD79" w14:textId="40E65A9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22F21C0A" w14:textId="48F9FE0A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Mouse anti-TLR4</w:t>
            </w:r>
          </w:p>
        </w:tc>
        <w:tc>
          <w:tcPr>
            <w:tcW w:w="2302" w:type="dxa"/>
            <w:vAlign w:val="center"/>
          </w:tcPr>
          <w:p w14:paraId="3D2A5E23" w14:textId="7B8A8D61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276" w:type="dxa"/>
            <w:vAlign w:val="center"/>
          </w:tcPr>
          <w:p w14:paraId="1D6A2887" w14:textId="1E31CC51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66350-1-Ig</w:t>
            </w:r>
          </w:p>
        </w:tc>
        <w:tc>
          <w:tcPr>
            <w:tcW w:w="1302" w:type="dxa"/>
            <w:vAlign w:val="center"/>
          </w:tcPr>
          <w:p w14:paraId="7354C6B2" w14:textId="54868920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AB_2881730</w:t>
            </w:r>
          </w:p>
        </w:tc>
      </w:tr>
      <w:tr w:rsidR="00743CA4" w:rsidRPr="00743CA4" w14:paraId="2BF7D6B4" w14:textId="16578AC2" w:rsidTr="00224B87">
        <w:trPr>
          <w:jc w:val="center"/>
        </w:trPr>
        <w:tc>
          <w:tcPr>
            <w:tcW w:w="2093" w:type="dxa"/>
            <w:vAlign w:val="center"/>
          </w:tcPr>
          <w:p w14:paraId="2B82E483" w14:textId="0D15BD75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578548C2" w14:textId="06CFFDE4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anti-IRAK1</w:t>
            </w:r>
          </w:p>
        </w:tc>
        <w:tc>
          <w:tcPr>
            <w:tcW w:w="2302" w:type="dxa"/>
            <w:vAlign w:val="center"/>
          </w:tcPr>
          <w:p w14:paraId="2F452C25" w14:textId="44DDDF5C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276" w:type="dxa"/>
            <w:vAlign w:val="center"/>
          </w:tcPr>
          <w:p w14:paraId="0BBB4FFA" w14:textId="2558BC37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4504</w:t>
            </w:r>
          </w:p>
        </w:tc>
        <w:tc>
          <w:tcPr>
            <w:tcW w:w="1302" w:type="dxa"/>
            <w:vAlign w:val="center"/>
          </w:tcPr>
          <w:p w14:paraId="37730420" w14:textId="7A441E10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AB_1904032</w:t>
            </w:r>
          </w:p>
        </w:tc>
      </w:tr>
      <w:tr w:rsidR="00743CA4" w:rsidRPr="00743CA4" w14:paraId="59692454" w14:textId="52721CAF" w:rsidTr="00224B87">
        <w:trPr>
          <w:jc w:val="center"/>
        </w:trPr>
        <w:tc>
          <w:tcPr>
            <w:tcW w:w="2093" w:type="dxa"/>
            <w:vAlign w:val="center"/>
          </w:tcPr>
          <w:p w14:paraId="01F4E980" w14:textId="4A2AE498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2BAE8029" w14:textId="7DB24F03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anti-TRAF6</w:t>
            </w:r>
          </w:p>
        </w:tc>
        <w:tc>
          <w:tcPr>
            <w:tcW w:w="2302" w:type="dxa"/>
            <w:vAlign w:val="center"/>
          </w:tcPr>
          <w:p w14:paraId="60776243" w14:textId="1E12734C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276" w:type="dxa"/>
            <w:vAlign w:val="center"/>
          </w:tcPr>
          <w:p w14:paraId="5F018C1D" w14:textId="3941ED5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67591</w:t>
            </w:r>
          </w:p>
        </w:tc>
        <w:tc>
          <w:tcPr>
            <w:tcW w:w="1302" w:type="dxa"/>
            <w:vAlign w:val="center"/>
          </w:tcPr>
          <w:p w14:paraId="7EC35656" w14:textId="7E6186EA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AB_2904212</w:t>
            </w:r>
          </w:p>
        </w:tc>
      </w:tr>
      <w:tr w:rsidR="00743CA4" w:rsidRPr="00743CA4" w14:paraId="4C775777" w14:textId="26D42F9C" w:rsidTr="00224B87">
        <w:trPr>
          <w:jc w:val="center"/>
        </w:trPr>
        <w:tc>
          <w:tcPr>
            <w:tcW w:w="2093" w:type="dxa"/>
            <w:vAlign w:val="center"/>
          </w:tcPr>
          <w:p w14:paraId="31A384A8" w14:textId="420D1BF3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6924E836" w14:textId="023F64A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anti-IRAK-M</w:t>
            </w:r>
          </w:p>
        </w:tc>
        <w:tc>
          <w:tcPr>
            <w:tcW w:w="2302" w:type="dxa"/>
            <w:vAlign w:val="center"/>
          </w:tcPr>
          <w:p w14:paraId="47ED4EE3" w14:textId="6C3FC5E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</w:p>
        </w:tc>
        <w:tc>
          <w:tcPr>
            <w:tcW w:w="1276" w:type="dxa"/>
            <w:vAlign w:val="center"/>
          </w:tcPr>
          <w:p w14:paraId="75F82A30" w14:textId="7BB86D8D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ab307708</w:t>
            </w:r>
          </w:p>
        </w:tc>
        <w:tc>
          <w:tcPr>
            <w:tcW w:w="1302" w:type="dxa"/>
            <w:vAlign w:val="center"/>
          </w:tcPr>
          <w:p w14:paraId="35332BA5" w14:textId="2F05637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ot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 xml:space="preserve"> found</w:t>
            </w:r>
          </w:p>
        </w:tc>
      </w:tr>
      <w:tr w:rsidR="00743CA4" w:rsidRPr="00743CA4" w14:paraId="4EC50661" w14:textId="071E26B9" w:rsidTr="00224B87">
        <w:trPr>
          <w:jc w:val="center"/>
        </w:trPr>
        <w:tc>
          <w:tcPr>
            <w:tcW w:w="2093" w:type="dxa"/>
            <w:vAlign w:val="center"/>
          </w:tcPr>
          <w:p w14:paraId="19635CF4" w14:textId="7B286D7B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13F1C5A0" w14:textId="65741581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anti-p-NF-</w:t>
            </w: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κB</w:t>
            </w:r>
            <w:proofErr w:type="spellEnd"/>
          </w:p>
        </w:tc>
        <w:tc>
          <w:tcPr>
            <w:tcW w:w="2302" w:type="dxa"/>
            <w:vAlign w:val="center"/>
          </w:tcPr>
          <w:p w14:paraId="3D373B74" w14:textId="036D95A4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276" w:type="dxa"/>
            <w:vAlign w:val="center"/>
          </w:tcPr>
          <w:p w14:paraId="0AF0B10D" w14:textId="646AA56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3033</w:t>
            </w:r>
          </w:p>
        </w:tc>
        <w:tc>
          <w:tcPr>
            <w:tcW w:w="1302" w:type="dxa"/>
            <w:vAlign w:val="center"/>
          </w:tcPr>
          <w:p w14:paraId="2AC02927" w14:textId="60B973D2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AB_331284</w:t>
            </w:r>
          </w:p>
        </w:tc>
      </w:tr>
      <w:tr w:rsidR="00743CA4" w:rsidRPr="00743CA4" w14:paraId="007DE12A" w14:textId="28F77B83" w:rsidTr="00224B87">
        <w:trPr>
          <w:jc w:val="center"/>
        </w:trPr>
        <w:tc>
          <w:tcPr>
            <w:tcW w:w="2093" w:type="dxa"/>
            <w:vAlign w:val="center"/>
          </w:tcPr>
          <w:p w14:paraId="77929C17" w14:textId="7BE57B13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4E7B0AED" w14:textId="636AA225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anti-NF-</w:t>
            </w: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κB</w:t>
            </w:r>
            <w:proofErr w:type="spellEnd"/>
          </w:p>
        </w:tc>
        <w:tc>
          <w:tcPr>
            <w:tcW w:w="2302" w:type="dxa"/>
            <w:vAlign w:val="center"/>
          </w:tcPr>
          <w:p w14:paraId="615F0794" w14:textId="2C6D9804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276" w:type="dxa"/>
            <w:vAlign w:val="center"/>
          </w:tcPr>
          <w:p w14:paraId="15B29EAC" w14:textId="709ABA5C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8242</w:t>
            </w:r>
          </w:p>
        </w:tc>
        <w:tc>
          <w:tcPr>
            <w:tcW w:w="1302" w:type="dxa"/>
            <w:vAlign w:val="center"/>
          </w:tcPr>
          <w:p w14:paraId="394A08DD" w14:textId="451FB46C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AB_10859369</w:t>
            </w:r>
          </w:p>
        </w:tc>
      </w:tr>
      <w:tr w:rsidR="00743CA4" w:rsidRPr="00743CA4" w14:paraId="08C5D1FA" w14:textId="6842C992" w:rsidTr="00224B87">
        <w:trPr>
          <w:jc w:val="center"/>
        </w:trPr>
        <w:tc>
          <w:tcPr>
            <w:tcW w:w="2093" w:type="dxa"/>
            <w:vAlign w:val="center"/>
          </w:tcPr>
          <w:p w14:paraId="7B74AFAA" w14:textId="40087C85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468401CC" w14:textId="2A5D16EC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anti-NLRP3</w:t>
            </w:r>
          </w:p>
        </w:tc>
        <w:tc>
          <w:tcPr>
            <w:tcW w:w="2302" w:type="dxa"/>
            <w:vAlign w:val="center"/>
          </w:tcPr>
          <w:p w14:paraId="5145BE75" w14:textId="715792C9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</w:p>
        </w:tc>
        <w:tc>
          <w:tcPr>
            <w:tcW w:w="1276" w:type="dxa"/>
            <w:vAlign w:val="center"/>
          </w:tcPr>
          <w:p w14:paraId="7BA8760D" w14:textId="7040CAF5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ab270449</w:t>
            </w:r>
          </w:p>
        </w:tc>
        <w:tc>
          <w:tcPr>
            <w:tcW w:w="1302" w:type="dxa"/>
            <w:vAlign w:val="center"/>
          </w:tcPr>
          <w:p w14:paraId="653BC439" w14:textId="5119E09F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AB_2936382</w:t>
            </w:r>
          </w:p>
        </w:tc>
      </w:tr>
      <w:tr w:rsidR="00743CA4" w:rsidRPr="00743CA4" w14:paraId="6C3AEC9F" w14:textId="40E3A4E9" w:rsidTr="00224B87">
        <w:trPr>
          <w:jc w:val="center"/>
        </w:trPr>
        <w:tc>
          <w:tcPr>
            <w:tcW w:w="2093" w:type="dxa"/>
            <w:vAlign w:val="center"/>
          </w:tcPr>
          <w:p w14:paraId="28152409" w14:textId="63FA5C04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4E143A4C" w14:textId="3ACBAB4A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anti-ASC</w:t>
            </w:r>
          </w:p>
        </w:tc>
        <w:tc>
          <w:tcPr>
            <w:tcW w:w="2302" w:type="dxa"/>
            <w:vAlign w:val="center"/>
          </w:tcPr>
          <w:p w14:paraId="790D44F5" w14:textId="3A7FF76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</w:p>
        </w:tc>
        <w:tc>
          <w:tcPr>
            <w:tcW w:w="1276" w:type="dxa"/>
            <w:vAlign w:val="center"/>
          </w:tcPr>
          <w:p w14:paraId="0D1B528F" w14:textId="7C964DF0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ab283684</w:t>
            </w:r>
          </w:p>
        </w:tc>
        <w:tc>
          <w:tcPr>
            <w:tcW w:w="1302" w:type="dxa"/>
            <w:vAlign w:val="center"/>
          </w:tcPr>
          <w:p w14:paraId="783A4F30" w14:textId="2A2CC4F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AB_3073880</w:t>
            </w:r>
          </w:p>
        </w:tc>
      </w:tr>
      <w:tr w:rsidR="00743CA4" w:rsidRPr="00743CA4" w14:paraId="12E48391" w14:textId="6FFCEEC1" w:rsidTr="00224B87">
        <w:trPr>
          <w:jc w:val="center"/>
        </w:trPr>
        <w:tc>
          <w:tcPr>
            <w:tcW w:w="2093" w:type="dxa"/>
            <w:vAlign w:val="center"/>
          </w:tcPr>
          <w:p w14:paraId="2B948434" w14:textId="6CB8364C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7BA07CDA" w14:textId="5BBAB462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anti-GSDMD</w:t>
            </w:r>
          </w:p>
        </w:tc>
        <w:tc>
          <w:tcPr>
            <w:tcW w:w="2302" w:type="dxa"/>
            <w:vAlign w:val="center"/>
          </w:tcPr>
          <w:p w14:paraId="56E2BFB7" w14:textId="63ABAC73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Novus Biologicals</w:t>
            </w:r>
          </w:p>
        </w:tc>
        <w:tc>
          <w:tcPr>
            <w:tcW w:w="1276" w:type="dxa"/>
            <w:vAlign w:val="center"/>
          </w:tcPr>
          <w:p w14:paraId="53E1A785" w14:textId="19873332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NBP2-33422</w:t>
            </w:r>
          </w:p>
        </w:tc>
        <w:tc>
          <w:tcPr>
            <w:tcW w:w="1302" w:type="dxa"/>
            <w:vAlign w:val="center"/>
          </w:tcPr>
          <w:p w14:paraId="556047F1" w14:textId="613F5205" w:rsidR="0063555B" w:rsidRPr="00743CA4" w:rsidRDefault="008F7E1D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AB_2687913</w:t>
            </w:r>
          </w:p>
        </w:tc>
      </w:tr>
      <w:tr w:rsidR="00743CA4" w:rsidRPr="00743CA4" w14:paraId="7C172D8B" w14:textId="69B4BCB1" w:rsidTr="00224B87">
        <w:trPr>
          <w:jc w:val="center"/>
        </w:trPr>
        <w:tc>
          <w:tcPr>
            <w:tcW w:w="2093" w:type="dxa"/>
            <w:vAlign w:val="center"/>
          </w:tcPr>
          <w:p w14:paraId="63981AE1" w14:textId="35299DB1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5D4C1555" w14:textId="10B0D9D7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anti-Cl GSDMD</w:t>
            </w:r>
          </w:p>
        </w:tc>
        <w:tc>
          <w:tcPr>
            <w:tcW w:w="2302" w:type="dxa"/>
            <w:vAlign w:val="center"/>
          </w:tcPr>
          <w:p w14:paraId="4ADB57C9" w14:textId="1EAC05C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</w:p>
        </w:tc>
        <w:tc>
          <w:tcPr>
            <w:tcW w:w="1276" w:type="dxa"/>
            <w:vAlign w:val="center"/>
          </w:tcPr>
          <w:p w14:paraId="5BC3A82A" w14:textId="5BB56DA1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ab215203</w:t>
            </w:r>
          </w:p>
        </w:tc>
        <w:tc>
          <w:tcPr>
            <w:tcW w:w="1302" w:type="dxa"/>
            <w:vAlign w:val="center"/>
          </w:tcPr>
          <w:p w14:paraId="55B7D1D4" w14:textId="02B2A393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AB_2916166</w:t>
            </w:r>
          </w:p>
        </w:tc>
      </w:tr>
      <w:tr w:rsidR="00743CA4" w:rsidRPr="00743CA4" w14:paraId="7652A296" w14:textId="07F991B4" w:rsidTr="00224B87">
        <w:trPr>
          <w:jc w:val="center"/>
        </w:trPr>
        <w:tc>
          <w:tcPr>
            <w:tcW w:w="2093" w:type="dxa"/>
            <w:vAlign w:val="center"/>
          </w:tcPr>
          <w:p w14:paraId="203B28FB" w14:textId="685DF0F5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189FE5D9" w14:textId="4D966A6B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Mouse anti-Caspase1</w:t>
            </w:r>
          </w:p>
        </w:tc>
        <w:tc>
          <w:tcPr>
            <w:tcW w:w="2302" w:type="dxa"/>
            <w:vAlign w:val="center"/>
          </w:tcPr>
          <w:p w14:paraId="4941864E" w14:textId="04AE4DD7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Santa Cruz Biotechnology</w:t>
            </w:r>
          </w:p>
        </w:tc>
        <w:tc>
          <w:tcPr>
            <w:tcW w:w="1276" w:type="dxa"/>
            <w:vAlign w:val="center"/>
          </w:tcPr>
          <w:p w14:paraId="71CA3B52" w14:textId="6B9470A4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sc-56036</w:t>
            </w:r>
          </w:p>
        </w:tc>
        <w:tc>
          <w:tcPr>
            <w:tcW w:w="1302" w:type="dxa"/>
            <w:vAlign w:val="center"/>
          </w:tcPr>
          <w:p w14:paraId="0C575826" w14:textId="79FC177C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AB_781816</w:t>
            </w:r>
          </w:p>
        </w:tc>
      </w:tr>
      <w:tr w:rsidR="00743CA4" w:rsidRPr="00743CA4" w14:paraId="5651AB12" w14:textId="0DDD4E4C" w:rsidTr="00224B87">
        <w:trPr>
          <w:jc w:val="center"/>
        </w:trPr>
        <w:tc>
          <w:tcPr>
            <w:tcW w:w="2093" w:type="dxa"/>
            <w:vAlign w:val="center"/>
          </w:tcPr>
          <w:p w14:paraId="5B34409D" w14:textId="36FB080D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7E9FA511" w14:textId="0C59E154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anti-Cl caspase1</w:t>
            </w:r>
          </w:p>
        </w:tc>
        <w:tc>
          <w:tcPr>
            <w:tcW w:w="2302" w:type="dxa"/>
            <w:vAlign w:val="center"/>
          </w:tcPr>
          <w:p w14:paraId="4D8C7BCE" w14:textId="347C7774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Affinity Biosciences</w:t>
            </w:r>
          </w:p>
        </w:tc>
        <w:tc>
          <w:tcPr>
            <w:tcW w:w="1276" w:type="dxa"/>
            <w:vAlign w:val="center"/>
          </w:tcPr>
          <w:p w14:paraId="217666C7" w14:textId="2C7B6829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AF4005</w:t>
            </w:r>
          </w:p>
        </w:tc>
        <w:tc>
          <w:tcPr>
            <w:tcW w:w="1302" w:type="dxa"/>
            <w:vAlign w:val="center"/>
          </w:tcPr>
          <w:p w14:paraId="7E117EB1" w14:textId="6F4E33B8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AB_2845463</w:t>
            </w:r>
          </w:p>
        </w:tc>
      </w:tr>
      <w:tr w:rsidR="00743CA4" w:rsidRPr="00743CA4" w14:paraId="1887B64A" w14:textId="00363847" w:rsidTr="00224B87">
        <w:trPr>
          <w:jc w:val="center"/>
        </w:trPr>
        <w:tc>
          <w:tcPr>
            <w:tcW w:w="2093" w:type="dxa"/>
            <w:vAlign w:val="center"/>
          </w:tcPr>
          <w:p w14:paraId="161CB605" w14:textId="17FFDEA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667FA78B" w14:textId="4620B59A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anti-IL-1β</w:t>
            </w:r>
          </w:p>
        </w:tc>
        <w:tc>
          <w:tcPr>
            <w:tcW w:w="2302" w:type="dxa"/>
            <w:vAlign w:val="center"/>
          </w:tcPr>
          <w:p w14:paraId="4A4B7582" w14:textId="0520C6F0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Affinity Biosciences</w:t>
            </w:r>
          </w:p>
        </w:tc>
        <w:tc>
          <w:tcPr>
            <w:tcW w:w="1276" w:type="dxa"/>
            <w:vAlign w:val="center"/>
          </w:tcPr>
          <w:p w14:paraId="4BE7D949" w14:textId="03AFFC10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AF5103</w:t>
            </w:r>
          </w:p>
        </w:tc>
        <w:tc>
          <w:tcPr>
            <w:tcW w:w="1302" w:type="dxa"/>
            <w:vAlign w:val="center"/>
          </w:tcPr>
          <w:p w14:paraId="3B19A587" w14:textId="2133268B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AB_2837589</w:t>
            </w:r>
          </w:p>
        </w:tc>
      </w:tr>
      <w:tr w:rsidR="00743CA4" w:rsidRPr="00743CA4" w14:paraId="3C9A1F2D" w14:textId="61F00C8D" w:rsidTr="00224B87">
        <w:trPr>
          <w:jc w:val="center"/>
        </w:trPr>
        <w:tc>
          <w:tcPr>
            <w:tcW w:w="2093" w:type="dxa"/>
            <w:vAlign w:val="center"/>
          </w:tcPr>
          <w:p w14:paraId="7833AFF7" w14:textId="1B6F21F9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71F2A145" w14:textId="1BCD43F8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anti-Cl IL-1β</w:t>
            </w:r>
          </w:p>
        </w:tc>
        <w:tc>
          <w:tcPr>
            <w:tcW w:w="2302" w:type="dxa"/>
            <w:vAlign w:val="center"/>
          </w:tcPr>
          <w:p w14:paraId="0421DA44" w14:textId="557C863B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Affinity Biosciences</w:t>
            </w:r>
          </w:p>
        </w:tc>
        <w:tc>
          <w:tcPr>
            <w:tcW w:w="1276" w:type="dxa"/>
            <w:vAlign w:val="center"/>
          </w:tcPr>
          <w:p w14:paraId="21BF2278" w14:textId="04101B20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AF4006</w:t>
            </w:r>
          </w:p>
        </w:tc>
        <w:tc>
          <w:tcPr>
            <w:tcW w:w="1302" w:type="dxa"/>
            <w:vAlign w:val="center"/>
          </w:tcPr>
          <w:p w14:paraId="511E63A6" w14:textId="0D44E38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AB_2801567</w:t>
            </w:r>
          </w:p>
        </w:tc>
      </w:tr>
      <w:tr w:rsidR="00743CA4" w:rsidRPr="00743CA4" w14:paraId="55369E14" w14:textId="15E1BCC3" w:rsidTr="00224B87">
        <w:trPr>
          <w:jc w:val="center"/>
        </w:trPr>
        <w:tc>
          <w:tcPr>
            <w:tcW w:w="2093" w:type="dxa"/>
            <w:vAlign w:val="center"/>
          </w:tcPr>
          <w:p w14:paraId="1F716311" w14:textId="1F430D4A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5BF23FF1" w14:textId="7D8AB6D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anti-IL-18</w:t>
            </w:r>
          </w:p>
        </w:tc>
        <w:tc>
          <w:tcPr>
            <w:tcW w:w="2302" w:type="dxa"/>
            <w:vAlign w:val="center"/>
          </w:tcPr>
          <w:p w14:paraId="778BE64D" w14:textId="15122F2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276" w:type="dxa"/>
            <w:vAlign w:val="center"/>
          </w:tcPr>
          <w:p w14:paraId="4D0F0B70" w14:textId="614F1851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57058</w:t>
            </w:r>
          </w:p>
        </w:tc>
        <w:tc>
          <w:tcPr>
            <w:tcW w:w="1302" w:type="dxa"/>
            <w:vAlign w:val="center"/>
          </w:tcPr>
          <w:p w14:paraId="10133612" w14:textId="5C09298C" w:rsidR="0063555B" w:rsidRPr="00743CA4" w:rsidRDefault="00C4161E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AB_3751777</w:t>
            </w:r>
          </w:p>
        </w:tc>
      </w:tr>
      <w:tr w:rsidR="00743CA4" w:rsidRPr="00743CA4" w14:paraId="6DF09D49" w14:textId="4C0E10FA" w:rsidTr="00224B87">
        <w:trPr>
          <w:jc w:val="center"/>
        </w:trPr>
        <w:tc>
          <w:tcPr>
            <w:tcW w:w="2093" w:type="dxa"/>
            <w:vAlign w:val="center"/>
          </w:tcPr>
          <w:p w14:paraId="2B5B4FAA" w14:textId="3C1B598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Primary Antibody</w:t>
            </w:r>
          </w:p>
        </w:tc>
        <w:tc>
          <w:tcPr>
            <w:tcW w:w="2551" w:type="dxa"/>
            <w:vAlign w:val="center"/>
          </w:tcPr>
          <w:p w14:paraId="690C03E6" w14:textId="2302A6A5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anti-p-STAT1</w:t>
            </w:r>
          </w:p>
        </w:tc>
        <w:tc>
          <w:tcPr>
            <w:tcW w:w="2302" w:type="dxa"/>
            <w:vAlign w:val="center"/>
          </w:tcPr>
          <w:p w14:paraId="0CFE71EA" w14:textId="3F3A9D3D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276" w:type="dxa"/>
            <w:vAlign w:val="center"/>
          </w:tcPr>
          <w:p w14:paraId="1864CBF1" w14:textId="7F7796C8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9167</w:t>
            </w:r>
          </w:p>
        </w:tc>
        <w:tc>
          <w:tcPr>
            <w:tcW w:w="1302" w:type="dxa"/>
            <w:vAlign w:val="center"/>
          </w:tcPr>
          <w:p w14:paraId="52AE28C0" w14:textId="04ED9677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AB_561284</w:t>
            </w:r>
          </w:p>
        </w:tc>
      </w:tr>
      <w:tr w:rsidR="00743CA4" w:rsidRPr="00743CA4" w14:paraId="0C990222" w14:textId="7E5E3718" w:rsidTr="00224B87">
        <w:trPr>
          <w:jc w:val="center"/>
        </w:trPr>
        <w:tc>
          <w:tcPr>
            <w:tcW w:w="2093" w:type="dxa"/>
            <w:vAlign w:val="center"/>
          </w:tcPr>
          <w:p w14:paraId="42CEF753" w14:textId="202C32ED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18F30418" w14:textId="1B0D5F4A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anti-STAT1</w:t>
            </w:r>
          </w:p>
        </w:tc>
        <w:tc>
          <w:tcPr>
            <w:tcW w:w="2302" w:type="dxa"/>
            <w:vAlign w:val="center"/>
          </w:tcPr>
          <w:p w14:paraId="3DF0D77F" w14:textId="18CE590A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276" w:type="dxa"/>
            <w:vAlign w:val="center"/>
          </w:tcPr>
          <w:p w14:paraId="5B88079D" w14:textId="422E3A9E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14994</w:t>
            </w:r>
          </w:p>
        </w:tc>
        <w:tc>
          <w:tcPr>
            <w:tcW w:w="1302" w:type="dxa"/>
            <w:vAlign w:val="center"/>
          </w:tcPr>
          <w:p w14:paraId="7F74A2C1" w14:textId="6F1232CA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AB_2737027</w:t>
            </w:r>
          </w:p>
        </w:tc>
      </w:tr>
      <w:tr w:rsidR="00743CA4" w:rsidRPr="00743CA4" w14:paraId="050D5278" w14:textId="3894BCE0" w:rsidTr="00224B87">
        <w:trPr>
          <w:jc w:val="center"/>
        </w:trPr>
        <w:tc>
          <w:tcPr>
            <w:tcW w:w="2093" w:type="dxa"/>
            <w:vAlign w:val="center"/>
          </w:tcPr>
          <w:p w14:paraId="64F37BA3" w14:textId="5687D7C9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6BDAF946" w14:textId="07B749F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Rabbit anti-SOCS1</w:t>
            </w:r>
          </w:p>
        </w:tc>
        <w:tc>
          <w:tcPr>
            <w:tcW w:w="2302" w:type="dxa"/>
            <w:vAlign w:val="center"/>
          </w:tcPr>
          <w:p w14:paraId="4A99E332" w14:textId="2D61C63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276" w:type="dxa"/>
            <w:vAlign w:val="center"/>
          </w:tcPr>
          <w:p w14:paraId="0CADDD3E" w14:textId="626EC0F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55313</w:t>
            </w:r>
          </w:p>
        </w:tc>
        <w:tc>
          <w:tcPr>
            <w:tcW w:w="1302" w:type="dxa"/>
            <w:vAlign w:val="center"/>
          </w:tcPr>
          <w:p w14:paraId="3D1EB378" w14:textId="14935355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AB_3731289</w:t>
            </w:r>
          </w:p>
        </w:tc>
      </w:tr>
      <w:tr w:rsidR="00743CA4" w:rsidRPr="00743CA4" w14:paraId="6AD8A498" w14:textId="5DD7D11E" w:rsidTr="00224B87">
        <w:trPr>
          <w:jc w:val="center"/>
        </w:trPr>
        <w:tc>
          <w:tcPr>
            <w:tcW w:w="2093" w:type="dxa"/>
            <w:vAlign w:val="center"/>
          </w:tcPr>
          <w:p w14:paraId="5DF489A9" w14:textId="7FEB1A59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</w:p>
        </w:tc>
        <w:tc>
          <w:tcPr>
            <w:tcW w:w="2551" w:type="dxa"/>
            <w:vAlign w:val="center"/>
          </w:tcPr>
          <w:p w14:paraId="0952032C" w14:textId="42039300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Mouse anti-β-actin</w:t>
            </w:r>
          </w:p>
        </w:tc>
        <w:tc>
          <w:tcPr>
            <w:tcW w:w="2302" w:type="dxa"/>
            <w:vAlign w:val="center"/>
          </w:tcPr>
          <w:p w14:paraId="2A505C3E" w14:textId="7950C3FC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Servicebio</w:t>
            </w:r>
            <w:proofErr w:type="spellEnd"/>
          </w:p>
        </w:tc>
        <w:tc>
          <w:tcPr>
            <w:tcW w:w="1276" w:type="dxa"/>
            <w:vAlign w:val="center"/>
          </w:tcPr>
          <w:p w14:paraId="67EF8545" w14:textId="354AD149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GB15001</w:t>
            </w:r>
          </w:p>
        </w:tc>
        <w:tc>
          <w:tcPr>
            <w:tcW w:w="1302" w:type="dxa"/>
            <w:vAlign w:val="center"/>
          </w:tcPr>
          <w:p w14:paraId="3B7E5386" w14:textId="483428B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AB_3083704</w:t>
            </w:r>
          </w:p>
        </w:tc>
      </w:tr>
      <w:tr w:rsidR="00743CA4" w:rsidRPr="00743CA4" w14:paraId="0A1373A5" w14:textId="78571D88" w:rsidTr="009642E4">
        <w:trPr>
          <w:jc w:val="center"/>
        </w:trPr>
        <w:tc>
          <w:tcPr>
            <w:tcW w:w="2093" w:type="dxa"/>
            <w:vAlign w:val="center"/>
          </w:tcPr>
          <w:p w14:paraId="2E6D8A13" w14:textId="044B8EDC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Bacterial or Viral Strain</w:t>
            </w:r>
          </w:p>
        </w:tc>
        <w:tc>
          <w:tcPr>
            <w:tcW w:w="2551" w:type="dxa"/>
            <w:vAlign w:val="center"/>
          </w:tcPr>
          <w:p w14:paraId="3B56BD37" w14:textId="13FD32A6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Vector adeno-associated virus (AAV) 9-IRAK-M</w:t>
            </w:r>
          </w:p>
        </w:tc>
        <w:tc>
          <w:tcPr>
            <w:tcW w:w="2302" w:type="dxa"/>
            <w:vAlign w:val="center"/>
          </w:tcPr>
          <w:p w14:paraId="09A5B74F" w14:textId="6F9EB043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Hanbio</w:t>
            </w:r>
            <w:proofErr w:type="spellEnd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 xml:space="preserve"> Biotechnology, Shanghai, China</w:t>
            </w:r>
          </w:p>
        </w:tc>
        <w:tc>
          <w:tcPr>
            <w:tcW w:w="1276" w:type="dxa"/>
            <w:vAlign w:val="center"/>
          </w:tcPr>
          <w:p w14:paraId="3575FA63" w14:textId="77777777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302" w:type="dxa"/>
            <w:vAlign w:val="center"/>
          </w:tcPr>
          <w:p w14:paraId="4114F327" w14:textId="35F26F93" w:rsidR="0063555B" w:rsidRPr="00743CA4" w:rsidRDefault="0063555B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</w:p>
        </w:tc>
      </w:tr>
      <w:tr w:rsidR="00743CA4" w:rsidRPr="00743CA4" w14:paraId="2825029D" w14:textId="77777777" w:rsidTr="009642E4">
        <w:trPr>
          <w:jc w:val="center"/>
        </w:trPr>
        <w:tc>
          <w:tcPr>
            <w:tcW w:w="2093" w:type="dxa"/>
            <w:vAlign w:val="center"/>
          </w:tcPr>
          <w:p w14:paraId="238DA046" w14:textId="006D810E" w:rsidR="009642E4" w:rsidRPr="00743CA4" w:rsidRDefault="009642E4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2551" w:type="dxa"/>
            <w:vAlign w:val="center"/>
          </w:tcPr>
          <w:p w14:paraId="0B4A69C9" w14:textId="671CE5E2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SMART Video-tracking</w:t>
            </w:r>
          </w:p>
        </w:tc>
        <w:tc>
          <w:tcPr>
            <w:tcW w:w="2302" w:type="dxa"/>
            <w:vAlign w:val="center"/>
          </w:tcPr>
          <w:p w14:paraId="40C8FB04" w14:textId="581B191D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Panlab</w:t>
            </w:r>
            <w:proofErr w:type="spellEnd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 xml:space="preserve"> S.L.U., Barcelona, Spain</w:t>
            </w:r>
          </w:p>
        </w:tc>
        <w:tc>
          <w:tcPr>
            <w:tcW w:w="1276" w:type="dxa"/>
            <w:vAlign w:val="center"/>
          </w:tcPr>
          <w:p w14:paraId="7952AEBA" w14:textId="23614FBD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302" w:type="dxa"/>
            <w:vAlign w:val="center"/>
          </w:tcPr>
          <w:p w14:paraId="74061372" w14:textId="3648F32E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SCR_002852</w:t>
            </w:r>
          </w:p>
        </w:tc>
      </w:tr>
      <w:tr w:rsidR="00743CA4" w:rsidRPr="00743CA4" w14:paraId="09A862F1" w14:textId="77777777" w:rsidTr="009642E4">
        <w:trPr>
          <w:jc w:val="center"/>
        </w:trPr>
        <w:tc>
          <w:tcPr>
            <w:tcW w:w="2093" w:type="dxa"/>
            <w:vAlign w:val="center"/>
          </w:tcPr>
          <w:p w14:paraId="2EE200CD" w14:textId="2930BD99" w:rsidR="009642E4" w:rsidRPr="00743CA4" w:rsidRDefault="009642E4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2551" w:type="dxa"/>
            <w:vAlign w:val="center"/>
          </w:tcPr>
          <w:p w14:paraId="2F45820E" w14:textId="36C8C6F6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ImageJ</w:t>
            </w:r>
          </w:p>
        </w:tc>
        <w:tc>
          <w:tcPr>
            <w:tcW w:w="2302" w:type="dxa"/>
            <w:vAlign w:val="center"/>
          </w:tcPr>
          <w:p w14:paraId="189B14CD" w14:textId="1DD4BE88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U.S. National Institutes of Health, Bethesda, MD,</w:t>
            </w:r>
            <w:r w:rsidRPr="00743CA4">
              <w:t xml:space="preserve"> </w:t>
            </w: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6" w:type="dxa"/>
            <w:vAlign w:val="center"/>
          </w:tcPr>
          <w:p w14:paraId="1079BB6A" w14:textId="673CC8A5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302" w:type="dxa"/>
            <w:vAlign w:val="center"/>
          </w:tcPr>
          <w:p w14:paraId="29179B2A" w14:textId="0CFFE7F3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SCR_003070</w:t>
            </w:r>
          </w:p>
        </w:tc>
      </w:tr>
      <w:tr w:rsidR="00743CA4" w:rsidRPr="00743CA4" w14:paraId="1F07CB52" w14:textId="77777777" w:rsidTr="009642E4">
        <w:trPr>
          <w:jc w:val="center"/>
        </w:trPr>
        <w:tc>
          <w:tcPr>
            <w:tcW w:w="2093" w:type="dxa"/>
            <w:vAlign w:val="center"/>
          </w:tcPr>
          <w:p w14:paraId="1BE8725F" w14:textId="4DE658CD" w:rsidR="009642E4" w:rsidRPr="00743CA4" w:rsidRDefault="009642E4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2551" w:type="dxa"/>
            <w:vAlign w:val="center"/>
          </w:tcPr>
          <w:p w14:paraId="3F78708B" w14:textId="2BD54D25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Imaris</w:t>
            </w:r>
            <w:proofErr w:type="spellEnd"/>
          </w:p>
        </w:tc>
        <w:tc>
          <w:tcPr>
            <w:tcW w:w="2302" w:type="dxa"/>
            <w:vAlign w:val="center"/>
          </w:tcPr>
          <w:p w14:paraId="0A8249A9" w14:textId="121629DE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Bitplane</w:t>
            </w:r>
            <w:proofErr w:type="spellEnd"/>
            <w:r w:rsidRPr="00743CA4">
              <w:rPr>
                <w:rFonts w:ascii="Times New Roman" w:hAnsi="Times New Roman" w:cs="Times New Roman"/>
                <w:sz w:val="18"/>
                <w:szCs w:val="18"/>
              </w:rPr>
              <w:t xml:space="preserve"> AG, Zurich, Switzerland</w:t>
            </w:r>
          </w:p>
        </w:tc>
        <w:tc>
          <w:tcPr>
            <w:tcW w:w="1276" w:type="dxa"/>
            <w:vAlign w:val="center"/>
          </w:tcPr>
          <w:p w14:paraId="43507E9C" w14:textId="21EA4A9E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302" w:type="dxa"/>
            <w:vAlign w:val="center"/>
          </w:tcPr>
          <w:p w14:paraId="0215F294" w14:textId="37DDCF6F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SCR_007370</w:t>
            </w:r>
          </w:p>
        </w:tc>
      </w:tr>
      <w:tr w:rsidR="00743CA4" w:rsidRPr="00743CA4" w14:paraId="7278E8F3" w14:textId="77777777" w:rsidTr="00241332">
        <w:trPr>
          <w:jc w:val="center"/>
        </w:trPr>
        <w:tc>
          <w:tcPr>
            <w:tcW w:w="2093" w:type="dxa"/>
            <w:vAlign w:val="center"/>
          </w:tcPr>
          <w:p w14:paraId="2432C3A0" w14:textId="18E981B3" w:rsidR="009642E4" w:rsidRPr="00743CA4" w:rsidRDefault="009642E4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2551" w:type="dxa"/>
            <w:vAlign w:val="center"/>
          </w:tcPr>
          <w:p w14:paraId="4A87965C" w14:textId="072818AD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SPSS</w:t>
            </w:r>
          </w:p>
        </w:tc>
        <w:tc>
          <w:tcPr>
            <w:tcW w:w="2302" w:type="dxa"/>
            <w:vAlign w:val="center"/>
          </w:tcPr>
          <w:p w14:paraId="4EA01AF7" w14:textId="1ABAB6CB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IBM Corp, USA</w:t>
            </w:r>
          </w:p>
        </w:tc>
        <w:tc>
          <w:tcPr>
            <w:tcW w:w="1276" w:type="dxa"/>
            <w:vAlign w:val="center"/>
          </w:tcPr>
          <w:p w14:paraId="6F3763DF" w14:textId="343D5FB9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302" w:type="dxa"/>
            <w:vAlign w:val="center"/>
          </w:tcPr>
          <w:p w14:paraId="3AFF62AA" w14:textId="0DF86C43" w:rsidR="009642E4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SCR_002865</w:t>
            </w:r>
          </w:p>
        </w:tc>
      </w:tr>
      <w:tr w:rsidR="00743CA4" w:rsidRPr="00743CA4" w14:paraId="7AFF1BD2" w14:textId="77777777" w:rsidTr="00224B87">
        <w:trPr>
          <w:jc w:val="center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167E39C0" w14:textId="36B06506" w:rsidR="00241332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37A32A7" w14:textId="59238594" w:rsidR="00241332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GraphPad Prism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1F5D11E" w14:textId="75F321BF" w:rsidR="00241332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GraphPad Software, LLC, USA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6411F6" w14:textId="318E0B42" w:rsidR="00241332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7011EEB2" w14:textId="3ECB9F68" w:rsidR="00241332" w:rsidRPr="00743CA4" w:rsidRDefault="00241332" w:rsidP="0063555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3CA4">
              <w:rPr>
                <w:rFonts w:ascii="Times New Roman" w:hAnsi="Times New Roman" w:cs="Times New Roman"/>
                <w:sz w:val="18"/>
                <w:szCs w:val="18"/>
              </w:rPr>
              <w:t>SCR_002798</w:t>
            </w:r>
          </w:p>
        </w:tc>
      </w:tr>
    </w:tbl>
    <w:p w14:paraId="5A14D49D" w14:textId="7625F248" w:rsidR="008C083D" w:rsidRPr="00743CA4" w:rsidRDefault="008C083D" w:rsidP="008C083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743CA4">
        <w:rPr>
          <w:rFonts w:ascii="Times New Roman" w:hAnsi="Times New Roman" w:cs="Times New Roman"/>
          <w:sz w:val="24"/>
        </w:rPr>
        <w:fldChar w:fldCharType="begin"/>
      </w:r>
      <w:r w:rsidRPr="00743CA4">
        <w:rPr>
          <w:rFonts w:ascii="Times New Roman" w:hAnsi="Times New Roman" w:cs="Times New Roman"/>
          <w:sz w:val="24"/>
        </w:rPr>
        <w:instrText xml:space="preserve"> ADDIN NE.Bib</w:instrText>
      </w:r>
      <w:r w:rsidRPr="00743CA4">
        <w:rPr>
          <w:rFonts w:ascii="Times New Roman" w:hAnsi="Times New Roman" w:cs="Times New Roman"/>
          <w:sz w:val="24"/>
        </w:rPr>
        <w:fldChar w:fldCharType="separate"/>
      </w:r>
    </w:p>
    <w:p w14:paraId="6C2D6E8A" w14:textId="3C659270" w:rsidR="008C083D" w:rsidRPr="00743CA4" w:rsidRDefault="008C083D" w:rsidP="0007017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kern w:val="0"/>
          <w:sz w:val="24"/>
        </w:rPr>
      </w:pPr>
      <w:r w:rsidRPr="00743CA4">
        <w:rPr>
          <w:rFonts w:ascii="Times New Roman" w:hAnsi="Times New Roman" w:cs="Times New Roman"/>
          <w:b/>
          <w:bCs/>
          <w:kern w:val="0"/>
          <w:sz w:val="24"/>
        </w:rPr>
        <w:t>References</w:t>
      </w:r>
    </w:p>
    <w:p w14:paraId="25F691D4" w14:textId="77777777" w:rsidR="008C083D" w:rsidRPr="00743CA4" w:rsidRDefault="008C083D" w:rsidP="0007017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743CA4">
        <w:rPr>
          <w:rFonts w:ascii="Times New Roman" w:hAnsi="Times New Roman" w:cs="Times New Roman"/>
          <w:kern w:val="0"/>
          <w:sz w:val="24"/>
        </w:rPr>
        <w:t>1.</w:t>
      </w:r>
      <w:r w:rsidRPr="00743CA4">
        <w:rPr>
          <w:rFonts w:ascii="Times New Roman" w:hAnsi="Times New Roman" w:cs="Times New Roman"/>
          <w:kern w:val="0"/>
          <w:sz w:val="24"/>
        </w:rPr>
        <w:tab/>
      </w:r>
      <w:bookmarkStart w:id="4" w:name="_neb23415B23_7F97_4931_9A4F_A2C1C7DD5265"/>
      <w:r w:rsidRPr="00743CA4">
        <w:rPr>
          <w:rFonts w:ascii="Times New Roman" w:hAnsi="Times New Roman" w:cs="Times New Roman"/>
          <w:kern w:val="0"/>
          <w:sz w:val="24"/>
        </w:rPr>
        <w:t>Liang X, Ding Y, Zhu X, Qiu J, Shen X, Xiong Y, Zhou J, Liang X, Xie W: Suprachiasmatic nucleus dysfunction induces anxiety- and depression-like behaviors via activating the BDNF-TrkB pathway of the striatum. Transl Psychiatry 2025, 15:92.</w:t>
      </w:r>
      <w:bookmarkEnd w:id="4"/>
    </w:p>
    <w:p w14:paraId="409DF3C4" w14:textId="74B02EE5" w:rsidR="001254B6" w:rsidRPr="00743CA4" w:rsidRDefault="008C083D" w:rsidP="008C083D">
      <w:pPr>
        <w:spacing w:line="480" w:lineRule="auto"/>
        <w:rPr>
          <w:rFonts w:ascii="Times New Roman" w:hAnsi="Times New Roman" w:cs="Times New Roman"/>
          <w:sz w:val="24"/>
        </w:rPr>
      </w:pPr>
      <w:r w:rsidRPr="00743CA4">
        <w:rPr>
          <w:rFonts w:ascii="Times New Roman" w:hAnsi="Times New Roman" w:cs="Times New Roman"/>
          <w:sz w:val="24"/>
        </w:rPr>
        <w:fldChar w:fldCharType="end"/>
      </w:r>
    </w:p>
    <w:sectPr w:rsidR="001254B6" w:rsidRPr="00743CA4" w:rsidSect="00F92F45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8622D" w14:textId="77777777" w:rsidR="005146BE" w:rsidRDefault="005146BE" w:rsidP="004D6B59">
      <w:r>
        <w:separator/>
      </w:r>
    </w:p>
  </w:endnote>
  <w:endnote w:type="continuationSeparator" w:id="0">
    <w:p w14:paraId="5A1E8DA1" w14:textId="77777777" w:rsidR="005146BE" w:rsidRDefault="005146BE" w:rsidP="004D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89BE2" w14:textId="77777777" w:rsidR="005146BE" w:rsidRDefault="005146BE" w:rsidP="004D6B59">
      <w:r>
        <w:separator/>
      </w:r>
    </w:p>
  </w:footnote>
  <w:footnote w:type="continuationSeparator" w:id="0">
    <w:p w14:paraId="3CCE48AD" w14:textId="77777777" w:rsidR="005146BE" w:rsidRDefault="005146BE" w:rsidP="004D6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ADDIN NE.CacheBib" w:val="{\rtf1\ansi\ansicpg936\pard\plain{\fonttbl{\f0\fnil\fcharset0\fprq2 Times New Roman;}}{\colortbl;\red0\green0\blue0;}\par\pard\plain \qc{\f0\fs40\b\cf1 References:}\par\pard\plain \qj{\f0\fs20\cf1 1}{\f0\fs20\cf1 .\tab }{\bkmkstart _neb23415B23_7F97_4931_9A4F_A2C1C7DD5265}{\f0\fs20\cf1 Liang X}{\f0\fs20\cf1 , }{\f0\fs20\cf1 Ding Y}{\f0\fs20\cf1 , }{\f0\fs20\cf1 Zhu X}{\f0\fs20\cf1 , }{\f0\fs20\cf1 Qiu J}{\f0\fs20\cf1 , }{\f0\fs20\cf1 Shen X}{\f0\fs20\cf1 , }{\f0\fs20\cf1 Xiong Y}{\f0\fs20\cf1 , }{\f0\fs20\cf1 Zhou J}{\f0\fs20\cf1 , }{\f0\fs20\cf1 Liang X}{\f0\fs20\cf1 , }{\f0\fs20\cf1 Xie W}{\f0\fs20\cf1 : }{\f0\fs20\b\cf1 Suprachiasmatic nucleus dysfunction induces anxiety- and depression-like behaviors via activating the BDNF-TrkB pathway of the striatum}{\f0\fs20\b\cf1 .}{\f0\fs20\cf1  }{\f0\fs20\i\cf1 Transl Psychiatry}{\f0\fs20\cf1  }{\f0\fs20\cf1 2025}{\f0\fs20\cf1 , }{\f0\fs20\b\cf1 15}{\f0\fs20\b\cf1 :}{\f0\fs20\cf1 92}{\f0\fs20\cf1 .}{\bkmkend _neb23415B23_7F97_4931_9A4F_A2C1C7DD5265}\par\pard\plain \qj}"/>
    <w:docVar w:name=" ADDIN NE.CacheRef.{182FF705-6854-4FB9-9124-6BD9AD6D2D57}" w:val="{\rtf1\ansi\ansicpg936\pard\plain{\fonttbl{\f0\fnil\fcharset0\fprq2 Times New Roman;}}{\colortbl;\red8\green0\blue0;}{\f0\fs24\cf1 [}{\f0\fs24\cf1 1}{\f0\fs24\cf1 ]}}"/>
    <w:docVar w:name=" ADDIN NE.CacheRef.{5FF28C22-D9B2-48C5-985B-42013FAAC6FA}" w:val="{\rtf1\ansi\ansicpg936\pard\plain{\fonttbl{\f0\fnil\fcharset0\fprq2 Times New Roman;}}{\colortbl;\red8\green0\blue0;}{\f0\fs24\cf1 [}{\f0\fs24\cf1 1}{\f0\fs24\cf1 ]}}"/>
    <w:docVar w:name=" ADDIN NE.CacheRef.{D3D4E7B1-9131-4E9D-BA91-09C6567BAEE1}" w:val="{\rtf1\ansi\ansicpg936\pard\plain{\fonttbl{\f0\fnil\fcharset0\fprq2 Times New Roman;}}{\colortbl;\red8\green0\blue0;}{\f0\fs24\cf1 [}{\f0\fs24\cf1 1}{\f0\fs24\cf1 ]}}"/>
    <w:docVar w:name=" ADDIN NE.CacheRef.{FB052F06-9D46-4581-B828-121810803BDD}" w:val="{\rtf1\ansi\ansicpg936\pard\plain{\fonttbl{\f0\fnil\fcharset0\fprq2 Times New Roman;}}{\colortbl;\red8\green0\blue0;}{\f0\fs24\cf1 [}{\f0\fs24\cf1 1}{\f0\fs24\cf1 ]}}"/>
    <w:docVar w:name="NE.Ref{182FF705-6854-4FB9-9124-6BD9AD6D2D57}" w:val=" ADDIN NE.Ref.{182FF705-6854-4FB9-9124-6BD9AD6D2D57}&lt;Citation&gt;&lt;Group&gt;&lt;References&gt;&lt;Item&gt;&lt;ID&gt;696&lt;/ID&gt;&lt;UID&gt;{57FE0E37-74EA-46A9-B081-088483BDB42C}&lt;/UID&gt;&lt;Title&gt;Dysregulation of the Suprachiasmatic Nucleus Disturbs the Circadian Rhythm and Aggravates Epileptic Seizures by Inducing Hippocampal GABAergic Dysfunction in C57BL/6 Mice&lt;/Title&gt;&lt;Template&gt;Journal Article&lt;/Template&gt;&lt;Star&gt;0&lt;/Star&gt;&lt;Tag&gt;0&lt;/Tag&gt;&lt;Author&gt;Liang, Xiaoshan; Liang, Xiaotao; Zhao, Yunyan; Ding, Yuewen; Zhu, Xiaoyu; Zhou, Jieli; Qiu, Jing; Shen, Xiaoqin; Xie, Wei&lt;/Author&gt;&lt;Year&gt;2024&lt;/Year&gt;&lt;Details&gt;&lt;_accession_num&gt;39054842&lt;/_accession_num&gt;&lt;_author_adr&gt;Department of Traditional Chinese Medicine, Nanfang Hospital, Southern Medical  University, Guangzhou, China.; School of Traditional Chinese Medicine, Southern Medical University, Guangzhou,  China.; Department of Critical Care Medicine, The Afflliated Traditional Chinese Medicine  Hospital of Guangzhou Medical University, Guangzhou, China.; Department of Traditional Chinese Medicine, Nanfang Hospital, Southern Medical  University, Guangzhou, China.; School of Traditional Chinese Medicine, Southern Medical University, Guangzhou,  China.; School of Traditional Chinese Medicine, Southern Medical University, Guangzhou,  China.; School of Traditional Chinese Medicine, Southern Medical University, Guangzhou,  China.; School of Traditional Chinese Medicine, Southern Medical University, Guangzhou,  China.; School of Traditional Chinese Medicine, Southern Medical University, Guangzhou,  China.; Department of Traditional Chinese Medicine, Nanfang Hospital, Southern Medical  University, Guangzhou, China.; School of Traditional Chinese Medicine, Southern Medical University, Guangzhou,  China.&lt;/_author_adr&gt;&lt;_collection_scope&gt;SCIE&lt;/_collection_scope&gt;&lt;_created&gt;66127020&lt;/_created&gt;&lt;_date&gt;2024-08-01&lt;/_date&gt;&lt;_date_display&gt;2024 Aug&lt;/_date_display&gt;&lt;_db_updated&gt;PubMed&lt;/_db_updated&gt;&lt;_doi&gt;10.1111/jpi.12993&lt;/_doi&gt;&lt;_impact_factor&gt;   8.300&lt;/_impact_factor&gt;&lt;_isbn&gt;1600-079X (Electronic); 0742-3098 (Linking)&lt;/_isbn&gt;&lt;_issue&gt;5&lt;/_issue&gt;&lt;_journal&gt;J Pineal Res&lt;/_journal&gt;&lt;_keywords&gt;Bmal1; GABAergic dysfunction; circadian rhythm disturbances; epilepsy; suprachiasmatic nucleus&lt;/_keywords&gt;&lt;_language&gt;eng&lt;/_language&gt;&lt;_modified&gt;66127020&lt;/_modified&gt;&lt;_ori_publication&gt;(c) 2024 John Wiley &amp;amp; Sons A/S. Published by John Wiley &amp;amp; Sons Ltd.&lt;/_ori_publication&gt;&lt;_pages&gt;e12993&lt;/_pages&gt;&lt;_social_category&gt;内分泌学与代谢(1) &amp;amp; 神经科学(1) &amp;amp; 生理学(1)&lt;/_social_category&gt;&lt;_subject_headings&gt;Animals; *Suprachiasmatic Nucleus/metabolism; Mice; *Circadian Rhythm; *Hippocampus/metabolism; *Mice, Inbred C57BL; ARNTL Transcription Factors/genetics/metabolism; Male; Epilepsy/chemically induced/metabolism/genetics; Pilocarpine; Seizures/metabolism/chemically induced/genetics/physiopathology; Mice, Knockout; GABAergic Neurons/metabolism&lt;/_subject_headings&gt;&lt;_tertiary_title&gt;Journal of pineal research&lt;/_tertiary_title&gt;&lt;_type_work&gt;Journal Article&lt;/_type_work&gt;&lt;_url&gt;http://www.ncbi.nlm.nih.gov/entrez/query.fcgi?cmd=Retrieve&amp;amp;db=pubmed&amp;amp;dopt=Abstract&amp;amp;list_uids=39054842&amp;amp;query_hl=1&lt;/_url&gt;&lt;_volume&gt;76&lt;/_volume&gt;&lt;/Details&gt;&lt;Extra&gt;&lt;DBUID&gt;{03752FAB-B361-4F66-989B-C711D9502F78}&lt;/DBUID&gt;&lt;/Extra&gt;&lt;/Item&gt;&lt;/References&gt;&lt;/Group&gt;&lt;/Citation&gt;_x000a_"/>
    <w:docVar w:name="NE.Ref{5FF28C22-D9B2-48C5-985B-42013FAAC6FA}" w:val=" ADDIN NE.Ref.{5FF28C22-D9B2-48C5-985B-42013FAAC6FA}&lt;Citation&gt;&lt;Group&gt;&lt;References&gt;&lt;Item&gt;&lt;ID&gt;695&lt;/ID&gt;&lt;UID&gt;{23415B23-7F97-4931-9A4F-A2C1C7DD5265}&lt;/UID&gt;&lt;Title&gt;Suprachiasmatic nucleus dysfunction induces anxiety- and depression-like behaviors via activating the BDNF-TrkB pathway of the striatum&lt;/Title&gt;&lt;Template&gt;Journal Article&lt;/Template&gt;&lt;Star&gt;0&lt;/Star&gt;&lt;Tag&gt;0&lt;/Tag&gt;&lt;Author&gt;Liang, Xiaotao; Ding, Yuewen; Zhu, Xiaoyu; Qiu, Jing; Shen, Xiaoqin; Xiong, Yifan; Zhou, Jieli; Liang, Xiaoshan; Xie, Wei&lt;/Author&gt;&lt;Year&gt;2025&lt;/Year&gt;&lt;Details&gt;&lt;_accession_num&gt;40118822&lt;/_accession_num&gt;&lt;_author_adr&gt;School of Traditional Chinese Medicine, Southern Medical University, Guangzhou,  510515, P.R. China.; Department of Traditional Chinese Medicine, Nanfang Hospital, Southern Medical  University, Guangzhou, 510515, P.R. China.; School of Traditional Chinese Medicine, Southern Medical University, Guangzhou,  510515, P.R. China.; Department of Traditional Chinese Medicine, Nanfang Hospital, Southern Medical  University, Guangzhou, 510515, P.R. China.; School of Traditional Chinese Medicine, Southern Medical University, Guangzhou,  510515, P.R. China.; School of Traditional Chinese Medicine, Southern Medical University, Guangzhou,  510515, P.R. China.; School of Traditional Chinese Medicine, Southern Medical University, Guangzhou,  510515, P.R. China.; School of Traditional Chinese Medicine, Southern Medical University, Guangzhou,  510515, P.R. China.; School of Traditional Chinese Medicine, Southern Medical University, Guangzhou,  510515, P.R. China.; Department of Traditional Chinese Medicine, Nanfang Hospital, Southern Medical  University, Guangzhou, 510515, P.R. China. liangxiaoshan@smu.edu.cn.; School of Traditional Chinese Medicine, Southern Medical University, Guangzhou,  510515, P.R. China. xieweizn@smu.edu.cn.; Guangdong Basic Research Center of Excellence for Integrated Traditional and  Western Medicine for Qingzhi Diseases, Guangzhou, 510515, P.R. China.  xieweizn@smu.edu.cn.&lt;/_author_adr&gt;&lt;_collection_scope&gt;SCIE&lt;/_collection_scope&gt;&lt;_created&gt;66127020&lt;/_created&gt;&lt;_date&gt;2025-03-21&lt;/_date&gt;&lt;_date_display&gt;2025 Mar 21&lt;/_date_display&gt;&lt;_db_updated&gt;PubMed&lt;/_db_updated&gt;&lt;_doi&gt;10.1038/s41398-025-03313-7&lt;/_doi&gt;&lt;_impact_factor&gt;   5.800&lt;/_impact_factor&gt;&lt;_isbn&gt;2158-3188 (Electronic); 2158-3188 (Linking)&lt;/_isbn&gt;&lt;_issue&gt;1&lt;/_issue&gt;&lt;_journal&gt;Transl Psychiatry&lt;/_journal&gt;&lt;_language&gt;English&lt;/_language&gt;&lt;_modified&gt;66127020&lt;/_modified&gt;&lt;_ori_publication&gt;(c) 2025. The Author(s).&lt;/_ori_publication&gt;&lt;_pages&gt;92&lt;/_pages&gt;&lt;_social_category&gt;精神病学(1)&lt;/_social_category&gt;&lt;_subject_headings&gt;Animals; *Suprachiasmatic Nucleus/physiopathology/metabolism; *Brain-Derived Neurotrophic Factor/metabolism; Mice; *Anxiety/metabolism/physiopathology; *Depression/metabolism/physiopathology; ARNTL Transcription Factors/genetics; *Receptor, trkB/metabolism; *Corpus Striatum/metabolism; Male; Signal Transduction; Mice, Knockout; Circadian Rhythm/physiology; Behavior, Animal/physiology; Mice, Inbred C57BL; Disease Models, Animal&lt;/_subject_headings&gt;&lt;_tertiary_title&gt;Translational psychiatry&lt;/_tertiary_title&gt;&lt;_type_work&gt;Journal Article&lt;/_type_work&gt;&lt;_url&gt;http://www.ncbi.nlm.nih.gov/entrez/query.fcgi?cmd=Retrieve&amp;amp;db=pubmed&amp;amp;dopt=Abstract&amp;amp;list_uids=40118822&amp;amp;query_hl=1&lt;/_url&gt;&lt;_volume&gt;15&lt;/_volume&gt;&lt;/Details&gt;&lt;Extra&gt;&lt;DBUID&gt;{03752FAB-B361-4F66-989B-C711D9502F78}&lt;/DBUID&gt;&lt;/Extra&gt;&lt;/Item&gt;&lt;/References&gt;&lt;/Group&gt;&lt;/Citation&gt;_x000a_"/>
    <w:docVar w:name="NE.Ref{D3D4E7B1-9131-4E9D-BA91-09C6567BAEE1}" w:val=" ADDIN NE.Ref.{D3D4E7B1-9131-4E9D-BA91-09C6567BAEE1}&lt;Citation&gt;&lt;Group&gt;&lt;References&gt;&lt;Item&gt;&lt;ID&gt;695&lt;/ID&gt;&lt;UID&gt;{23415B23-7F97-4931-9A4F-A2C1C7DD5265}&lt;/UID&gt;&lt;Title&gt;Suprachiasmatic nucleus dysfunction induces anxiety- and depression-like behaviors via activating the BDNF-TrkB pathway of the striatum&lt;/Title&gt;&lt;Template&gt;Journal Article&lt;/Template&gt;&lt;Star&gt;0&lt;/Star&gt;&lt;Tag&gt;0&lt;/Tag&gt;&lt;Author&gt;Liang, Xiaotao; Ding, Yuewen; Zhu, Xiaoyu; Qiu, Jing; Shen, Xiaoqin; Xiong, Yifan; Zhou, Jieli; Liang, Xiaoshan; Xie, Wei&lt;/Author&gt;&lt;Year&gt;2025&lt;/Year&gt;&lt;Details&gt;&lt;_accession_num&gt;40118822&lt;/_accession_num&gt;&lt;_author_adr&gt;School of Traditional Chinese Medicine, Southern Medical University, Guangzhou,  510515, P.R. China.; Department of Traditional Chinese Medicine, Nanfang Hospital, Southern Medical  University, Guangzhou, 510515, P.R. China.; School of Traditional Chinese Medicine, Southern Medical University, Guangzhou,  510515, P.R. China.; Department of Traditional Chinese Medicine, Nanfang Hospital, Southern Medical  University, Guangzhou, 510515, P.R. China.; School of Traditional Chinese Medicine, Southern Medical University, Guangzhou,  510515, P.R. China.; School of Traditional Chinese Medicine, Southern Medical University, Guangzhou,  510515, P.R. China.; School of Traditional Chinese Medicine, Southern Medical University, Guangzhou,  510515, P.R. China.; School of Traditional Chinese Medicine, Southern Medical University, Guangzhou,  510515, P.R. China.; School of Traditional Chinese Medicine, Southern Medical University, Guangzhou,  510515, P.R. China.; Department of Traditional Chinese Medicine, Nanfang Hospital, Southern Medical  University, Guangzhou, 510515, P.R. China. liangxiaoshan@smu.edu.cn.; School of Traditional Chinese Medicine, Southern Medical University, Guangzhou,  510515, P.R. China. xieweizn@smu.edu.cn.; Guangdong Basic Research Center of Excellence for Integrated Traditional and  Western Medicine for Qingzhi Diseases, Guangzhou, 510515, P.R. China.  xieweizn@smu.edu.cn.&lt;/_author_adr&gt;&lt;_collection_scope&gt;SCIE&lt;/_collection_scope&gt;&lt;_created&gt;66127020&lt;/_created&gt;&lt;_date&gt;2025-03-21&lt;/_date&gt;&lt;_date_display&gt;2025 Mar 21&lt;/_date_display&gt;&lt;_db_updated&gt;PubMed&lt;/_db_updated&gt;&lt;_doi&gt;10.1038/s41398-025-03313-7&lt;/_doi&gt;&lt;_impact_factor&gt;   5.800&lt;/_impact_factor&gt;&lt;_isbn&gt;2158-3188 (Electronic); 2158-3188 (Linking)&lt;/_isbn&gt;&lt;_issue&gt;1&lt;/_issue&gt;&lt;_journal&gt;Transl Psychiatry&lt;/_journal&gt;&lt;_language&gt;eng&lt;/_language&gt;&lt;_modified&gt;66127020&lt;/_modified&gt;&lt;_ori_publication&gt;(c) 2025. The Author(s).&lt;/_ori_publication&gt;&lt;_pages&gt;92&lt;/_pages&gt;&lt;_social_category&gt;精神病学(1)&lt;/_social_category&gt;&lt;_subject_headings&gt;Animals; *Suprachiasmatic Nucleus/physiopathology/metabolism; *Brain-Derived Neurotrophic Factor/metabolism; Mice; *Anxiety/metabolism/physiopathology; *Depression/metabolism/physiopathology; ARNTL Transcription Factors/genetics; *Receptor, trkB/metabolism; *Corpus Striatum/metabolism; Male; Signal Transduction; Mice, Knockout; Circadian Rhythm/physiology; Behavior, Animal/physiology; Mice, Inbred C57BL; Disease Models, Animal&lt;/_subject_headings&gt;&lt;_tertiary_title&gt;Translational psychiatry&lt;/_tertiary_title&gt;&lt;_type_work&gt;Journal Article&lt;/_type_work&gt;&lt;_url&gt;http://www.ncbi.nlm.nih.gov/entrez/query.fcgi?cmd=Retrieve&amp;amp;db=pubmed&amp;amp;dopt=Abstract&amp;amp;list_uids=40118822&amp;amp;query_hl=1&lt;/_url&gt;&lt;_volume&gt;15&lt;/_volume&gt;&lt;/Details&gt;&lt;Extra&gt;&lt;DBUID&gt;{03752FAB-B361-4F66-989B-C711D9502F78}&lt;/DBUID&gt;&lt;/Extra&gt;&lt;/Item&gt;&lt;/References&gt;&lt;/Group&gt;&lt;/Citation&gt;_x000a_"/>
    <w:docVar w:name="NE.Ref{FB052F06-9D46-4581-B828-121810803BDD}" w:val=" ADDIN NE.Ref.{FB052F06-9D46-4581-B828-121810803BDD}&lt;Citation&gt;&lt;Group&gt;&lt;References&gt;&lt;Item&gt;&lt;ID&gt;695&lt;/ID&gt;&lt;UID&gt;{23415B23-7F97-4931-9A4F-A2C1C7DD5265}&lt;/UID&gt;&lt;Title&gt;Suprachiasmatic nucleus dysfunction induces anxiety- and depression-like behaviors via activating the BDNF-TrkB pathway of the striatum&lt;/Title&gt;&lt;Template&gt;Journal Article&lt;/Template&gt;&lt;Star&gt;0&lt;/Star&gt;&lt;Tag&gt;0&lt;/Tag&gt;&lt;Author&gt;Liang, Xiaotao; Ding, Yuewen; Zhu, Xiaoyu; Qiu, Jing; Shen, Xiaoqin; Xiong, Yifan; Zhou, Jieli; Liang, Xiaoshan; Xie, Wei&lt;/Author&gt;&lt;Year&gt;2025&lt;/Year&gt;&lt;Details&gt;&lt;_accession_num&gt;40118822&lt;/_accession_num&gt;&lt;_author_adr&gt;School of Traditional Chinese Medicine, Southern Medical University, Guangzhou,  510515, P.R. China.; Department of Traditional Chinese Medicine, Nanfang Hospital, Southern Medical  University, Guangzhou, 510515, P.R. China.; School of Traditional Chinese Medicine, Southern Medical University, Guangzhou,  510515, P.R. China.; Department of Traditional Chinese Medicine, Nanfang Hospital, Southern Medical  University, Guangzhou, 510515, P.R. China.; School of Traditional Chinese Medicine, Southern Medical University, Guangzhou,  510515, P.R. China.; School of Traditional Chinese Medicine, Southern Medical University, Guangzhou,  510515, P.R. China.; School of Traditional Chinese Medicine, Southern Medical University, Guangzhou,  510515, P.R. China.; School of Traditional Chinese Medicine, Southern Medical University, Guangzhou,  510515, P.R. China.; School of Traditional Chinese Medicine, Southern Medical University, Guangzhou,  510515, P.R. China.; Department of Traditional Chinese Medicine, Nanfang Hospital, Southern Medical  University, Guangzhou, 510515, P.R. China. liangxiaoshan@smu.edu.cn.; School of Traditional Chinese Medicine, Southern Medical University, Guangzhou,  510515, P.R. China. xieweizn@smu.edu.cn.; Guangdong Basic Research Center of Excellence for Integrated Traditional and  Western Medicine for Qingzhi Diseases, Guangzhou, 510515, P.R. China.  xieweizn@smu.edu.cn.&lt;/_author_adr&gt;&lt;_collection_scope&gt;SCIE&lt;/_collection_scope&gt;&lt;_created&gt;66127020&lt;/_created&gt;&lt;_date&gt;2025-03-21&lt;/_date&gt;&lt;_date_display&gt;2025 Mar 21&lt;/_date_display&gt;&lt;_db_updated&gt;PubMed&lt;/_db_updated&gt;&lt;_doi&gt;10.1038/s41398-025-03313-7&lt;/_doi&gt;&lt;_impact_factor&gt;   5.800&lt;/_impact_factor&gt;&lt;_isbn&gt;2158-3188 (Electronic); 2158-3188 (Linking)&lt;/_isbn&gt;&lt;_issue&gt;1&lt;/_issue&gt;&lt;_journal&gt;Transl Psychiatry&lt;/_journal&gt;&lt;_language&gt;eng&lt;/_language&gt;&lt;_modified&gt;66127020&lt;/_modified&gt;&lt;_ori_publication&gt;(c) 2025. The Author(s).&lt;/_ori_publication&gt;&lt;_pages&gt;92&lt;/_pages&gt;&lt;_social_category&gt;精神病学(1)&lt;/_social_category&gt;&lt;_subject_headings&gt;Animals; *Suprachiasmatic Nucleus/physiopathology/metabolism; *Brain-Derived Neurotrophic Factor/metabolism; Mice; *Anxiety/metabolism/physiopathology; *Depression/metabolism/physiopathology; ARNTL Transcription Factors/genetics; *Receptor, trkB/metabolism; *Corpus Striatum/metabolism; Male; Signal Transduction; Mice, Knockout; Circadian Rhythm/physiology; Behavior, Animal/physiology; Mice, Inbred C57BL; Disease Models, Animal&lt;/_subject_headings&gt;&lt;_tertiary_title&gt;Translational psychiatry&lt;/_tertiary_title&gt;&lt;_type_work&gt;Journal Article&lt;/_type_work&gt;&lt;_url&gt;http://www.ncbi.nlm.nih.gov/entrez/query.fcgi?cmd=Retrieve&amp;amp;db=pubmed&amp;amp;dopt=Abstract&amp;amp;list_uids=40118822&amp;amp;query_hl=1&lt;/_url&gt;&lt;_volume&gt;15&lt;/_volume&gt;&lt;/Details&gt;&lt;Extra&gt;&lt;DBUID&gt;{03752FAB-B361-4F66-989B-C711D9502F78}&lt;/DBUID&gt;&lt;/Extra&gt;&lt;/Item&gt;&lt;/References&gt;&lt;/Group&gt;&lt;/Citation&gt;_x000a_"/>
    <w:docVar w:name="ne_build" w:val="16.0.20026"/>
    <w:docVar w:name="ne_docsoft" w:val="MSWord"/>
    <w:docVar w:name="ne_docversion" w:val="NoteExpress 2.0"/>
    <w:docVar w:name="ne_os" w:val="Mircrosoft"/>
    <w:docVar w:name="ne_stylename" w:val="J Neuroinflammation"/>
  </w:docVars>
  <w:rsids>
    <w:rsidRoot w:val="00937EB0"/>
    <w:rsid w:val="00002C99"/>
    <w:rsid w:val="00020F6F"/>
    <w:rsid w:val="000335F6"/>
    <w:rsid w:val="00070176"/>
    <w:rsid w:val="000832C1"/>
    <w:rsid w:val="0009092B"/>
    <w:rsid w:val="0009405E"/>
    <w:rsid w:val="00100C8D"/>
    <w:rsid w:val="00102CE9"/>
    <w:rsid w:val="001254B6"/>
    <w:rsid w:val="00126532"/>
    <w:rsid w:val="0012704B"/>
    <w:rsid w:val="00135B1A"/>
    <w:rsid w:val="00135FC8"/>
    <w:rsid w:val="00145BDF"/>
    <w:rsid w:val="00157197"/>
    <w:rsid w:val="00162610"/>
    <w:rsid w:val="0017048E"/>
    <w:rsid w:val="00180359"/>
    <w:rsid w:val="00186817"/>
    <w:rsid w:val="0019738B"/>
    <w:rsid w:val="001B17D4"/>
    <w:rsid w:val="001E2020"/>
    <w:rsid w:val="002213FA"/>
    <w:rsid w:val="00224B87"/>
    <w:rsid w:val="00241332"/>
    <w:rsid w:val="00262ED7"/>
    <w:rsid w:val="002811D4"/>
    <w:rsid w:val="00290FF4"/>
    <w:rsid w:val="002A3B6A"/>
    <w:rsid w:val="002B1EF7"/>
    <w:rsid w:val="002D73B0"/>
    <w:rsid w:val="002E3780"/>
    <w:rsid w:val="002F4F4D"/>
    <w:rsid w:val="00312C15"/>
    <w:rsid w:val="00326D69"/>
    <w:rsid w:val="003340F7"/>
    <w:rsid w:val="0034237F"/>
    <w:rsid w:val="003874C7"/>
    <w:rsid w:val="003D237A"/>
    <w:rsid w:val="003D747F"/>
    <w:rsid w:val="0041753F"/>
    <w:rsid w:val="00417DB1"/>
    <w:rsid w:val="00441C85"/>
    <w:rsid w:val="004607DE"/>
    <w:rsid w:val="0046781F"/>
    <w:rsid w:val="00467C5A"/>
    <w:rsid w:val="004866B5"/>
    <w:rsid w:val="004C3935"/>
    <w:rsid w:val="004C54E4"/>
    <w:rsid w:val="004C6BCB"/>
    <w:rsid w:val="004D6B59"/>
    <w:rsid w:val="004E21A0"/>
    <w:rsid w:val="004E2A68"/>
    <w:rsid w:val="0051219F"/>
    <w:rsid w:val="005142BF"/>
    <w:rsid w:val="005146BE"/>
    <w:rsid w:val="00545718"/>
    <w:rsid w:val="00560C8C"/>
    <w:rsid w:val="00581DAD"/>
    <w:rsid w:val="00590F5E"/>
    <w:rsid w:val="005A1DCD"/>
    <w:rsid w:val="005C079D"/>
    <w:rsid w:val="005F50BF"/>
    <w:rsid w:val="005F5A52"/>
    <w:rsid w:val="006129CF"/>
    <w:rsid w:val="00625C42"/>
    <w:rsid w:val="0063555B"/>
    <w:rsid w:val="00643EC3"/>
    <w:rsid w:val="006B3654"/>
    <w:rsid w:val="006C005B"/>
    <w:rsid w:val="006F2DD1"/>
    <w:rsid w:val="006F36B2"/>
    <w:rsid w:val="00707A2E"/>
    <w:rsid w:val="00732F88"/>
    <w:rsid w:val="00733617"/>
    <w:rsid w:val="00733FDF"/>
    <w:rsid w:val="00743CA4"/>
    <w:rsid w:val="007462CB"/>
    <w:rsid w:val="00785D6A"/>
    <w:rsid w:val="00791EF7"/>
    <w:rsid w:val="007B098F"/>
    <w:rsid w:val="00851C14"/>
    <w:rsid w:val="00854762"/>
    <w:rsid w:val="00877C10"/>
    <w:rsid w:val="00880F00"/>
    <w:rsid w:val="00880FF9"/>
    <w:rsid w:val="008B517C"/>
    <w:rsid w:val="008C083D"/>
    <w:rsid w:val="008E4497"/>
    <w:rsid w:val="008E5E26"/>
    <w:rsid w:val="008F3828"/>
    <w:rsid w:val="008F7E1D"/>
    <w:rsid w:val="009054E0"/>
    <w:rsid w:val="00920DD8"/>
    <w:rsid w:val="009251B8"/>
    <w:rsid w:val="00937EB0"/>
    <w:rsid w:val="00943A0F"/>
    <w:rsid w:val="009642E4"/>
    <w:rsid w:val="00986F27"/>
    <w:rsid w:val="0099649F"/>
    <w:rsid w:val="009A47B9"/>
    <w:rsid w:val="009C1B56"/>
    <w:rsid w:val="009E47B7"/>
    <w:rsid w:val="009F154E"/>
    <w:rsid w:val="009F6EB9"/>
    <w:rsid w:val="00A0294C"/>
    <w:rsid w:val="00A06217"/>
    <w:rsid w:val="00A07FBE"/>
    <w:rsid w:val="00A207A7"/>
    <w:rsid w:val="00A2292E"/>
    <w:rsid w:val="00A35CE1"/>
    <w:rsid w:val="00A367CB"/>
    <w:rsid w:val="00A40E0F"/>
    <w:rsid w:val="00A44275"/>
    <w:rsid w:val="00A444CE"/>
    <w:rsid w:val="00A77C8B"/>
    <w:rsid w:val="00A867BD"/>
    <w:rsid w:val="00AA654B"/>
    <w:rsid w:val="00AB3AC1"/>
    <w:rsid w:val="00AE1493"/>
    <w:rsid w:val="00AF43F4"/>
    <w:rsid w:val="00AF79E9"/>
    <w:rsid w:val="00B23CFE"/>
    <w:rsid w:val="00B33180"/>
    <w:rsid w:val="00B5560F"/>
    <w:rsid w:val="00B600C3"/>
    <w:rsid w:val="00B70F7A"/>
    <w:rsid w:val="00B73BB4"/>
    <w:rsid w:val="00B83B55"/>
    <w:rsid w:val="00B91F64"/>
    <w:rsid w:val="00BB22F5"/>
    <w:rsid w:val="00BE4379"/>
    <w:rsid w:val="00C0303D"/>
    <w:rsid w:val="00C21830"/>
    <w:rsid w:val="00C3095F"/>
    <w:rsid w:val="00C31440"/>
    <w:rsid w:val="00C4161E"/>
    <w:rsid w:val="00C71B66"/>
    <w:rsid w:val="00C865FF"/>
    <w:rsid w:val="00CA55EB"/>
    <w:rsid w:val="00CB380C"/>
    <w:rsid w:val="00CC02A2"/>
    <w:rsid w:val="00CE22EA"/>
    <w:rsid w:val="00CF2887"/>
    <w:rsid w:val="00D45804"/>
    <w:rsid w:val="00D465BE"/>
    <w:rsid w:val="00D46FB4"/>
    <w:rsid w:val="00D47CA6"/>
    <w:rsid w:val="00D76BBD"/>
    <w:rsid w:val="00D84B1E"/>
    <w:rsid w:val="00D92533"/>
    <w:rsid w:val="00DD0AD2"/>
    <w:rsid w:val="00E05865"/>
    <w:rsid w:val="00E102FC"/>
    <w:rsid w:val="00E2027D"/>
    <w:rsid w:val="00E25480"/>
    <w:rsid w:val="00E66E1A"/>
    <w:rsid w:val="00E7191E"/>
    <w:rsid w:val="00E73A70"/>
    <w:rsid w:val="00E95066"/>
    <w:rsid w:val="00EA52DA"/>
    <w:rsid w:val="00EB20D8"/>
    <w:rsid w:val="00EC5908"/>
    <w:rsid w:val="00ED2C92"/>
    <w:rsid w:val="00ED43BB"/>
    <w:rsid w:val="00F00644"/>
    <w:rsid w:val="00F10507"/>
    <w:rsid w:val="00F2643F"/>
    <w:rsid w:val="00F372E5"/>
    <w:rsid w:val="00F52937"/>
    <w:rsid w:val="00F547A3"/>
    <w:rsid w:val="00F703DE"/>
    <w:rsid w:val="00F85FB7"/>
    <w:rsid w:val="00F90453"/>
    <w:rsid w:val="00F921C0"/>
    <w:rsid w:val="00F92F45"/>
    <w:rsid w:val="00FA7965"/>
    <w:rsid w:val="00FB4DA0"/>
    <w:rsid w:val="00FE052A"/>
    <w:rsid w:val="00FE4D5E"/>
    <w:rsid w:val="00FF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2FCC5"/>
  <w15:chartTrackingRefBased/>
  <w15:docId w15:val="{2C12D8C6-CADE-48CF-BF69-569B7236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92E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937E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E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E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EB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EB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E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E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E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E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7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7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7EB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7EB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7EB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7E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7E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7E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7E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7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7E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7E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7E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7E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7E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7E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7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7E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7EB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2292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B098F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4D6B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4D6B59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4D6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4D6B59"/>
    <w:rPr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054E0"/>
    <w:pPr>
      <w:snapToGrid w:val="0"/>
      <w:jc w:val="left"/>
    </w:pPr>
    <w:rPr>
      <w:sz w:val="18"/>
      <w:szCs w:val="18"/>
    </w:rPr>
  </w:style>
  <w:style w:type="character" w:customStyle="1" w:styleId="af5">
    <w:name w:val="脚注文本 字符"/>
    <w:basedOn w:val="a0"/>
    <w:link w:val="af4"/>
    <w:uiPriority w:val="99"/>
    <w:semiHidden/>
    <w:rsid w:val="009054E0"/>
    <w:rPr>
      <w:sz w:val="18"/>
      <w:szCs w:val="18"/>
    </w:rPr>
  </w:style>
  <w:style w:type="character" w:styleId="af6">
    <w:name w:val="line number"/>
    <w:basedOn w:val="a0"/>
    <w:uiPriority w:val="99"/>
    <w:semiHidden/>
    <w:unhideWhenUsed/>
    <w:rsid w:val="00F92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eweizn@smu.edu.cn" TargetMode="External"/><Relationship Id="rId13" Type="http://schemas.openxmlformats.org/officeDocument/2006/relationships/image" Target="media/image5.tiff"/><Relationship Id="rId3" Type="http://schemas.openxmlformats.org/officeDocument/2006/relationships/settings" Target="settings.xml"/><Relationship Id="rId7" Type="http://schemas.openxmlformats.org/officeDocument/2006/relationships/hyperlink" Target="mailto:liangxiaoshan@smu.edu.cn" TargetMode="Externa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2A4A5-4FC9-45EB-A66C-26BFAE53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12</Pages>
  <Words>1769</Words>
  <Characters>10085</Characters>
  <Application>Microsoft Office Word</Application>
  <DocSecurity>0</DocSecurity>
  <Lines>84</Lines>
  <Paragraphs>23</Paragraphs>
  <ScaleCrop>false</ScaleCrop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XIAOTAO LIANG</dc:creator>
  <cp:keywords/>
  <dc:description>NE.Ref</dc:description>
  <cp:lastModifiedBy>XIAOTAO LIANG</cp:lastModifiedBy>
  <cp:revision>81</cp:revision>
  <dcterms:created xsi:type="dcterms:W3CDTF">2025-09-08T09:31:00Z</dcterms:created>
  <dcterms:modified xsi:type="dcterms:W3CDTF">2026-07-07T10:41:00Z</dcterms:modified>
</cp:coreProperties>
</file>