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E047F" w14:textId="77777777" w:rsidR="004431ED" w:rsidRPr="00562070" w:rsidRDefault="004431ED" w:rsidP="004431ED">
      <w:pPr>
        <w:pStyle w:val="berschrift1"/>
        <w:rPr>
          <w:b/>
          <w:lang w:val="en-US"/>
        </w:rPr>
      </w:pPr>
      <w:r>
        <w:rPr>
          <w:b/>
          <w:lang w:val="en-US"/>
        </w:rPr>
        <w:t xml:space="preserve">Supplement material: </w:t>
      </w:r>
      <w:r w:rsidRPr="00562070">
        <w:rPr>
          <w:b/>
          <w:lang w:val="en-US"/>
        </w:rPr>
        <w:t>Interictal burden in migraine: a systematic review of conceptual domains and measurement properties of instruments</w:t>
      </w:r>
    </w:p>
    <w:p w14:paraId="7E9F402B" w14:textId="77777777" w:rsidR="004431ED" w:rsidRDefault="004431ED" w:rsidP="004431ED">
      <w:pPr>
        <w:rPr>
          <w:b/>
          <w:lang w:val="en-US"/>
        </w:rPr>
      </w:pPr>
    </w:p>
    <w:p w14:paraId="3E6DAF20" w14:textId="77777777" w:rsidR="004431ED" w:rsidRPr="00C77B39" w:rsidRDefault="004431ED" w:rsidP="004431ED">
      <w:pPr>
        <w:rPr>
          <w:lang w:val="en-US"/>
        </w:rPr>
      </w:pPr>
      <w:r w:rsidRPr="00C77B39">
        <w:rPr>
          <w:b/>
          <w:lang w:val="en-US"/>
        </w:rPr>
        <w:t xml:space="preserve">Table </w:t>
      </w:r>
      <w:r>
        <w:rPr>
          <w:b/>
          <w:lang w:val="en-US"/>
        </w:rPr>
        <w:t>1</w:t>
      </w:r>
      <w:r w:rsidRPr="00C77B39">
        <w:rPr>
          <w:b/>
          <w:lang w:val="en-US"/>
        </w:rPr>
        <w:t>. Definitions of interictal burden reported across</w:t>
      </w:r>
      <w:r w:rsidR="00281A11">
        <w:rPr>
          <w:b/>
          <w:lang w:val="en-US"/>
        </w:rPr>
        <w:t xml:space="preserve"> </w:t>
      </w:r>
      <w:r w:rsidRPr="00C77B39">
        <w:rPr>
          <w:b/>
          <w:lang w:val="en-US"/>
        </w:rPr>
        <w:t>studies that provided an explicit definition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431ED" w:rsidRPr="003C64CE" w14:paraId="2DB2AF50" w14:textId="77777777" w:rsidTr="00390B73">
        <w:tc>
          <w:tcPr>
            <w:tcW w:w="4320" w:type="dxa"/>
          </w:tcPr>
          <w:p w14:paraId="10E4420F" w14:textId="77777777" w:rsidR="004431ED" w:rsidRPr="00C77B39" w:rsidRDefault="004431ED" w:rsidP="00390B73">
            <w:r w:rsidRPr="00C77B39">
              <w:rPr>
                <w:b/>
                <w:sz w:val="18"/>
              </w:rPr>
              <w:t xml:space="preserve">Study </w:t>
            </w:r>
          </w:p>
        </w:tc>
        <w:tc>
          <w:tcPr>
            <w:tcW w:w="4320" w:type="dxa"/>
          </w:tcPr>
          <w:p w14:paraId="1FC6EE5A" w14:textId="77777777" w:rsidR="004431ED" w:rsidRPr="00C77B39" w:rsidRDefault="004431ED" w:rsidP="00390B73">
            <w:r w:rsidRPr="00C77B39">
              <w:rPr>
                <w:b/>
                <w:sz w:val="18"/>
              </w:rPr>
              <w:t>Definition/Description of Interictal Burden</w:t>
            </w:r>
          </w:p>
        </w:tc>
      </w:tr>
      <w:tr w:rsidR="004431ED" w:rsidRPr="003C64CE" w14:paraId="651F1332" w14:textId="77777777" w:rsidTr="00390B73">
        <w:tc>
          <w:tcPr>
            <w:tcW w:w="4320" w:type="dxa"/>
          </w:tcPr>
          <w:p w14:paraId="3AFC67E1" w14:textId="77777777" w:rsidR="004431ED" w:rsidRPr="00C77B39" w:rsidRDefault="004431ED" w:rsidP="00390B73">
            <w:proofErr w:type="spellStart"/>
            <w:r w:rsidRPr="00C77B39">
              <w:rPr>
                <w:sz w:val="18"/>
              </w:rPr>
              <w:t>Argyriou</w:t>
            </w:r>
            <w:proofErr w:type="spellEnd"/>
            <w:r w:rsidRPr="00C77B39">
              <w:rPr>
                <w:sz w:val="18"/>
              </w:rPr>
              <w:t xml:space="preserve"> et al. 2024</w:t>
            </w:r>
          </w:p>
        </w:tc>
        <w:tc>
          <w:tcPr>
            <w:tcW w:w="4320" w:type="dxa"/>
          </w:tcPr>
          <w:p w14:paraId="0029F816" w14:textId="77777777" w:rsidR="004431ED" w:rsidRPr="00C77B39" w:rsidRDefault="004431ED" w:rsidP="00390B73">
            <w:r w:rsidRPr="00C77B39">
              <w:rPr>
                <w:sz w:val="18"/>
              </w:rPr>
              <w:t>Burden of disease between migraine attacks on the domains of patients' quality of life, including productivity, cognitive ability and psychosocial as well as emotional well-being</w:t>
            </w:r>
          </w:p>
        </w:tc>
      </w:tr>
      <w:tr w:rsidR="004431ED" w:rsidRPr="00C77B39" w14:paraId="58307C8E" w14:textId="77777777" w:rsidTr="00390B73">
        <w:tc>
          <w:tcPr>
            <w:tcW w:w="4320" w:type="dxa"/>
          </w:tcPr>
          <w:p w14:paraId="74304FA3" w14:textId="77777777" w:rsidR="004431ED" w:rsidRPr="00C77B39" w:rsidRDefault="004431ED" w:rsidP="00390B73">
            <w:proofErr w:type="spellStart"/>
            <w:r w:rsidRPr="00C77B39">
              <w:rPr>
                <w:sz w:val="18"/>
              </w:rPr>
              <w:t>Awaki</w:t>
            </w:r>
            <w:proofErr w:type="spellEnd"/>
            <w:r w:rsidRPr="00C77B39">
              <w:rPr>
                <w:sz w:val="18"/>
              </w:rPr>
              <w:t xml:space="preserve"> et al. 2024</w:t>
            </w:r>
          </w:p>
        </w:tc>
        <w:tc>
          <w:tcPr>
            <w:tcW w:w="4320" w:type="dxa"/>
          </w:tcPr>
          <w:p w14:paraId="7C6C0CB5" w14:textId="77777777" w:rsidR="004431ED" w:rsidRPr="00C77B39" w:rsidRDefault="004431ED" w:rsidP="00390B73">
            <w:r w:rsidRPr="00C77B39">
              <w:rPr>
                <w:sz w:val="18"/>
              </w:rPr>
              <w:t>Impairment between migraine attacks</w:t>
            </w:r>
          </w:p>
        </w:tc>
      </w:tr>
      <w:tr w:rsidR="004431ED" w:rsidRPr="003C64CE" w14:paraId="1F8EFAE7" w14:textId="77777777" w:rsidTr="00390B73">
        <w:tc>
          <w:tcPr>
            <w:tcW w:w="4320" w:type="dxa"/>
          </w:tcPr>
          <w:p w14:paraId="572736B7" w14:textId="77777777" w:rsidR="004431ED" w:rsidRPr="00C77B39" w:rsidRDefault="004431ED" w:rsidP="00390B73">
            <w:proofErr w:type="spellStart"/>
            <w:r w:rsidRPr="00C77B39">
              <w:rPr>
                <w:sz w:val="18"/>
              </w:rPr>
              <w:t>Barbanti</w:t>
            </w:r>
            <w:proofErr w:type="spellEnd"/>
            <w:r w:rsidRPr="00C77B39">
              <w:rPr>
                <w:sz w:val="18"/>
              </w:rPr>
              <w:t xml:space="preserve"> et al. 2025a</w:t>
            </w:r>
          </w:p>
        </w:tc>
        <w:tc>
          <w:tcPr>
            <w:tcW w:w="4320" w:type="dxa"/>
          </w:tcPr>
          <w:p w14:paraId="166AF03C" w14:textId="77777777" w:rsidR="004431ED" w:rsidRPr="00C77B39" w:rsidRDefault="004431ED" w:rsidP="00390B73">
            <w:r w:rsidRPr="00C77B39">
              <w:rPr>
                <w:sz w:val="18"/>
              </w:rPr>
              <w:t>Burden of migraine during headache-free periods, measured with the MIBS-4</w:t>
            </w:r>
          </w:p>
        </w:tc>
      </w:tr>
      <w:tr w:rsidR="004431ED" w:rsidRPr="003C64CE" w14:paraId="709B7750" w14:textId="77777777" w:rsidTr="00390B73">
        <w:tc>
          <w:tcPr>
            <w:tcW w:w="4320" w:type="dxa"/>
          </w:tcPr>
          <w:p w14:paraId="4B3C1FDF" w14:textId="77777777" w:rsidR="004431ED" w:rsidRPr="00C77B39" w:rsidRDefault="004431ED" w:rsidP="00390B73">
            <w:r w:rsidRPr="00C77B39">
              <w:rPr>
                <w:sz w:val="18"/>
              </w:rPr>
              <w:t>Buse et al. 2007</w:t>
            </w:r>
          </w:p>
        </w:tc>
        <w:tc>
          <w:tcPr>
            <w:tcW w:w="4320" w:type="dxa"/>
          </w:tcPr>
          <w:p w14:paraId="5C9F9171" w14:textId="77777777" w:rsidR="004431ED" w:rsidRPr="00C77B39" w:rsidRDefault="004431ED" w:rsidP="00390B73">
            <w:r w:rsidRPr="00C77B39">
              <w:rPr>
                <w:sz w:val="18"/>
              </w:rPr>
              <w:t>The burden of migraine between attacks including impairment in work/school, family/social life, difficulty making plans, emotional/cognitive distress</w:t>
            </w:r>
          </w:p>
        </w:tc>
      </w:tr>
      <w:tr w:rsidR="004431ED" w:rsidRPr="003C64CE" w14:paraId="16E97CC8" w14:textId="77777777" w:rsidTr="00390B73">
        <w:tc>
          <w:tcPr>
            <w:tcW w:w="4320" w:type="dxa"/>
          </w:tcPr>
          <w:p w14:paraId="173D1B0C" w14:textId="77777777" w:rsidR="004431ED" w:rsidRPr="00C77B39" w:rsidRDefault="004431ED" w:rsidP="00390B73">
            <w:r w:rsidRPr="00C77B39">
              <w:rPr>
                <w:sz w:val="18"/>
              </w:rPr>
              <w:t>Evers et al. 2024</w:t>
            </w:r>
          </w:p>
        </w:tc>
        <w:tc>
          <w:tcPr>
            <w:tcW w:w="4320" w:type="dxa"/>
          </w:tcPr>
          <w:p w14:paraId="1E434CE4" w14:textId="77777777" w:rsidR="004431ED" w:rsidRPr="00C77B39" w:rsidRDefault="004431ED" w:rsidP="00390B73">
            <w:r w:rsidRPr="00C77B39">
              <w:rPr>
                <w:sz w:val="18"/>
              </w:rPr>
              <w:t>Interictal burden and unpredictability of attacks can result in significant disruption to daily life</w:t>
            </w:r>
          </w:p>
        </w:tc>
      </w:tr>
      <w:tr w:rsidR="004431ED" w:rsidRPr="003C64CE" w14:paraId="1369E5D1" w14:textId="77777777" w:rsidTr="00390B73">
        <w:tc>
          <w:tcPr>
            <w:tcW w:w="4320" w:type="dxa"/>
          </w:tcPr>
          <w:p w14:paraId="1664AFBE" w14:textId="77777777" w:rsidR="004431ED" w:rsidRPr="00C77B39" w:rsidRDefault="00891C91" w:rsidP="00390B73">
            <w:r w:rsidRPr="00891C91">
              <w:rPr>
                <w:sz w:val="18"/>
              </w:rPr>
              <w:t>Garcia-</w:t>
            </w:r>
            <w:proofErr w:type="spellStart"/>
            <w:r w:rsidRPr="00891C91">
              <w:rPr>
                <w:sz w:val="18"/>
              </w:rPr>
              <w:t>Azorin</w:t>
            </w:r>
            <w:proofErr w:type="spellEnd"/>
            <w:r w:rsidRPr="00891C91">
              <w:rPr>
                <w:sz w:val="18"/>
              </w:rPr>
              <w:t xml:space="preserve"> et al. 2020</w:t>
            </w:r>
          </w:p>
        </w:tc>
        <w:tc>
          <w:tcPr>
            <w:tcW w:w="4320" w:type="dxa"/>
          </w:tcPr>
          <w:p w14:paraId="2FB6D082" w14:textId="77777777" w:rsidR="004431ED" w:rsidRPr="00C77B39" w:rsidRDefault="004431ED" w:rsidP="00390B73">
            <w:r w:rsidRPr="00C77B39">
              <w:rPr>
                <w:sz w:val="18"/>
              </w:rPr>
              <w:t>The disruptive effects of migraine occur both during attacks (ictal) and between attacks (interictal), affecting work, school, family, and social life</w:t>
            </w:r>
          </w:p>
        </w:tc>
      </w:tr>
      <w:tr w:rsidR="004431ED" w:rsidRPr="003C64CE" w14:paraId="2C321EF6" w14:textId="77777777" w:rsidTr="00390B73">
        <w:tc>
          <w:tcPr>
            <w:tcW w:w="4320" w:type="dxa"/>
          </w:tcPr>
          <w:p w14:paraId="60A24D8D" w14:textId="77777777" w:rsidR="004431ED" w:rsidRPr="00C77B39" w:rsidRDefault="00891C91" w:rsidP="00390B73">
            <w:proofErr w:type="spellStart"/>
            <w:r w:rsidRPr="00891C91">
              <w:rPr>
                <w:sz w:val="18"/>
              </w:rPr>
              <w:t>Kaske</w:t>
            </w:r>
            <w:proofErr w:type="spellEnd"/>
            <w:r w:rsidRPr="00891C91">
              <w:rPr>
                <w:sz w:val="18"/>
              </w:rPr>
              <w:t xml:space="preserve"> et al. 2025</w:t>
            </w:r>
          </w:p>
        </w:tc>
        <w:tc>
          <w:tcPr>
            <w:tcW w:w="4320" w:type="dxa"/>
          </w:tcPr>
          <w:p w14:paraId="4D861721" w14:textId="77777777" w:rsidR="004431ED" w:rsidRPr="00C77B39" w:rsidRDefault="004431ED" w:rsidP="00390B73">
            <w:r w:rsidRPr="00C77B39">
              <w:rPr>
                <w:sz w:val="18"/>
              </w:rPr>
              <w:t>Fear of attacks as component of interictal burden; anticipatory anxiety about next migraine attack</w:t>
            </w:r>
          </w:p>
        </w:tc>
      </w:tr>
      <w:tr w:rsidR="004431ED" w:rsidRPr="003C64CE" w14:paraId="77ECB872" w14:textId="77777777" w:rsidTr="00390B73">
        <w:tc>
          <w:tcPr>
            <w:tcW w:w="4320" w:type="dxa"/>
          </w:tcPr>
          <w:p w14:paraId="19DA9245" w14:textId="77777777" w:rsidR="004431ED" w:rsidRPr="00C77B39" w:rsidRDefault="004431ED" w:rsidP="00390B73">
            <w:r w:rsidRPr="00C77B39">
              <w:rPr>
                <w:sz w:val="18"/>
              </w:rPr>
              <w:t>Hashimoto et al. 2025</w:t>
            </w:r>
          </w:p>
        </w:tc>
        <w:tc>
          <w:tcPr>
            <w:tcW w:w="4320" w:type="dxa"/>
          </w:tcPr>
          <w:p w14:paraId="712A1ECE" w14:textId="77777777" w:rsidR="004431ED" w:rsidRPr="00C77B39" w:rsidRDefault="004431ED" w:rsidP="00390B73">
            <w:r w:rsidRPr="00C77B39">
              <w:rPr>
                <w:sz w:val="18"/>
              </w:rPr>
              <w:t>Interictal disability including difficulties in maintaining work productivity, social participation, or family responsibilities</w:t>
            </w:r>
          </w:p>
        </w:tc>
      </w:tr>
      <w:tr w:rsidR="004431ED" w:rsidRPr="003C64CE" w14:paraId="4B2F8C7E" w14:textId="77777777" w:rsidTr="00390B73">
        <w:tc>
          <w:tcPr>
            <w:tcW w:w="4320" w:type="dxa"/>
          </w:tcPr>
          <w:p w14:paraId="4F6CF81B" w14:textId="77777777" w:rsidR="004431ED" w:rsidRPr="00C77B39" w:rsidRDefault="004431ED" w:rsidP="00390B73">
            <w:proofErr w:type="spellStart"/>
            <w:r w:rsidRPr="00C77B39">
              <w:rPr>
                <w:sz w:val="18"/>
              </w:rPr>
              <w:t>Hubig</w:t>
            </w:r>
            <w:proofErr w:type="spellEnd"/>
            <w:r w:rsidRPr="00C77B39">
              <w:rPr>
                <w:sz w:val="18"/>
              </w:rPr>
              <w:t xml:space="preserve"> et al. 2022</w:t>
            </w:r>
          </w:p>
        </w:tc>
        <w:tc>
          <w:tcPr>
            <w:tcW w:w="4320" w:type="dxa"/>
          </w:tcPr>
          <w:p w14:paraId="2277060B" w14:textId="77777777" w:rsidR="004431ED" w:rsidRPr="00C77B39" w:rsidRDefault="004431ED" w:rsidP="00390B73">
            <w:r w:rsidRPr="00C77B39">
              <w:rPr>
                <w:sz w:val="18"/>
              </w:rPr>
              <w:t>The impact of migraine on migraine-free days (interictal)</w:t>
            </w:r>
          </w:p>
        </w:tc>
      </w:tr>
      <w:tr w:rsidR="004431ED" w:rsidRPr="003C64CE" w14:paraId="21A5668D" w14:textId="77777777" w:rsidTr="00390B73">
        <w:tc>
          <w:tcPr>
            <w:tcW w:w="4320" w:type="dxa"/>
          </w:tcPr>
          <w:p w14:paraId="7A2D95F6" w14:textId="77777777" w:rsidR="004431ED" w:rsidRPr="00C77B39" w:rsidRDefault="004431ED" w:rsidP="00390B73">
            <w:r w:rsidRPr="00C77B39">
              <w:rPr>
                <w:sz w:val="18"/>
              </w:rPr>
              <w:t>Igarashi et al. 2023</w:t>
            </w:r>
          </w:p>
        </w:tc>
        <w:tc>
          <w:tcPr>
            <w:tcW w:w="4320" w:type="dxa"/>
          </w:tcPr>
          <w:p w14:paraId="41DEF68D" w14:textId="77777777" w:rsidR="004431ED" w:rsidRPr="00C77B39" w:rsidRDefault="004431ED" w:rsidP="00390B73">
            <w:r w:rsidRPr="00C77B39">
              <w:rPr>
                <w:sz w:val="18"/>
              </w:rPr>
              <w:t>Higher levels of burden between migraines</w:t>
            </w:r>
          </w:p>
        </w:tc>
      </w:tr>
      <w:tr w:rsidR="004431ED" w:rsidRPr="003C64CE" w14:paraId="25D4DD6A" w14:textId="77777777" w:rsidTr="00390B73">
        <w:tc>
          <w:tcPr>
            <w:tcW w:w="4320" w:type="dxa"/>
          </w:tcPr>
          <w:p w14:paraId="615BF534" w14:textId="77777777" w:rsidR="004431ED" w:rsidRPr="00C77B39" w:rsidRDefault="004431ED" w:rsidP="00390B73">
            <w:proofErr w:type="spellStart"/>
            <w:r w:rsidRPr="00C77B39">
              <w:rPr>
                <w:sz w:val="18"/>
              </w:rPr>
              <w:t>Lampl</w:t>
            </w:r>
            <w:proofErr w:type="spellEnd"/>
            <w:r w:rsidRPr="00C77B39">
              <w:rPr>
                <w:sz w:val="18"/>
              </w:rPr>
              <w:t xml:space="preserve"> et al. 2016</w:t>
            </w:r>
          </w:p>
        </w:tc>
        <w:tc>
          <w:tcPr>
            <w:tcW w:w="4320" w:type="dxa"/>
          </w:tcPr>
          <w:p w14:paraId="1FDABEC2" w14:textId="77777777" w:rsidR="004431ED" w:rsidRPr="00C77B39" w:rsidRDefault="004431ED" w:rsidP="00390B73">
            <w:r w:rsidRPr="00C77B39">
              <w:rPr>
                <w:sz w:val="18"/>
              </w:rPr>
              <w:t>Symptoms between headache attacks including anxiety, avoidance behavior, and cumulative life-course burden (education, career, earnings)</w:t>
            </w:r>
          </w:p>
        </w:tc>
      </w:tr>
      <w:tr w:rsidR="004431ED" w:rsidRPr="003C64CE" w14:paraId="5D3CD6C2" w14:textId="77777777" w:rsidTr="00390B73">
        <w:tc>
          <w:tcPr>
            <w:tcW w:w="4320" w:type="dxa"/>
          </w:tcPr>
          <w:p w14:paraId="723EE32D" w14:textId="77777777" w:rsidR="004431ED" w:rsidRPr="00C77B39" w:rsidRDefault="004431ED" w:rsidP="00390B73">
            <w:proofErr w:type="spellStart"/>
            <w:r w:rsidRPr="00C77B39">
              <w:rPr>
                <w:sz w:val="18"/>
              </w:rPr>
              <w:t>Lampl</w:t>
            </w:r>
            <w:proofErr w:type="spellEnd"/>
            <w:r w:rsidRPr="00C77B39">
              <w:rPr>
                <w:sz w:val="18"/>
              </w:rPr>
              <w:t xml:space="preserve"> et al. 2024</w:t>
            </w:r>
          </w:p>
        </w:tc>
        <w:tc>
          <w:tcPr>
            <w:tcW w:w="4320" w:type="dxa"/>
          </w:tcPr>
          <w:p w14:paraId="719E33F9" w14:textId="77777777" w:rsidR="004431ED" w:rsidRPr="00C77B39" w:rsidRDefault="004431ED" w:rsidP="00390B73">
            <w:r w:rsidRPr="00C77B39">
              <w:rPr>
                <w:sz w:val="18"/>
              </w:rPr>
              <w:t>The total burden of migraine includes not only the episodes with headache pain but extends throughout the interictal periods</w:t>
            </w:r>
          </w:p>
        </w:tc>
      </w:tr>
      <w:tr w:rsidR="004431ED" w:rsidRPr="003C64CE" w14:paraId="23D7215D" w14:textId="77777777" w:rsidTr="00390B73">
        <w:tc>
          <w:tcPr>
            <w:tcW w:w="4320" w:type="dxa"/>
          </w:tcPr>
          <w:p w14:paraId="0207C1B3" w14:textId="77777777" w:rsidR="004431ED" w:rsidRPr="00C77B39" w:rsidRDefault="004431ED" w:rsidP="00390B73">
            <w:r w:rsidRPr="00C77B39">
              <w:rPr>
                <w:sz w:val="18"/>
              </w:rPr>
              <w:t>Lipton et al. 2023</w:t>
            </w:r>
          </w:p>
        </w:tc>
        <w:tc>
          <w:tcPr>
            <w:tcW w:w="4320" w:type="dxa"/>
          </w:tcPr>
          <w:p w14:paraId="7E9E8EBF" w14:textId="77777777" w:rsidR="004431ED" w:rsidRPr="00C77B39" w:rsidRDefault="004431ED" w:rsidP="00390B73">
            <w:r w:rsidRPr="00C77B39">
              <w:rPr>
                <w:sz w:val="18"/>
              </w:rPr>
              <w:t>The disruptive effects of migraine occur both during attacks (ictal) and between attacks (interictal), affecting work, school, family, and social life</w:t>
            </w:r>
          </w:p>
        </w:tc>
      </w:tr>
      <w:tr w:rsidR="004431ED" w:rsidRPr="003C64CE" w14:paraId="2EA8A53D" w14:textId="77777777" w:rsidTr="00390B73">
        <w:tc>
          <w:tcPr>
            <w:tcW w:w="4320" w:type="dxa"/>
          </w:tcPr>
          <w:p w14:paraId="0F27AD74" w14:textId="77777777" w:rsidR="004431ED" w:rsidRPr="00C77B39" w:rsidRDefault="004431ED" w:rsidP="00390B73">
            <w:proofErr w:type="spellStart"/>
            <w:r w:rsidRPr="00C77B39">
              <w:rPr>
                <w:sz w:val="18"/>
              </w:rPr>
              <w:t>Malheiro</w:t>
            </w:r>
            <w:proofErr w:type="spellEnd"/>
            <w:r w:rsidRPr="00C77B39">
              <w:rPr>
                <w:sz w:val="18"/>
              </w:rPr>
              <w:t xml:space="preserve"> et al. 2025</w:t>
            </w:r>
          </w:p>
        </w:tc>
        <w:tc>
          <w:tcPr>
            <w:tcW w:w="4320" w:type="dxa"/>
          </w:tcPr>
          <w:p w14:paraId="0035E541" w14:textId="77777777" w:rsidR="004431ED" w:rsidRPr="00C77B39" w:rsidRDefault="004431ED" w:rsidP="00390B73">
            <w:r w:rsidRPr="00C77B39">
              <w:rPr>
                <w:sz w:val="18"/>
              </w:rPr>
              <w:t>Impairment between migraine episodes, frequently overlooked compared to attack frequency and intensity</w:t>
            </w:r>
          </w:p>
        </w:tc>
      </w:tr>
      <w:tr w:rsidR="004431ED" w:rsidRPr="003C64CE" w14:paraId="37BC6DBC" w14:textId="77777777" w:rsidTr="00390B73">
        <w:tc>
          <w:tcPr>
            <w:tcW w:w="4320" w:type="dxa"/>
          </w:tcPr>
          <w:p w14:paraId="16D7D89A" w14:textId="77777777" w:rsidR="004431ED" w:rsidRPr="00C77B39" w:rsidRDefault="004431ED" w:rsidP="00390B73">
            <w:proofErr w:type="spellStart"/>
            <w:r w:rsidRPr="00C77B39">
              <w:rPr>
                <w:sz w:val="18"/>
              </w:rPr>
              <w:lastRenderedPageBreak/>
              <w:t>Matsumori</w:t>
            </w:r>
            <w:proofErr w:type="spellEnd"/>
            <w:r w:rsidRPr="00C77B39">
              <w:rPr>
                <w:sz w:val="18"/>
              </w:rPr>
              <w:t xml:space="preserve"> et al. 2022</w:t>
            </w:r>
          </w:p>
        </w:tc>
        <w:tc>
          <w:tcPr>
            <w:tcW w:w="4320" w:type="dxa"/>
          </w:tcPr>
          <w:p w14:paraId="719D39B9" w14:textId="77777777" w:rsidR="004431ED" w:rsidRPr="00C77B39" w:rsidRDefault="004431ED" w:rsidP="00390B73">
            <w:r w:rsidRPr="00C77B39">
              <w:rPr>
                <w:sz w:val="18"/>
              </w:rPr>
              <w:t>Burden related to migraine in the time between attacks, including disruption at work and school, diminished family and social life, difficulty planning, and emotional difficulty</w:t>
            </w:r>
          </w:p>
        </w:tc>
      </w:tr>
      <w:tr w:rsidR="004431ED" w:rsidRPr="003C64CE" w14:paraId="4E866D9B" w14:textId="77777777" w:rsidTr="00390B73">
        <w:tc>
          <w:tcPr>
            <w:tcW w:w="4320" w:type="dxa"/>
          </w:tcPr>
          <w:p w14:paraId="52CAA521" w14:textId="77777777" w:rsidR="004431ED" w:rsidRPr="00C77B39" w:rsidRDefault="004431ED" w:rsidP="00390B73">
            <w:r w:rsidRPr="00C77B39">
              <w:rPr>
                <w:sz w:val="18"/>
              </w:rPr>
              <w:t>Pascual et al. 2023</w:t>
            </w:r>
          </w:p>
        </w:tc>
        <w:tc>
          <w:tcPr>
            <w:tcW w:w="4320" w:type="dxa"/>
          </w:tcPr>
          <w:p w14:paraId="432DC90A" w14:textId="77777777" w:rsidR="004431ED" w:rsidRPr="00C77B39" w:rsidRDefault="004431ED" w:rsidP="00390B73">
            <w:r w:rsidRPr="00C77B39">
              <w:rPr>
                <w:sz w:val="18"/>
              </w:rPr>
              <w:t>Burden related to headache between attacks, measured by the MIBS-4</w:t>
            </w:r>
          </w:p>
        </w:tc>
      </w:tr>
      <w:tr w:rsidR="004431ED" w:rsidRPr="003C64CE" w14:paraId="7C8DE4EB" w14:textId="77777777" w:rsidTr="00390B73">
        <w:tc>
          <w:tcPr>
            <w:tcW w:w="4320" w:type="dxa"/>
          </w:tcPr>
          <w:p w14:paraId="1627BF82" w14:textId="77777777" w:rsidR="004431ED" w:rsidRPr="00C77B39" w:rsidRDefault="004431ED" w:rsidP="00390B73">
            <w:r w:rsidRPr="00C77B39">
              <w:rPr>
                <w:sz w:val="18"/>
              </w:rPr>
              <w:t>Sánchez-Huertas et al. 2025</w:t>
            </w:r>
          </w:p>
        </w:tc>
        <w:tc>
          <w:tcPr>
            <w:tcW w:w="4320" w:type="dxa"/>
          </w:tcPr>
          <w:p w14:paraId="0DEA9CCC" w14:textId="77777777" w:rsidR="004431ED" w:rsidRPr="00C77B39" w:rsidRDefault="004431ED" w:rsidP="00390B73">
            <w:r w:rsidRPr="00C77B39">
              <w:rPr>
                <w:sz w:val="18"/>
              </w:rPr>
              <w:t>Symptoms and impairments between migraine attacks, including cognitive dysfunction, photophobia, and fatigue</w:t>
            </w:r>
          </w:p>
        </w:tc>
      </w:tr>
      <w:tr w:rsidR="004431ED" w:rsidRPr="003C64CE" w14:paraId="22F41123" w14:textId="77777777" w:rsidTr="00390B73">
        <w:tc>
          <w:tcPr>
            <w:tcW w:w="4320" w:type="dxa"/>
          </w:tcPr>
          <w:p w14:paraId="6A940F05" w14:textId="77777777" w:rsidR="004431ED" w:rsidRPr="00C77B39" w:rsidRDefault="004431ED" w:rsidP="00390B73">
            <w:r w:rsidRPr="00C77B39">
              <w:rPr>
                <w:sz w:val="18"/>
              </w:rPr>
              <w:t>Sarkar et al. 2025</w:t>
            </w:r>
          </w:p>
        </w:tc>
        <w:tc>
          <w:tcPr>
            <w:tcW w:w="4320" w:type="dxa"/>
          </w:tcPr>
          <w:p w14:paraId="4D111233" w14:textId="77777777" w:rsidR="004431ED" w:rsidRPr="00C77B39" w:rsidRDefault="004431ED" w:rsidP="00390B73">
            <w:r w:rsidRPr="00C77B39">
              <w:rPr>
                <w:sz w:val="18"/>
              </w:rPr>
              <w:t>Impact on both disability during and between attacks, assessed by MIBS</w:t>
            </w:r>
          </w:p>
        </w:tc>
      </w:tr>
      <w:tr w:rsidR="004431ED" w:rsidRPr="003C64CE" w14:paraId="7AD57D28" w14:textId="77777777" w:rsidTr="00390B73">
        <w:tc>
          <w:tcPr>
            <w:tcW w:w="4320" w:type="dxa"/>
          </w:tcPr>
          <w:p w14:paraId="084220B1" w14:textId="77777777" w:rsidR="004431ED" w:rsidRPr="00C77B39" w:rsidRDefault="004431ED" w:rsidP="00390B73">
            <w:r w:rsidRPr="00C77B39">
              <w:rPr>
                <w:sz w:val="18"/>
              </w:rPr>
              <w:t>Shapiro et al. 2024a</w:t>
            </w:r>
          </w:p>
        </w:tc>
        <w:tc>
          <w:tcPr>
            <w:tcW w:w="4320" w:type="dxa"/>
          </w:tcPr>
          <w:p w14:paraId="6BECE9E2" w14:textId="77777777" w:rsidR="004431ED" w:rsidRPr="00C77B39" w:rsidRDefault="004431ED" w:rsidP="00390B73">
            <w:r w:rsidRPr="00C77B39">
              <w:rPr>
                <w:sz w:val="18"/>
              </w:rPr>
              <w:t>Burden of migraine between attacks, assessed on days without migraine across four domains: impairment in work/school, social/leisure planning, life impact on headache-free days, and emotional/cognitive distress</w:t>
            </w:r>
          </w:p>
        </w:tc>
      </w:tr>
      <w:tr w:rsidR="004431ED" w:rsidRPr="003C64CE" w14:paraId="4C0F5555" w14:textId="77777777" w:rsidTr="00390B73">
        <w:tc>
          <w:tcPr>
            <w:tcW w:w="4320" w:type="dxa"/>
          </w:tcPr>
          <w:p w14:paraId="6B2F63AF" w14:textId="77777777" w:rsidR="004431ED" w:rsidRPr="00C77B39" w:rsidRDefault="004431ED" w:rsidP="00390B73">
            <w:proofErr w:type="spellStart"/>
            <w:r w:rsidRPr="00C77B39">
              <w:rPr>
                <w:sz w:val="18"/>
              </w:rPr>
              <w:t>Sotero</w:t>
            </w:r>
            <w:proofErr w:type="spellEnd"/>
            <w:r w:rsidRPr="00C77B39">
              <w:rPr>
                <w:sz w:val="18"/>
              </w:rPr>
              <w:t xml:space="preserve"> et al. 2025</w:t>
            </w:r>
          </w:p>
        </w:tc>
        <w:tc>
          <w:tcPr>
            <w:tcW w:w="4320" w:type="dxa"/>
          </w:tcPr>
          <w:p w14:paraId="14103008" w14:textId="77777777" w:rsidR="004431ED" w:rsidRPr="00C77B39" w:rsidRDefault="004431ED" w:rsidP="00390B73">
            <w:r w:rsidRPr="00C77B39">
              <w:rPr>
                <w:sz w:val="18"/>
              </w:rPr>
              <w:t>The interictal burden of migraine encompasses the overall impact of the disease between migraine episodes</w:t>
            </w:r>
          </w:p>
        </w:tc>
      </w:tr>
      <w:tr w:rsidR="004431ED" w:rsidRPr="003C64CE" w14:paraId="6A9018AD" w14:textId="77777777" w:rsidTr="00390B73">
        <w:tc>
          <w:tcPr>
            <w:tcW w:w="4320" w:type="dxa"/>
          </w:tcPr>
          <w:p w14:paraId="03498117" w14:textId="77777777" w:rsidR="004431ED" w:rsidRPr="00C77B39" w:rsidRDefault="004431ED" w:rsidP="00390B73">
            <w:r w:rsidRPr="00C77B39">
              <w:rPr>
                <w:sz w:val="18"/>
              </w:rPr>
              <w:t>Takizawa et al. 2025a</w:t>
            </w:r>
          </w:p>
        </w:tc>
        <w:tc>
          <w:tcPr>
            <w:tcW w:w="4320" w:type="dxa"/>
          </w:tcPr>
          <w:p w14:paraId="35E9EF5A" w14:textId="77777777" w:rsidR="004431ED" w:rsidRPr="00C77B39" w:rsidRDefault="004431ED" w:rsidP="00390B73">
            <w:r w:rsidRPr="00C77B39">
              <w:rPr>
                <w:sz w:val="18"/>
              </w:rPr>
              <w:t>Burdens between headaches (interictal period) negatively affect multiple aspects of daily life independently of the impact of headaches</w:t>
            </w:r>
          </w:p>
        </w:tc>
      </w:tr>
    </w:tbl>
    <w:p w14:paraId="350F928B" w14:textId="77777777" w:rsidR="00891C91" w:rsidRDefault="00891C91" w:rsidP="004431ED">
      <w:pPr>
        <w:rPr>
          <w:lang w:val="en-US"/>
        </w:rPr>
      </w:pPr>
    </w:p>
    <w:p w14:paraId="3175B557" w14:textId="77777777" w:rsidR="004431ED" w:rsidRPr="00C77B39" w:rsidRDefault="00891C91" w:rsidP="004431ED">
      <w:pPr>
        <w:rPr>
          <w:lang w:val="en-US"/>
        </w:rPr>
      </w:pPr>
      <w:r>
        <w:rPr>
          <w:lang w:val="en-US"/>
        </w:rPr>
        <w:br w:type="page"/>
      </w:r>
    </w:p>
    <w:p w14:paraId="0BBA9217" w14:textId="77777777" w:rsidR="004431ED" w:rsidRPr="00C77B39" w:rsidRDefault="004431ED" w:rsidP="004431ED">
      <w:pPr>
        <w:rPr>
          <w:lang w:val="en-US"/>
        </w:rPr>
      </w:pPr>
      <w:r w:rsidRPr="00C77B39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2</w:t>
      </w:r>
      <w:r w:rsidRPr="00C77B39">
        <w:rPr>
          <w:b/>
          <w:lang w:val="en-US"/>
        </w:rPr>
        <w:t>. Study-level mapping of interictal burden conceptual domain coverage</w:t>
      </w:r>
    </w:p>
    <w:p w14:paraId="5E935565" w14:textId="77777777" w:rsidR="00424517" w:rsidRPr="00424517" w:rsidRDefault="00424517" w:rsidP="00424517">
      <w:pPr>
        <w:spacing w:after="200" w:line="276" w:lineRule="auto"/>
        <w:jc w:val="left"/>
        <w:rPr>
          <w:rFonts w:eastAsia="MS Mincho" w:cs="Times New Roman"/>
          <w:sz w:val="20"/>
          <w:lang w:val="en-US"/>
        </w:rPr>
      </w:pPr>
      <w:r w:rsidRPr="00424517">
        <w:rPr>
          <w:rFonts w:eastAsia="MS Mincho" w:cs="Times New Roman"/>
          <w:b/>
          <w:sz w:val="20"/>
          <w:lang w:val="en-US"/>
        </w:rPr>
        <w:t>Study-level mapping of interictal burden conceptual domain coverage across 29 included studies.</w:t>
      </w:r>
    </w:p>
    <w:tbl>
      <w:tblPr>
        <w:tblStyle w:val="Tabellenraster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73"/>
        <w:gridCol w:w="590"/>
        <w:gridCol w:w="940"/>
        <w:gridCol w:w="972"/>
        <w:gridCol w:w="831"/>
        <w:gridCol w:w="1080"/>
        <w:gridCol w:w="965"/>
        <w:gridCol w:w="865"/>
        <w:gridCol w:w="865"/>
        <w:gridCol w:w="1081"/>
      </w:tblGrid>
      <w:tr w:rsidR="00424517" w:rsidRPr="00424517" w14:paraId="3E15AC1A" w14:textId="77777777" w:rsidTr="00424517">
        <w:trPr>
          <w:trHeight w:val="60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F2C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Study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D75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Year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5D9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Instrument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C8D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Functional</w:t>
            </w:r>
            <w:r w:rsidRPr="00424517">
              <w:rPr>
                <w:rFonts w:eastAsia="MS Mincho"/>
                <w:b/>
                <w:sz w:val="18"/>
                <w:szCs w:val="18"/>
              </w:rPr>
              <w:br/>
              <w:t>impairment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CF8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Social and</w:t>
            </w:r>
            <w:r w:rsidRPr="00424517">
              <w:rPr>
                <w:rFonts w:eastAsia="MS Mincho"/>
                <w:b/>
                <w:sz w:val="18"/>
                <w:szCs w:val="18"/>
              </w:rPr>
              <w:br/>
              <w:t>relational impact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2558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Psychological and</w:t>
            </w:r>
            <w:r w:rsidRPr="00424517">
              <w:rPr>
                <w:rFonts w:eastAsia="MS Mincho"/>
                <w:b/>
                <w:sz w:val="18"/>
                <w:szCs w:val="18"/>
              </w:rPr>
              <w:br/>
              <w:t>emotional distress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568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Cognitive</w:t>
            </w:r>
            <w:r w:rsidRPr="00424517">
              <w:rPr>
                <w:rFonts w:eastAsia="MS Mincho"/>
                <w:b/>
                <w:sz w:val="18"/>
                <w:szCs w:val="18"/>
              </w:rPr>
              <w:br/>
              <w:t>dysfunction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E77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Sensory</w:t>
            </w:r>
            <w:r w:rsidRPr="00424517">
              <w:rPr>
                <w:rFonts w:eastAsia="MS Mincho"/>
                <w:b/>
                <w:sz w:val="18"/>
                <w:szCs w:val="18"/>
              </w:rPr>
              <w:br/>
              <w:t>symptoms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995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Physical</w:t>
            </w:r>
            <w:r w:rsidRPr="00424517">
              <w:rPr>
                <w:rFonts w:eastAsia="MS Mincho"/>
                <w:b/>
                <w:sz w:val="18"/>
                <w:szCs w:val="18"/>
              </w:rPr>
              <w:br/>
              <w:t>symptoms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B78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Behavioral</w:t>
            </w:r>
            <w:r w:rsidRPr="00424517">
              <w:rPr>
                <w:rFonts w:eastAsia="MS Mincho"/>
                <w:b/>
                <w:sz w:val="18"/>
                <w:szCs w:val="18"/>
              </w:rPr>
              <w:br/>
              <w:t>modifications</w:t>
            </w:r>
          </w:p>
        </w:tc>
      </w:tr>
      <w:tr w:rsidR="00424517" w:rsidRPr="00424517" w14:paraId="7EB6A672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2BFF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Argyriou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CB92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9C7F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82B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54E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8C9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531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9C7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C97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6E7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18078E3F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58FA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proofErr w:type="spellStart"/>
            <w:r w:rsidRPr="00424517">
              <w:rPr>
                <w:rFonts w:eastAsia="MS Mincho"/>
                <w:sz w:val="18"/>
                <w:szCs w:val="18"/>
              </w:rPr>
              <w:t>Awaki</w:t>
            </w:r>
            <w:proofErr w:type="spellEnd"/>
            <w:r w:rsidRPr="00424517">
              <w:rPr>
                <w:rFonts w:eastAsia="MS Mincho"/>
                <w:sz w:val="18"/>
                <w:szCs w:val="18"/>
              </w:rPr>
              <w:t xml:space="preserve">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4883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8D53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8AC8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0E7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F0E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CFA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F07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F06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431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18E97F72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D123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proofErr w:type="spellStart"/>
            <w:r w:rsidRPr="00424517">
              <w:rPr>
                <w:rFonts w:eastAsia="MS Mincho"/>
                <w:sz w:val="18"/>
                <w:szCs w:val="18"/>
              </w:rPr>
              <w:t>Barbanti</w:t>
            </w:r>
            <w:proofErr w:type="spellEnd"/>
            <w:r w:rsidRPr="00424517">
              <w:rPr>
                <w:rFonts w:eastAsia="MS Mincho"/>
                <w:sz w:val="18"/>
                <w:szCs w:val="18"/>
              </w:rPr>
              <w:t xml:space="preserve">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2C25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47CE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84C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739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DD1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A90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087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D3C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B67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439D586B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0331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proofErr w:type="spellStart"/>
            <w:r w:rsidRPr="00424517">
              <w:rPr>
                <w:rFonts w:eastAsia="MS Mincho"/>
                <w:sz w:val="18"/>
                <w:szCs w:val="18"/>
              </w:rPr>
              <w:t>Barbanti</w:t>
            </w:r>
            <w:proofErr w:type="spellEnd"/>
            <w:r w:rsidRPr="00424517">
              <w:rPr>
                <w:rFonts w:eastAsia="MS Mincho"/>
                <w:sz w:val="18"/>
                <w:szCs w:val="18"/>
              </w:rPr>
              <w:t xml:space="preserve">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5348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BAE2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661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43A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EED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2B7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466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814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8DC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297EB754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CDE7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proofErr w:type="spellStart"/>
            <w:r w:rsidRPr="00424517">
              <w:rPr>
                <w:rFonts w:eastAsia="MS Mincho"/>
                <w:sz w:val="18"/>
                <w:szCs w:val="18"/>
              </w:rPr>
              <w:t>Barbanti</w:t>
            </w:r>
            <w:proofErr w:type="spellEnd"/>
            <w:r w:rsidRPr="00424517">
              <w:rPr>
                <w:rFonts w:eastAsia="MS Mincho"/>
                <w:sz w:val="18"/>
                <w:szCs w:val="18"/>
              </w:rPr>
              <w:t xml:space="preserve">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BFE8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2025b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E878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1E7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3B3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667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E99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C67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18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7A1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09FADAA4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D09A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Buse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A1E6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DB6E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F3D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242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AED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D45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AE3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DAF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CF6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</w:tr>
      <w:tr w:rsidR="00424517" w:rsidRPr="00424517" w14:paraId="6D523FD1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789A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Evers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A089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7386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A7A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B8E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BD9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9A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A9C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0D8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1D3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7ED8D319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1789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García-Azorín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97BF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3DF8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4D2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A6F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046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F55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7B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4B68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A0E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0F269CE2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58B9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Hashimoto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9324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8F10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417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28B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835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B90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6D1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3D1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492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00DA2706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436C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proofErr w:type="spellStart"/>
            <w:r w:rsidRPr="00424517">
              <w:rPr>
                <w:rFonts w:eastAsia="MS Mincho"/>
                <w:sz w:val="18"/>
                <w:szCs w:val="18"/>
              </w:rPr>
              <w:t>Hubig</w:t>
            </w:r>
            <w:proofErr w:type="spellEnd"/>
            <w:r w:rsidRPr="00424517">
              <w:rPr>
                <w:rFonts w:eastAsia="MS Mincho"/>
                <w:sz w:val="18"/>
                <w:szCs w:val="18"/>
              </w:rPr>
              <w:t xml:space="preserve">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E5A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6D8D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7F4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BF4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09B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D7B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968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62B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930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24DD200D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BC7D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Igarashi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E0CD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F22A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F8F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09E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D6D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832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ED2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81F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3B7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4D4DA611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4CF1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proofErr w:type="spellStart"/>
            <w:r w:rsidRPr="00424517">
              <w:rPr>
                <w:rFonts w:eastAsia="MS Mincho"/>
                <w:sz w:val="18"/>
                <w:szCs w:val="18"/>
              </w:rPr>
              <w:t>Karaci</w:t>
            </w:r>
            <w:proofErr w:type="spellEnd"/>
            <w:r w:rsidRPr="00424517">
              <w:rPr>
                <w:rFonts w:eastAsia="MS Mincho"/>
                <w:sz w:val="18"/>
                <w:szCs w:val="18"/>
              </w:rPr>
              <w:t xml:space="preserve">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9890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8C15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A4D8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DA8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02C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596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744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AA4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E06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7DA04C6D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64E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Kaske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C6CB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2606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FAMI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8A9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ED7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B8D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805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90C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E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6FA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5FD50570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E2BE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Klan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5149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5B8D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FAMI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F7C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790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64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3C2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83A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A0C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60C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</w:tr>
      <w:tr w:rsidR="00424517" w:rsidRPr="00424517" w14:paraId="1FBC5ECC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94A6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Lampl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5A8E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C08B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proofErr w:type="spellStart"/>
            <w:r w:rsidRPr="00424517">
              <w:rPr>
                <w:rFonts w:eastAsia="MS Mincho"/>
                <w:sz w:val="18"/>
                <w:szCs w:val="18"/>
              </w:rPr>
              <w:t>Eurolight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6ED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CA0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91A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C4B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E07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16F8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EFC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</w:tr>
      <w:tr w:rsidR="00424517" w:rsidRPr="00424517" w14:paraId="0D3BE530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6AFD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Lampl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2C34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7486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03E8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C33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9F9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68A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E35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CF6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893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62B65E2A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0F2B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Lipton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CF51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4971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46E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A18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912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9E1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CE6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82F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EC8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3EC6CE04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65C7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Malheiro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2D2E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05CB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0C8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1B7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994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15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5DB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006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883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22FFBCD4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3FD9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proofErr w:type="spellStart"/>
            <w:r w:rsidRPr="00424517">
              <w:rPr>
                <w:rFonts w:eastAsia="MS Mincho"/>
                <w:sz w:val="18"/>
                <w:szCs w:val="18"/>
              </w:rPr>
              <w:t>Matsumori</w:t>
            </w:r>
            <w:proofErr w:type="spellEnd"/>
            <w:r w:rsidRPr="00424517">
              <w:rPr>
                <w:rFonts w:eastAsia="MS Mincho"/>
                <w:sz w:val="18"/>
                <w:szCs w:val="18"/>
              </w:rPr>
              <w:t xml:space="preserve">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6437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598A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C88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517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F53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8D1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393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0A1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026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</w:tr>
      <w:tr w:rsidR="00424517" w:rsidRPr="00424517" w14:paraId="1994B8DB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DD38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Pascual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7CC5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59B8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E4F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0B7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648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1F4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B6C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FB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30E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7653A8CD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602E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Pozo-Rosich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AE82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9D5A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3D4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378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AC6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F49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F4F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727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101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0E70F541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C300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Sánchez-Huertas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9AA8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2010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C81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43F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905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B23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ED2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95F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DF0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11B009C1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77F0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Sandoe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E3F0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5F68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DDD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534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DB0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688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524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F11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FEF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7CEEA251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DC6C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Sarkar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F4A0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6C5A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847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FBC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FC2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9E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BA1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779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0D1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3784505E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F1A3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Shapiro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EFED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3EA6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413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DB4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056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C72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571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2BF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DE0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</w:tr>
      <w:tr w:rsidR="00424517" w:rsidRPr="00424517" w14:paraId="68B857AC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E4DC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Sotero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CD65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9718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7A2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8BD2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E1E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93B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C44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6A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C44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7FA3194C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46F1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Takizawa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3CC7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8518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E2B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E0E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ascii="Segoe UI Symbol" w:eastAsia="MS Mincho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9D8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83A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C92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94D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D45F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10DB3D1B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822E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lastRenderedPageBreak/>
              <w:t>Takizawa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E511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2025b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AC86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410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C9A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4FF3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000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C2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F26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C75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4B577CE8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DDA5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Vernieri et al.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DC8F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2025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16B7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MIBS-4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503C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DAE6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7FE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717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D75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FB0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ACD0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sz w:val="18"/>
                <w:szCs w:val="18"/>
              </w:rPr>
              <w:t>○</w:t>
            </w:r>
          </w:p>
        </w:tc>
      </w:tr>
      <w:tr w:rsidR="00424517" w:rsidRPr="00424517" w14:paraId="4EF341BD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A5D9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Explicit (</w:t>
            </w:r>
            <w:r w:rsidRPr="00424517">
              <w:rPr>
                <w:rFonts w:ascii="Segoe UI Symbol" w:eastAsia="MS Mincho" w:hAnsi="Segoe UI Symbol" w:cs="Segoe UI Symbol"/>
                <w:b/>
                <w:sz w:val="18"/>
                <w:szCs w:val="18"/>
              </w:rPr>
              <w:t>✓</w:t>
            </w:r>
            <w:r w:rsidRPr="00424517">
              <w:rPr>
                <w:rFonts w:eastAsia="MS Mincho"/>
                <w:b/>
                <w:sz w:val="18"/>
                <w:szCs w:val="18"/>
              </w:rPr>
              <w:t>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604E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6E85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CA85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17 (59%)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20D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10 (34%)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A23E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11 (38%)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E3F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3 (10%)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34FB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2 (7%)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536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1 (3%)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940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5 (17%)</w:t>
            </w:r>
          </w:p>
        </w:tc>
      </w:tr>
      <w:tr w:rsidR="00424517" w:rsidRPr="00424517" w14:paraId="30357746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BE1C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Item coverage (○)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18D5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62FE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8C48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10 (34%)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701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16 (55%)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C6B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18 (62%)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9E4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0 (0%)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889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0 (0%)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0CA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0 (0%)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4FFD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24 (83%)</w:t>
            </w:r>
          </w:p>
        </w:tc>
      </w:tr>
      <w:tr w:rsidR="00424517" w:rsidRPr="00424517" w14:paraId="7410DC7D" w14:textId="77777777" w:rsidTr="0042451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9485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Total (</w:t>
            </w:r>
            <w:r w:rsidRPr="00424517">
              <w:rPr>
                <w:rFonts w:ascii="Segoe UI Symbol" w:eastAsia="MS Mincho" w:hAnsi="Segoe UI Symbol" w:cs="Segoe UI Symbol"/>
                <w:b/>
                <w:sz w:val="18"/>
                <w:szCs w:val="18"/>
              </w:rPr>
              <w:t>✓</w:t>
            </w:r>
            <w:r w:rsidRPr="00424517">
              <w:rPr>
                <w:rFonts w:eastAsia="MS Mincho"/>
                <w:b/>
                <w:sz w:val="18"/>
                <w:szCs w:val="18"/>
              </w:rPr>
              <w:t>+○)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6EDD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BEC6" w14:textId="77777777" w:rsidR="00424517" w:rsidRPr="00424517" w:rsidRDefault="00424517" w:rsidP="00424517">
            <w:pPr>
              <w:spacing w:line="240" w:lineRule="auto"/>
              <w:jc w:val="left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6507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27 (93%)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B91A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26 (90%)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F91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29 (100%)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5DE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3 (10%)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B831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2 (7%)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1614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1 (3%)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D4C9" w14:textId="77777777" w:rsidR="00424517" w:rsidRPr="00424517" w:rsidRDefault="00424517" w:rsidP="00424517">
            <w:pPr>
              <w:spacing w:line="240" w:lineRule="auto"/>
              <w:jc w:val="center"/>
              <w:rPr>
                <w:rFonts w:eastAsia="MS Mincho"/>
                <w:sz w:val="18"/>
                <w:szCs w:val="18"/>
              </w:rPr>
            </w:pPr>
            <w:r w:rsidRPr="00424517">
              <w:rPr>
                <w:rFonts w:eastAsia="MS Mincho"/>
                <w:b/>
                <w:sz w:val="18"/>
                <w:szCs w:val="18"/>
              </w:rPr>
              <w:t>29 (100%)</w:t>
            </w:r>
          </w:p>
        </w:tc>
      </w:tr>
    </w:tbl>
    <w:p w14:paraId="16158AE4" w14:textId="4435DDD3" w:rsidR="00424517" w:rsidRDefault="00424517" w:rsidP="00424517">
      <w:pPr>
        <w:spacing w:before="120" w:after="200" w:line="276" w:lineRule="auto"/>
        <w:jc w:val="left"/>
        <w:rPr>
          <w:rFonts w:eastAsia="MS Mincho" w:cs="Times New Roman"/>
          <w:i/>
          <w:sz w:val="18"/>
          <w:lang w:val="en-US"/>
        </w:rPr>
        <w:sectPr w:rsidR="00424517" w:rsidSect="0042451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424517">
        <w:rPr>
          <w:rFonts w:eastAsia="MS Mincho" w:cs="Times New Roman"/>
          <w:i/>
          <w:iCs/>
          <w:sz w:val="18"/>
          <w:lang w:val="en-US"/>
        </w:rPr>
        <w:t>A check mark (</w:t>
      </w:r>
      <w:r w:rsidRPr="00424517">
        <w:rPr>
          <w:rFonts w:ascii="Segoe UI Symbol" w:eastAsia="MS Mincho" w:hAnsi="Segoe UI Symbol" w:cs="Segoe UI Symbol"/>
          <w:i/>
          <w:iCs/>
          <w:sz w:val="18"/>
          <w:lang w:val="en-US"/>
        </w:rPr>
        <w:t>✓</w:t>
      </w:r>
      <w:r w:rsidRPr="00424517">
        <w:rPr>
          <w:rFonts w:eastAsia="MS Mincho" w:cs="Times New Roman"/>
          <w:i/>
          <w:iCs/>
          <w:sz w:val="18"/>
          <w:lang w:val="en-US"/>
        </w:rPr>
        <w:t xml:space="preserve">) indicates that the study authors explicitly defined, discussed, or </w:t>
      </w:r>
      <w:proofErr w:type="spellStart"/>
      <w:r w:rsidRPr="00424517">
        <w:rPr>
          <w:rFonts w:eastAsia="MS Mincho" w:cs="Times New Roman"/>
          <w:i/>
          <w:iCs/>
          <w:sz w:val="18"/>
          <w:lang w:val="en-US"/>
        </w:rPr>
        <w:t>analysed</w:t>
      </w:r>
      <w:proofErr w:type="spellEnd"/>
      <w:r w:rsidRPr="00424517">
        <w:rPr>
          <w:rFonts w:eastAsia="MS Mincho" w:cs="Times New Roman"/>
          <w:i/>
          <w:iCs/>
          <w:sz w:val="18"/>
          <w:lang w:val="en-US"/>
        </w:rPr>
        <w:t xml:space="preserve"> the domain as a component of interictal burden in their text. An open circle (○) indicates that the domain is covered by the item content of the instrument used (e.g., the four MIBS-4 items correspond to functional impairment, social/relational impact, psychological/emotional distress, and behavioral modifications; the FAMI corresponds to psychological/emotional distress and behavioral modifications) but was not explicitly discussed by the study authors as an individual domain. The cognitive dysfunction domain was coded only when a study explicitly discussed cognitive ability, concentration, memory, or cognitive processing; the broad "emotional and cognitive distress" item </w:t>
      </w:r>
      <w:r w:rsidR="00256C2F" w:rsidRPr="00424517">
        <w:rPr>
          <w:rFonts w:eastAsia="MS Mincho" w:cs="Times New Roman"/>
          <w:i/>
          <w:iCs/>
          <w:sz w:val="18"/>
          <w:lang w:val="en-US"/>
        </w:rPr>
        <w:t>o</w:t>
      </w:r>
      <w:r w:rsidR="00256C2F">
        <w:rPr>
          <w:rFonts w:eastAsia="MS Mincho" w:cs="Times New Roman"/>
          <w:i/>
          <w:iCs/>
          <w:sz w:val="18"/>
          <w:lang w:val="en-US"/>
        </w:rPr>
        <w:t>n</w:t>
      </w:r>
      <w:r w:rsidR="00256C2F" w:rsidRPr="00424517">
        <w:rPr>
          <w:rFonts w:eastAsia="MS Mincho" w:cs="Times New Roman"/>
          <w:i/>
          <w:iCs/>
          <w:sz w:val="18"/>
          <w:lang w:val="en-US"/>
        </w:rPr>
        <w:t xml:space="preserve"> </w:t>
      </w:r>
      <w:r w:rsidRPr="00424517">
        <w:rPr>
          <w:rFonts w:eastAsia="MS Mincho" w:cs="Times New Roman"/>
          <w:i/>
          <w:iCs/>
          <w:sz w:val="18"/>
          <w:lang w:val="en-US"/>
        </w:rPr>
        <w:t xml:space="preserve">the MIBS-4 was mapped to psychological/emotional distress </w:t>
      </w:r>
      <w:r w:rsidR="00256C2F">
        <w:rPr>
          <w:rFonts w:eastAsia="MS Mincho" w:cs="Times New Roman"/>
          <w:i/>
          <w:iCs/>
          <w:sz w:val="18"/>
          <w:lang w:val="en-US"/>
        </w:rPr>
        <w:t>rather</w:t>
      </w:r>
      <w:r w:rsidRPr="00424517">
        <w:rPr>
          <w:rFonts w:eastAsia="MS Mincho" w:cs="Times New Roman"/>
          <w:i/>
          <w:iCs/>
          <w:sz w:val="18"/>
          <w:lang w:val="en-US"/>
        </w:rPr>
        <w:t xml:space="preserve"> t</w:t>
      </w:r>
      <w:r w:rsidR="00256C2F">
        <w:rPr>
          <w:rFonts w:eastAsia="MS Mincho" w:cs="Times New Roman"/>
          <w:i/>
          <w:iCs/>
          <w:sz w:val="18"/>
          <w:lang w:val="en-US"/>
        </w:rPr>
        <w:t>han</w:t>
      </w:r>
      <w:r w:rsidRPr="00424517">
        <w:rPr>
          <w:rFonts w:eastAsia="MS Mincho" w:cs="Times New Roman"/>
          <w:i/>
          <w:iCs/>
          <w:sz w:val="18"/>
          <w:lang w:val="en-US"/>
        </w:rPr>
        <w:t xml:space="preserve"> cognitive dysfunction. The Instrument column identifies the primary interictal burden instrument used in each study. Coverage counts are provided separately for explicit reporting (</w:t>
      </w:r>
      <w:r w:rsidRPr="00424517">
        <w:rPr>
          <w:rFonts w:ascii="Segoe UI Symbol" w:eastAsia="MS Mincho" w:hAnsi="Segoe UI Symbol" w:cs="Segoe UI Symbol"/>
          <w:i/>
          <w:iCs/>
          <w:sz w:val="18"/>
          <w:lang w:val="en-US"/>
        </w:rPr>
        <w:t>✓</w:t>
      </w:r>
      <w:r w:rsidRPr="00424517">
        <w:rPr>
          <w:rFonts w:eastAsia="MS Mincho" w:cs="Times New Roman"/>
          <w:i/>
          <w:iCs/>
          <w:sz w:val="18"/>
          <w:lang w:val="en-US"/>
        </w:rPr>
        <w:t>), instrument item coverage (○), and combined total (</w:t>
      </w:r>
      <w:r w:rsidRPr="00424517">
        <w:rPr>
          <w:rFonts w:ascii="Segoe UI Symbol" w:eastAsia="MS Mincho" w:hAnsi="Segoe UI Symbol" w:cs="Segoe UI Symbol"/>
          <w:i/>
          <w:iCs/>
          <w:sz w:val="18"/>
          <w:lang w:val="en-US"/>
        </w:rPr>
        <w:t>✓</w:t>
      </w:r>
      <w:r w:rsidRPr="00424517">
        <w:rPr>
          <w:rFonts w:eastAsia="MS Mincho" w:cs="Times New Roman"/>
          <w:i/>
          <w:iCs/>
          <w:sz w:val="18"/>
          <w:lang w:val="en-US"/>
        </w:rPr>
        <w:t xml:space="preserve"> + ○).</w:t>
      </w:r>
      <w:r>
        <w:rPr>
          <w:rFonts w:eastAsia="MS Mincho" w:cs="Times New Roman"/>
          <w:sz w:val="18"/>
          <w:lang w:val="en-US"/>
        </w:rPr>
        <w:t xml:space="preserve"> </w:t>
      </w:r>
      <w:r w:rsidRPr="00424517">
        <w:rPr>
          <w:rFonts w:eastAsia="MS Mincho" w:cs="Times New Roman"/>
          <w:i/>
          <w:sz w:val="18"/>
          <w:lang w:val="en-US"/>
        </w:rPr>
        <w:t xml:space="preserve">MIBS-4, Migraine Interictal Burden Scale-4; FAMI, Fear of Attacks in Migraine Inventory; </w:t>
      </w:r>
      <w:proofErr w:type="spellStart"/>
      <w:r w:rsidRPr="00424517">
        <w:rPr>
          <w:rFonts w:eastAsia="MS Mincho" w:cs="Times New Roman"/>
          <w:i/>
          <w:sz w:val="18"/>
          <w:lang w:val="en-US"/>
        </w:rPr>
        <w:t>Eurolight</w:t>
      </w:r>
      <w:proofErr w:type="spellEnd"/>
      <w:r w:rsidRPr="00424517">
        <w:rPr>
          <w:rFonts w:eastAsia="MS Mincho" w:cs="Times New Roman"/>
          <w:i/>
          <w:sz w:val="18"/>
          <w:lang w:val="en-US"/>
        </w:rPr>
        <w:t xml:space="preserve">, </w:t>
      </w:r>
      <w:proofErr w:type="spellStart"/>
      <w:r w:rsidRPr="00424517">
        <w:rPr>
          <w:rFonts w:eastAsia="MS Mincho" w:cs="Times New Roman"/>
          <w:i/>
          <w:sz w:val="18"/>
          <w:lang w:val="en-US"/>
        </w:rPr>
        <w:t>Eurolight</w:t>
      </w:r>
      <w:proofErr w:type="spellEnd"/>
      <w:r w:rsidRPr="00424517">
        <w:rPr>
          <w:rFonts w:eastAsia="MS Mincho" w:cs="Times New Roman"/>
          <w:i/>
          <w:sz w:val="18"/>
          <w:lang w:val="en-US"/>
        </w:rPr>
        <w:t xml:space="preserve"> interictal burden questionnaire.</w:t>
      </w:r>
    </w:p>
    <w:p w14:paraId="08A0740C" w14:textId="165F2BAA" w:rsidR="00424517" w:rsidRPr="00424517" w:rsidRDefault="00424517" w:rsidP="00424517">
      <w:pPr>
        <w:spacing w:before="120" w:after="200" w:line="276" w:lineRule="auto"/>
        <w:jc w:val="left"/>
        <w:rPr>
          <w:rFonts w:eastAsia="MS Mincho" w:cs="Times New Roman"/>
          <w:sz w:val="18"/>
          <w:lang w:val="en-US"/>
        </w:rPr>
      </w:pPr>
    </w:p>
    <w:p w14:paraId="52C94D17" w14:textId="77777777" w:rsidR="004431ED" w:rsidRPr="00281A11" w:rsidRDefault="00281A11" w:rsidP="004431ED">
      <w:pPr>
        <w:rPr>
          <w:lang w:val="en-US"/>
        </w:rPr>
      </w:pPr>
      <w:r w:rsidRPr="00C77B39">
        <w:rPr>
          <w:b/>
          <w:lang w:val="en-US"/>
        </w:rPr>
        <w:t xml:space="preserve">Table </w:t>
      </w:r>
      <w:r>
        <w:rPr>
          <w:b/>
          <w:lang w:val="en-US"/>
        </w:rPr>
        <w:t>3</w:t>
      </w:r>
      <w:r w:rsidRPr="00C77B39">
        <w:rPr>
          <w:b/>
          <w:lang w:val="en-US"/>
        </w:rPr>
        <w:t xml:space="preserve">. </w:t>
      </w:r>
      <w:r>
        <w:rPr>
          <w:b/>
          <w:lang w:val="en-US"/>
        </w:rPr>
        <w:t xml:space="preserve">Risk of Bias Assessment </w:t>
      </w:r>
    </w:p>
    <w:tbl>
      <w:tblPr>
        <w:tblW w:w="11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4"/>
        <w:gridCol w:w="657"/>
        <w:gridCol w:w="1002"/>
        <w:gridCol w:w="1183"/>
        <w:gridCol w:w="1323"/>
        <w:gridCol w:w="1425"/>
        <w:gridCol w:w="767"/>
        <w:gridCol w:w="1393"/>
        <w:gridCol w:w="1260"/>
        <w:gridCol w:w="1299"/>
        <w:gridCol w:w="1629"/>
        <w:gridCol w:w="1065"/>
      </w:tblGrid>
      <w:tr w:rsidR="00281A11" w:rsidRPr="00281A11" w14:paraId="789909C0" w14:textId="77777777" w:rsidTr="00281A11">
        <w:trPr>
          <w:trHeight w:val="300"/>
        </w:trPr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F9F4D7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Author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6A929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Year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C874B1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Instrument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D591BF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Content_Validity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9254F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Structural_Validity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D2E5E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Internal_Consistency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CA4B5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Reliability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B86D6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Measurement_Error</w:t>
            </w:r>
            <w:proofErr w:type="spellEnd"/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04A798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Criterion_Validity</w:t>
            </w:r>
            <w:proofErr w:type="spellEnd"/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4256A8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Construct_Validity</w:t>
            </w:r>
            <w:proofErr w:type="spellEnd"/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750DF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Cross_Cultural_Validity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7A4CEA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Responsiveness</w:t>
            </w:r>
          </w:p>
        </w:tc>
      </w:tr>
      <w:tr w:rsidR="00281A11" w:rsidRPr="00281A11" w14:paraId="4851A124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17FB38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Argyriou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0D5F8D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174D48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FCB1A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39109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3F3E1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3CBC5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12F96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F5BDB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7B767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7C5F1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57CC9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</w:tr>
      <w:tr w:rsidR="00281A11" w:rsidRPr="00281A11" w14:paraId="3B685600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B07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Awaki</w:t>
            </w:r>
            <w:proofErr w:type="spellEnd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2BD4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4E3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700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F8F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D51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51E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065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A44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169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Doubtful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231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B04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4E8A98F0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B8142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Barbanti</w:t>
            </w:r>
            <w:proofErr w:type="spellEnd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EA8B1E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E7BB0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FF50D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CE0D2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DB1CA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E644C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E841A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2C986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E0CD9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3AF53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DEFC8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</w:tr>
      <w:tr w:rsidR="00281A11" w:rsidRPr="00281A11" w14:paraId="1034FB9C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1D7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Barbanti</w:t>
            </w:r>
            <w:proofErr w:type="spellEnd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DFE9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BA8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681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2A2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D97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923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099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86E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B98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1FF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ED2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</w:tr>
      <w:tr w:rsidR="00281A11" w:rsidRPr="00281A11" w14:paraId="57662509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A5435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Barbanti</w:t>
            </w:r>
            <w:proofErr w:type="spellEnd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167A16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56916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142BF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E6F0E8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B4AFC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C8214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B2C07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8F981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CA56A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6A927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81C4C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</w:tr>
      <w:tr w:rsidR="00281A11" w:rsidRPr="00281A11" w14:paraId="0A402D5B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ACF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Buse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C896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E1F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481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Inadequate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D31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Inadequate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49F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411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668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D66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F2DD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780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Inadequate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AD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81A11" w:rsidRPr="00281A11" w14:paraId="3A78FB6E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18B0F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Evers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4989FC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3F605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60A52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ABB88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D40A0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92BFA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CE900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7939A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A4DFC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Doubtful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2AC78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34D91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5077DCFA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8E0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Garcia-Azorin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0E3D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0B6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848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AF7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F986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A30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3E8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4AE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D1F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A37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BE5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Inadequate</w:t>
            </w:r>
          </w:p>
        </w:tc>
      </w:tr>
      <w:tr w:rsidR="00281A11" w:rsidRPr="00281A11" w14:paraId="6ABB9F77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653B7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Hashimoto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A6F323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CA545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116FA8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F55DC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1B0AF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80426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813F3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63F9B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7023F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21B5C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48038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0E4A973F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812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Hubig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B437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8B0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37ED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864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23A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4B7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28B2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1A4E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C35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664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6A5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05DCC093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98FBF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Igarashi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080A47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7F18D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E7C74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D5590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C4E77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F0811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964148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53116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CFFA6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Doubtful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C72F8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76C7D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081A2A20" w14:textId="77777777" w:rsidTr="00281A11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6F7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Karaci</w:t>
            </w:r>
            <w:proofErr w:type="spellEnd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EF11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452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 Turkish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D6C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D35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A367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Doubtful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BA0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BAF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5CC8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1F3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Inadequate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BE4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81A11" w:rsidRPr="00281A11" w14:paraId="15F24084" w14:textId="77777777" w:rsidTr="00281A11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CED02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Kaske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149A20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69806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FAMI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6F29B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A0EDF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D6AA8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599A1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787CE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5BA37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9C1E38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Doubtful</w:t>
            </w:r>
            <w:proofErr w:type="spellEnd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40378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9E8F7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0A4C1C21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C69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Klan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895E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8DF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FAMI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82F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EF8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Very good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12D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Very good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D6C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DF1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5C0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468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65E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359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1FE607AE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DFE6E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Lampl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A9AEEA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A82B0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Eurolight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87E4E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65CD6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85036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E0D90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F3452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B1A27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B1B3C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Inadequate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49996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8ED74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182D5E9A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50D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Lampl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80008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134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E1C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8E5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F4F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C0B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CE2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908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37B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1D7D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94A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53C508DE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92F99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Lipton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7CC4F4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9CB4F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D6FF9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16E1A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DB68D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5190D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2D68C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1AA0B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95872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6F56E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65FDC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Very good </w:t>
            </w:r>
          </w:p>
        </w:tc>
      </w:tr>
      <w:tr w:rsidR="00281A11" w:rsidRPr="00281A11" w14:paraId="393B4896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1FD1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Malheiro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6B40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39B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MIBS-4 Portuguese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DAB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Adequate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BCA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Very good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179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026E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AD3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17C7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62F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Inadequate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10B4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81A11" w:rsidRPr="00281A11" w14:paraId="0D7B1C49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5C848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Matsumori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53EC75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A302B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AB375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77B64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99F87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DF0D7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141BD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7DEFE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68A1F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Doubtful</w:t>
            </w:r>
            <w:proofErr w:type="spellEnd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1989A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C34D5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43A18375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E4E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Pascual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373A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869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0EC28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6ED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B2F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F33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63D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2D6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24D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Doubtful</w:t>
            </w:r>
            <w:proofErr w:type="spellEnd"/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A82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83FB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72DA7A36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3D04E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Pozo-Rosich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F122BA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CDFE2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9B198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2FD68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456AC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1F4D9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EF2FE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0E942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567C1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E2D1E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9C2F9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Very good </w:t>
            </w:r>
          </w:p>
        </w:tc>
      </w:tr>
      <w:tr w:rsidR="00281A11" w:rsidRPr="00281A11" w14:paraId="58CD9622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58F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Sánchez-Huertas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AC36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5B1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B2D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878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053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A0D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2E6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A29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98A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06F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3D1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</w:tr>
      <w:tr w:rsidR="00281A11" w:rsidRPr="00281A11" w14:paraId="02553BEA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0571D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Sandoe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ED16A2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89E9F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E0990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5B1FF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E64E0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4D243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72FD2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661988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EE4CF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Inadequate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0AD84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16DE2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59C38D7E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26E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Sarkar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0372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1E9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F34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E16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F4C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FBB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6BC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66C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47C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Doubtful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479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90E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1A9F706D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1810D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Shapiro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4BABF4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1075E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88C71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4B57F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7B3E1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0975C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F9594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E37CF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3D1C9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Doubtful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7DB98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4405C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0237A629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CF1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Sotero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F98D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B7FA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CCA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429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A7FF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88B8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A7B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5CD8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8EE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Doubtful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215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952C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22991205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EE18F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Takizawa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405355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C9DD0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31977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8C40A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98A4F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FCE22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7CF75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28AFB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EA291D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Doubtful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3846BA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FE3DE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7B3453D4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1A8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Takizawa et al.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057C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1D1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F52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85FD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74F4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70CE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899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6DE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CB7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Doubtful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CBC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5255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</w:tr>
      <w:tr w:rsidR="00281A11" w:rsidRPr="00281A11" w14:paraId="68F9EA03" w14:textId="77777777" w:rsidTr="00281A11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180DAC3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Vernieri et al.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755304C" w14:textId="77777777" w:rsidR="00281A11" w:rsidRPr="00281A11" w:rsidRDefault="00281A11" w:rsidP="00281A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A2ABC0F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MIBS-4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47D6D3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AD44BD9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D6E8E62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5593B8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B4DF361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87E8657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8F470A0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4918CBB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ED0BD46" w14:textId="77777777" w:rsidR="00281A11" w:rsidRPr="00281A11" w:rsidRDefault="00281A11" w:rsidP="00281A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281A11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Adequate</w:t>
            </w:r>
          </w:p>
        </w:tc>
      </w:tr>
    </w:tbl>
    <w:p w14:paraId="56936F26" w14:textId="77777777" w:rsidR="00CD6260" w:rsidRPr="004431ED" w:rsidRDefault="00CD6260">
      <w:pPr>
        <w:rPr>
          <w:lang w:val="en-US"/>
        </w:rPr>
      </w:pPr>
    </w:p>
    <w:sectPr w:rsidR="00CD6260" w:rsidRPr="004431ED" w:rsidSect="0042451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ED"/>
    <w:rsid w:val="00256C2F"/>
    <w:rsid w:val="00281A11"/>
    <w:rsid w:val="00332BB7"/>
    <w:rsid w:val="003C64CE"/>
    <w:rsid w:val="00424517"/>
    <w:rsid w:val="004431ED"/>
    <w:rsid w:val="0075465A"/>
    <w:rsid w:val="008863BD"/>
    <w:rsid w:val="00891C91"/>
    <w:rsid w:val="00CD6260"/>
    <w:rsid w:val="00D11506"/>
    <w:rsid w:val="00EB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6D83"/>
  <w15:chartTrackingRefBased/>
  <w15:docId w15:val="{4CE894FF-426B-4AA0-811C-7C65C1CD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31ED"/>
    <w:pPr>
      <w:spacing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31ED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431E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4431ED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table" w:customStyle="1" w:styleId="Tabellenraster1">
    <w:name w:val="Tabellenraster1"/>
    <w:basedOn w:val="NormaleTabelle"/>
    <w:next w:val="Tabellenraster"/>
    <w:uiPriority w:val="59"/>
    <w:rsid w:val="00424517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256C2F"/>
    <w:pPr>
      <w:spacing w:after="0" w:line="240" w:lineRule="auto"/>
    </w:pPr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F1AC9-FB24-43A6-A7BE-E7CB7E21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1067</Words>
  <Characters>6729</Characters>
  <Application>Microsoft Office Word</Application>
  <DocSecurity>4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- Universitätsmedizin Berlin</Company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Angerhöfer, Cornelius Leon</dc:creator>
  <cp:keywords/>
  <dc:description/>
  <cp:lastModifiedBy>Angerhöfer, Cornelius Leon</cp:lastModifiedBy>
  <cp:revision>2</cp:revision>
  <dcterms:created xsi:type="dcterms:W3CDTF">2026-07-07T10:36:00Z</dcterms:created>
  <dcterms:modified xsi:type="dcterms:W3CDTF">2026-07-07T10:36:00Z</dcterms:modified>
</cp:coreProperties>
</file>