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4804" w14:textId="595BB2AD" w:rsidR="001350EC" w:rsidRPr="001350EC" w:rsidRDefault="001350EC" w:rsidP="00A72E91">
      <w:pPr>
        <w:spacing w:after="0" w:line="480" w:lineRule="auto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val="en-AU"/>
          <w14:ligatures w14:val="standardContextual"/>
        </w:rPr>
      </w:pPr>
      <w:r w:rsidRPr="001350EC">
        <w:rPr>
          <w:rFonts w:ascii="Times New Roman" w:eastAsiaTheme="minorHAnsi" w:hAnsi="Times New Roman" w:cs="Times New Roman"/>
          <w:kern w:val="2"/>
          <w:sz w:val="28"/>
          <w:szCs w:val="28"/>
          <w:lang w:val="en-AU"/>
          <w14:ligatures w14:val="standardContextual"/>
        </w:rPr>
        <w:t>Description of Additional Supplementary Files</w:t>
      </w:r>
    </w:p>
    <w:p w14:paraId="1B5C41A6" w14:textId="260CC474" w:rsidR="00A74EBE" w:rsidRPr="00E37CAA" w:rsidRDefault="00C905BC" w:rsidP="00A72E91">
      <w:pPr>
        <w:spacing w:before="240"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Differentially methylated meWAS CpGs crossing the Bonferroni-corrected significance threshold of P &lt;  0.05/86,518</w:t>
      </w:r>
    </w:p>
    <w:p w14:paraId="3D4F2E62" w14:textId="52D9590D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2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177 migraine-associated meWAS CpGs robustly associated (and colocalised) with migraine</w:t>
      </w:r>
    </w:p>
    <w:p w14:paraId="21B33E78" w14:textId="5EFFB4DB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 w:rsidRPr="00804B1F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804B1F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3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177 CpGs robustly associated (and colocalised) with migraine along with the predictor SNP having smallest migraine GWAS p-value</w:t>
      </w:r>
    </w:p>
    <w:p w14:paraId="74704567" w14:textId="6DF9BF80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4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58 independent established migraine risk loci from the migraine GWAS published by Hautakangas et al. (2022)</w:t>
      </w:r>
    </w:p>
    <w:p w14:paraId="12236905" w14:textId="773A37D0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5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11 novel migraine risk loci not reaching genome-wide significance in migraine GWAS by Hautakangas et al. (2022)</w:t>
      </w:r>
    </w:p>
    <w:p w14:paraId="7380AE2B" w14:textId="0D464830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6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82 genes having differential expression predicted by SMultiXcan annotated to 140 differentially methylated meWAS CpGs</w:t>
      </w:r>
    </w:p>
    <w:p w14:paraId="2AA6A128" w14:textId="6C2DE376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7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177 robustly associated (and colocalised) CpGs annotated to 638 genes having differential expression associated with migraine (via SMultiXcan) using ± 250 kb window</w:t>
      </w:r>
    </w:p>
    <w:p w14:paraId="558146FC" w14:textId="0F7C1C94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8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List of 91 genes crossing experiment-wide Bonferroni-corrected threshold of P &lt; 7.84×10</w:t>
      </w:r>
      <w:r w:rsidR="00A74EBE" w:rsidRPr="00E37CAA">
        <w:rPr>
          <w:rFonts w:ascii="Times New Roman" w:eastAsiaTheme="minorHAnsi" w:hAnsi="Times New Roman" w:cs="Times New Roman"/>
          <w:kern w:val="2"/>
          <w:vertAlign w:val="superscript"/>
          <w:lang w:val="en-AU"/>
          <w14:ligatures w14:val="standardContextual"/>
        </w:rPr>
        <w:t>–5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(0.05/638)</w:t>
      </w:r>
    </w:p>
    <w:p w14:paraId="5B8D0803" w14:textId="63841619" w:rsidR="00A74EBE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9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Co-localisation results for 120 migraine-associated meWAS CpGs (PP4 &gt; 0.5) with 78 differentially expressed (and co-localised genes)</w:t>
      </w:r>
    </w:p>
    <w:p w14:paraId="76903870" w14:textId="523C2443" w:rsidR="00760FDB" w:rsidRPr="00E37CAA" w:rsidRDefault="00A711A9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 w:rsidRPr="00A711A9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Supplementary Data 10: STRING protein–protein interaction network edges for the prioritised gene set identified from colocalisation analysis (Supplementary Data 9)</w:t>
      </w:r>
    </w:p>
    <w:p w14:paraId="4C794C75" w14:textId="74DB3E29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lastRenderedPageBreak/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A510C1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Characterisation of established migraine GWAS risk loci and comparison of annotation with the Illumina manifest file</w:t>
      </w:r>
    </w:p>
    <w:p w14:paraId="6476F786" w14:textId="231FC14A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A510C1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2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Top colocalised SNPs linking migraine GWAS, methylation, and gene expression at established risk loci</w:t>
      </w:r>
    </w:p>
    <w:p w14:paraId="4302B369" w14:textId="7FE71D6D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A510C1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3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Characterisation of novel migraine GWAS risk loci and comparison of annotation with the Illumina manifest file</w:t>
      </w:r>
    </w:p>
    <w:p w14:paraId="59A993EA" w14:textId="5125BF89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Supplementary Data 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1</w:t>
      </w:r>
      <w:r w:rsidR="00760FDB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4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Top colocalised SNPs linking migraine GWAS, DNA methylation, and gene expression at putative novel risk loci</w:t>
      </w:r>
    </w:p>
    <w:p w14:paraId="599C70DE" w14:textId="7E8FFA84" w:rsidR="00A74EBE" w:rsidRPr="00E37CAA" w:rsidRDefault="00C905BC" w:rsidP="00A72E91">
      <w:pPr>
        <w:spacing w:after="240" w:line="480" w:lineRule="auto"/>
        <w:jc w:val="both"/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</w:pPr>
      <w:r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Supplementary Data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1</w:t>
      </w:r>
      <w:r w:rsidR="00760FDB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5</w:t>
      </w:r>
      <w:r w:rsidR="00507836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>:</w:t>
      </w:r>
      <w:r w:rsidR="00A74EBE" w:rsidRPr="00E37CAA">
        <w:rPr>
          <w:rFonts w:ascii="Times New Roman" w:eastAsiaTheme="minorHAnsi" w:hAnsi="Times New Roman" w:cs="Times New Roman"/>
          <w:kern w:val="2"/>
          <w:lang w:val="en-AU"/>
          <w14:ligatures w14:val="standardContextual"/>
        </w:rPr>
        <w:t xml:space="preserve"> Association statistics and linkage disequilibrium for predictor SNPs at putative novel migraine risk loci</w:t>
      </w:r>
    </w:p>
    <w:p w14:paraId="57635477" w14:textId="77777777" w:rsidR="00230823" w:rsidRDefault="00230823"/>
    <w:sectPr w:rsidR="002308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YwN7AwNzEyMjQwtrRQ0lEKTi0uzszPAykwrgUA7omnUCwAAAA="/>
  </w:docVars>
  <w:rsids>
    <w:rsidRoot w:val="00AC231B"/>
    <w:rsid w:val="001350EC"/>
    <w:rsid w:val="00230823"/>
    <w:rsid w:val="003921E3"/>
    <w:rsid w:val="004578C6"/>
    <w:rsid w:val="00507836"/>
    <w:rsid w:val="005B36B7"/>
    <w:rsid w:val="00760FDB"/>
    <w:rsid w:val="00804B1F"/>
    <w:rsid w:val="008217FF"/>
    <w:rsid w:val="00882F73"/>
    <w:rsid w:val="009D1E7B"/>
    <w:rsid w:val="00A510C1"/>
    <w:rsid w:val="00A711A9"/>
    <w:rsid w:val="00A72E91"/>
    <w:rsid w:val="00A74EBE"/>
    <w:rsid w:val="00AC231B"/>
    <w:rsid w:val="00B61D15"/>
    <w:rsid w:val="00BC3ACC"/>
    <w:rsid w:val="00C905BC"/>
    <w:rsid w:val="00CE3AF6"/>
    <w:rsid w:val="00D60B76"/>
    <w:rsid w:val="00D67BAD"/>
    <w:rsid w:val="00D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24C0"/>
  <w15:chartTrackingRefBased/>
  <w15:docId w15:val="{6A1948E6-9E51-4183-B4D9-0631DE17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EBE"/>
    <w:pPr>
      <w:spacing w:line="259" w:lineRule="auto"/>
    </w:pPr>
    <w:rPr>
      <w:rFonts w:eastAsia="SimSu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3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3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3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3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3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3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3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3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3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3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3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2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3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2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31B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2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31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2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3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Nyholt</dc:creator>
  <cp:keywords/>
  <dc:description/>
  <cp:lastModifiedBy>Dale Nyholt</cp:lastModifiedBy>
  <cp:revision>18</cp:revision>
  <dcterms:created xsi:type="dcterms:W3CDTF">2026-05-20T06:57:00Z</dcterms:created>
  <dcterms:modified xsi:type="dcterms:W3CDTF">2026-05-22T05:01:00Z</dcterms:modified>
</cp:coreProperties>
</file>