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2FCDD92" w14:textId="19B307B9" w:rsidR="008347DC" w:rsidRDefault="008347DC" w:rsidP="005B3013">
      <w:pPr>
        <w:jc w:val="center"/>
        <w:rPr>
          <w:rFonts w:ascii="Times New Roman" w:hAnsi="Times New Roman" w:cs="Times New Roman"/>
          <w:b/>
          <w:bCs/>
        </w:rPr>
      </w:pPr>
      <w:r w:rsidRPr="00755F81">
        <w:rPr>
          <w:rFonts w:ascii="Times New Roman" w:hAnsi="Times New Roman" w:cs="Times New Roman"/>
          <w:b/>
          <w:bCs/>
        </w:rPr>
        <w:t>Supplementary Materials</w:t>
      </w:r>
    </w:p>
    <w:p w14:paraId="39CCD8CC" w14:textId="77777777" w:rsidR="008347DC" w:rsidRDefault="008347DC" w:rsidP="005B3013">
      <w:pPr>
        <w:rPr>
          <w:rFonts w:ascii="Times New Roman" w:hAnsi="Times New Roman" w:cs="Times New Roman"/>
          <w:b/>
          <w:bCs/>
        </w:rPr>
      </w:pPr>
    </w:p>
    <w:p w14:paraId="6A084087" w14:textId="300BE33E" w:rsidR="00F274CA" w:rsidRDefault="00F274CA" w:rsidP="005B3013">
      <w:pPr>
        <w:rPr>
          <w:rFonts w:ascii="Times New Roman" w:hAnsi="Times New Roman" w:cs="Times New Roman"/>
          <w:b/>
          <w:bCs/>
        </w:rPr>
      </w:pPr>
      <w:r>
        <w:rPr>
          <w:rFonts w:ascii="Times New Roman" w:hAnsi="Times New Roman" w:cs="Times New Roman"/>
          <w:b/>
          <w:bCs/>
        </w:rPr>
        <w:t xml:space="preserve">Migraine Demographics and Characteristics </w:t>
      </w:r>
      <w:r>
        <w:rPr>
          <w:rFonts w:ascii="Times New Roman" w:hAnsi="Times New Roman" w:cs="Times New Roman"/>
          <w:b/>
          <w:bCs/>
        </w:rPr>
        <w:br/>
      </w:r>
    </w:p>
    <w:p w14:paraId="453C53F3" w14:textId="39E654A6" w:rsidR="00F274CA" w:rsidRPr="00CB43F3" w:rsidRDefault="00F274CA" w:rsidP="00AE30C0">
      <w:pPr>
        <w:ind w:firstLine="720"/>
        <w:rPr>
          <w:rFonts w:ascii="Times New Roman" w:hAnsi="Times New Roman" w:cs="Times New Roman"/>
          <w:b/>
          <w:bCs/>
        </w:rPr>
      </w:pPr>
      <w:r>
        <w:rPr>
          <w:rFonts w:ascii="Times New Roman" w:hAnsi="Times New Roman" w:cs="Times New Roman"/>
        </w:rPr>
        <w:t xml:space="preserve">Migraine status was determined using the </w:t>
      </w:r>
      <w:proofErr w:type="spellStart"/>
      <w:r>
        <w:rPr>
          <w:rFonts w:ascii="Times New Roman" w:hAnsi="Times New Roman" w:cs="Times New Roman"/>
        </w:rPr>
        <w:t>Mickleborough</w:t>
      </w:r>
      <w:proofErr w:type="spellEnd"/>
      <w:r>
        <w:rPr>
          <w:rFonts w:ascii="Times New Roman" w:hAnsi="Times New Roman" w:cs="Times New Roman"/>
        </w:rPr>
        <w:t xml:space="preserve"> </w:t>
      </w:r>
      <w:r w:rsidR="00C414C2">
        <w:rPr>
          <w:rFonts w:ascii="Times New Roman" w:hAnsi="Times New Roman" w:cs="Times New Roman"/>
        </w:rPr>
        <w:t>M</w:t>
      </w:r>
      <w:r>
        <w:rPr>
          <w:rFonts w:ascii="Times New Roman" w:hAnsi="Times New Roman" w:cs="Times New Roman"/>
        </w:rPr>
        <w:t xml:space="preserve">igraine </w:t>
      </w:r>
      <w:r w:rsidR="00C414C2">
        <w:rPr>
          <w:rFonts w:ascii="Times New Roman" w:hAnsi="Times New Roman" w:cs="Times New Roman"/>
        </w:rPr>
        <w:t>Q</w:t>
      </w:r>
      <w:r>
        <w:rPr>
          <w:rFonts w:ascii="Times New Roman" w:hAnsi="Times New Roman" w:cs="Times New Roman"/>
        </w:rPr>
        <w:t xml:space="preserve">uestionnaire </w:t>
      </w:r>
      <w:r>
        <w:rPr>
          <w:rFonts w:ascii="Times New Roman" w:hAnsi="Times New Roman" w:cs="Times New Roman"/>
        </w:rPr>
        <w:fldChar w:fldCharType="begin"/>
      </w:r>
      <w:r w:rsidR="00154EBA">
        <w:rPr>
          <w:rFonts w:ascii="Times New Roman" w:hAnsi="Times New Roman" w:cs="Times New Roman"/>
        </w:rPr>
        <w:instrText xml:space="preserve"> ADDIN ZOTERO_ITEM CSL_CITATION {"citationID":"F3xXaldu","properties":{"formattedCitation":"(Mickleborough et al., 2016)","plainCitation":"(Mickleborough et al., 2016)","noteIndex":0},"citationItems":[{"id":94,"uris":["http://zotero.org/users/16246314/items/S9S2FL6W"],"itemData":{"id":94,"type":"article-journal","abstract":"Migraine is a headache disorder characterized by sensitivity to light and sound. Recent research has revealed abnormal visual-spatial attention in migraineurs in between headache attacks. Here, we ask whether these attentional abnormalities can be attributed to specific regions of the known attentional network to help characterize the abnormalities in migraine. Specifically, the ventral frontoparietal network of attention is involved with assessing the behavioural relevance of unattended stimuli. Given the decreased suppression of unattended stimuli reported in migraineurs, we hypothesized that migraineurs would have abnormal processing in the ventral portion of the frontoparietal network of attention. To address this, we used functional magnetic resonance imaging to assess the attentional control networks during visual spatial-orienting tasks in migraineurs (N = 16) as compared to non-migraine controls (N = 16). We employed two visual orienting paradigms with target discrimination tasks: (1) voluntary orienting to central arrow cues, and (2) reflexive orienting to peripheral flash cues. While both groups showed activation in the key areas of attentional processing networks, migraineurs showed less activation than non-migraine controls in a key area of the ventral frontoparietal network of attention, the right temporal parietal junction (rTPJ), during both voluntary and reflexive visual spatial orienting. Given the role of rTPJ is to assess the visual environment for behaviorally relevant sensory stimuli outside the focus of attention and signal other attentional areas to reorient attention to behaviorally salient stimuli, our findings fit with previous research showing that migraineurs lack suppression of unattended events and have heightened orienting to sudden onset stimuli in peripheral locations.","container-title":"Brain Topography","DOI":"10.1007/s10548-015-0459-x","ISSN":"1573-6792","issue":"3","journalAbbreviation":"Brain Topogr","language":"eng","note":"PMID: 26526045","page":"419-428","source":"PubMed","title":"Attentional Network Differences Between Migraineurs and Non-migraine Controls: fMRI Evidence","title-short":"Attentional Network Differences Between Migraineurs and Non-migraine Controls","volume":"29","author":[{"family":"Mickleborough","given":"Marla J. S."},{"family":"Ekstrand","given":"Chelsea"},{"family":"Gould","given":"Layla"},{"family":"Lorentz","given":"Eric J."},{"family":"Ellchuk","given":"Tasha"},{"family":"Babyn","given":"Paul"},{"family":"Borowsky","given":"Ron"}],"issued":{"date-parts":[["2016",5]]}}}],"schema":"https://github.com/citation-style-language/schema/raw/master/csl-citation.json"} </w:instrText>
      </w:r>
      <w:r>
        <w:rPr>
          <w:rFonts w:ascii="Times New Roman" w:hAnsi="Times New Roman" w:cs="Times New Roman"/>
        </w:rPr>
        <w:fldChar w:fldCharType="separate"/>
      </w:r>
      <w:r w:rsidR="00154EBA">
        <w:rPr>
          <w:rFonts w:ascii="Times New Roman" w:hAnsi="Times New Roman" w:cs="Times New Roman"/>
          <w:kern w:val="0"/>
          <w:lang w:val="en-US"/>
        </w:rPr>
        <w:t>(Mickleborough et al., 2016)</w:t>
      </w:r>
      <w:r>
        <w:rPr>
          <w:rFonts w:ascii="Times New Roman" w:hAnsi="Times New Roman" w:cs="Times New Roman"/>
        </w:rPr>
        <w:fldChar w:fldCharType="end"/>
      </w:r>
      <w:r>
        <w:rPr>
          <w:rFonts w:ascii="Times New Roman" w:hAnsi="Times New Roman" w:cs="Times New Roman"/>
        </w:rPr>
        <w:t xml:space="preserve">, which parallels the diagnostic framework outlined in the ICHD-3 </w:t>
      </w:r>
      <w:r>
        <w:rPr>
          <w:rFonts w:ascii="Times New Roman" w:hAnsi="Times New Roman" w:cs="Times New Roman"/>
        </w:rPr>
        <w:fldChar w:fldCharType="begin"/>
      </w:r>
      <w:r w:rsidR="00154EBA">
        <w:rPr>
          <w:rFonts w:ascii="Times New Roman" w:hAnsi="Times New Roman" w:cs="Times New Roman"/>
        </w:rPr>
        <w:instrText xml:space="preserve"> ADDIN ZOTERO_ITEM CSL_CITATION {"citationID":"dYGDtCxr","properties":{"formattedCitation":"(Headache Classification Committee of the International Headache Society (IHS), 2013)","plainCitation":"(Headache Classification Committee of the International Headache Society (IHS), 2013)","noteIndex":0},"citationItems":[{"id":52,"uris":["http://zotero.org/users/16246314/items/WLVUFQF4"],"itemData":{"id":52,"type":"article-journal","container-title":"Cephalalgia","DOI":"10.1177/0333102413485658","ISSN":"0333-1024, 1468-2982","issue":"9","journalAbbreviation":"Cephalalgia","language":"en","page":"629-808","source":"DOI.org (Crossref)","title":"The International Classification of Headache Disorders, 3rd edition (beta version)","volume":"33","author":[{"literal":"Headache Classification Committee of the International Headache Society (IHS)"}],"issued":{"date-parts":[["2013",7]]}}}],"schema":"https://github.com/citation-style-language/schema/raw/master/csl-citation.json"} </w:instrText>
      </w:r>
      <w:r>
        <w:rPr>
          <w:rFonts w:ascii="Times New Roman" w:hAnsi="Times New Roman" w:cs="Times New Roman"/>
        </w:rPr>
        <w:fldChar w:fldCharType="separate"/>
      </w:r>
      <w:r w:rsidR="00154EBA">
        <w:rPr>
          <w:rFonts w:ascii="Times New Roman" w:hAnsi="Times New Roman" w:cs="Times New Roman"/>
          <w:kern w:val="0"/>
          <w:lang w:val="en-US"/>
        </w:rPr>
        <w:t>(Headache Classification Committee of the International Headache Society (IHS), 2013)</w:t>
      </w:r>
      <w:r>
        <w:rPr>
          <w:rFonts w:ascii="Times New Roman" w:hAnsi="Times New Roman" w:cs="Times New Roman"/>
        </w:rPr>
        <w:fldChar w:fldCharType="end"/>
      </w:r>
      <w:r>
        <w:rPr>
          <w:rFonts w:ascii="Times New Roman" w:hAnsi="Times New Roman" w:cs="Times New Roman"/>
        </w:rPr>
        <w:t xml:space="preserve"> for probable migraine without aura, migraine without aura, probable migraine with aura, migraine with aura, and chronic migraine. Based on this criteria, 9 participants met the criteria for migraine without aura (8 females; mean age = 27.7), 4 met the criteria for migraine with aura (4 females; mean age = 27.75), and 9 met the criteria for probable migraine without aura (5 females; mean age = 30.33). Given that probable migraine shared symptom profiles and epidemiological characteristics with migraine, participants meeting criteria for probable migraine without aura, migraine without aura, migraine without aura, or migraine with aura were grouped into a single migraine group (22 participants; 17 females/5 males, mean age = 28.77). The migraine and control groups did not differ in age (</w:t>
      </w:r>
      <w:proofErr w:type="gramStart"/>
      <w:r w:rsidRPr="00BB747B">
        <w:rPr>
          <w:rFonts w:ascii="Times New Roman" w:hAnsi="Times New Roman" w:cs="Times New Roman"/>
          <w:i/>
          <w:iCs/>
        </w:rPr>
        <w:t>t</w:t>
      </w:r>
      <w:r>
        <w:rPr>
          <w:rFonts w:ascii="Times New Roman" w:hAnsi="Times New Roman" w:cs="Times New Roman"/>
        </w:rPr>
        <w:t>(</w:t>
      </w:r>
      <w:proofErr w:type="gramEnd"/>
      <w:r>
        <w:rPr>
          <w:rFonts w:ascii="Times New Roman" w:hAnsi="Times New Roman" w:cs="Times New Roman"/>
        </w:rPr>
        <w:t xml:space="preserve">41) = -1.287, </w:t>
      </w:r>
      <w:r w:rsidRPr="00BB747B">
        <w:rPr>
          <w:rFonts w:ascii="Times New Roman" w:hAnsi="Times New Roman" w:cs="Times New Roman"/>
          <w:i/>
          <w:iCs/>
        </w:rPr>
        <w:t>p</w:t>
      </w:r>
      <w:r>
        <w:rPr>
          <w:rFonts w:ascii="Times New Roman" w:hAnsi="Times New Roman" w:cs="Times New Roman"/>
        </w:rPr>
        <w:t xml:space="preserve"> = 0.205) or years of education (</w:t>
      </w:r>
      <w:proofErr w:type="gramStart"/>
      <w:r w:rsidRPr="00BB747B">
        <w:rPr>
          <w:rFonts w:ascii="Times New Roman" w:hAnsi="Times New Roman" w:cs="Times New Roman"/>
          <w:i/>
          <w:iCs/>
        </w:rPr>
        <w:t>t</w:t>
      </w:r>
      <w:r>
        <w:rPr>
          <w:rFonts w:ascii="Times New Roman" w:hAnsi="Times New Roman" w:cs="Times New Roman"/>
        </w:rPr>
        <w:t>(</w:t>
      </w:r>
      <w:proofErr w:type="gramEnd"/>
      <w:r>
        <w:rPr>
          <w:rFonts w:ascii="Times New Roman" w:hAnsi="Times New Roman" w:cs="Times New Roman"/>
        </w:rPr>
        <w:t xml:space="preserve">41) = 1.147, </w:t>
      </w:r>
      <w:r w:rsidRPr="00BB747B">
        <w:rPr>
          <w:rFonts w:ascii="Times New Roman" w:hAnsi="Times New Roman" w:cs="Times New Roman"/>
          <w:i/>
          <w:iCs/>
        </w:rPr>
        <w:t>p</w:t>
      </w:r>
      <w:r>
        <w:rPr>
          <w:rFonts w:ascii="Times New Roman" w:hAnsi="Times New Roman" w:cs="Times New Roman"/>
        </w:rPr>
        <w:t xml:space="preserve"> = 0.258). The migraine group had an average of 42.14 (standard deviation = 47.66) headaches a year, with the average headache lasting 16.52 hours (standard deviation = 23.26). The control group consisted of 21 participants (11 females/10 males, mean age = 25.52) and averaged 18.45 (standard deviation = 26.45) headaches a year, with the average headache lasting 1.69 hours (standard deviation = 1.36). Eighteen participants in the migraine group reported moderate-severe pain intensity and all participants in the control group reported headaches of only mild-moderate pain intensity. No participants reported a headache in the 48 hours prior to scanning.</w:t>
      </w:r>
    </w:p>
    <w:p w14:paraId="3A167B00" w14:textId="77777777" w:rsidR="005B3013" w:rsidRDefault="005B3013">
      <w:pPr>
        <w:rPr>
          <w:rFonts w:ascii="Times New Roman" w:eastAsia="Times New Roman" w:hAnsi="Times New Roman" w:cs="Times New Roman"/>
          <w:b/>
          <w:bCs/>
          <w:color w:val="212121"/>
          <w:kern w:val="0"/>
          <w14:ligatures w14:val="none"/>
        </w:rPr>
      </w:pPr>
      <w:r>
        <w:rPr>
          <w:rFonts w:ascii="Times New Roman" w:eastAsia="Times New Roman" w:hAnsi="Times New Roman" w:cs="Times New Roman"/>
          <w:b/>
          <w:bCs/>
          <w:color w:val="212121"/>
          <w:kern w:val="0"/>
          <w14:ligatures w14:val="none"/>
        </w:rPr>
        <w:br w:type="page"/>
      </w:r>
    </w:p>
    <w:p w14:paraId="1FC1636A" w14:textId="5262F9D0" w:rsidR="00F274CA" w:rsidRPr="00F274CA" w:rsidRDefault="00F274CA" w:rsidP="00AE30C0">
      <w:pPr>
        <w:rPr>
          <w:rFonts w:ascii="Times New Roman" w:eastAsia="Times New Roman" w:hAnsi="Times New Roman" w:cs="Times New Roman"/>
          <w:b/>
          <w:bCs/>
          <w:color w:val="212121"/>
          <w:kern w:val="0"/>
          <w14:ligatures w14:val="none"/>
        </w:rPr>
      </w:pPr>
      <w:r w:rsidRPr="00F274CA">
        <w:rPr>
          <w:rFonts w:ascii="Times New Roman" w:eastAsia="Times New Roman" w:hAnsi="Times New Roman" w:cs="Times New Roman"/>
          <w:b/>
          <w:bCs/>
          <w:color w:val="212121"/>
          <w:kern w:val="0"/>
          <w14:ligatures w14:val="none"/>
        </w:rPr>
        <w:lastRenderedPageBreak/>
        <w:t>Preprocessing</w:t>
      </w:r>
    </w:p>
    <w:p w14:paraId="02A5CAC7" w14:textId="4759070F" w:rsidR="008347DC" w:rsidRDefault="008347DC" w:rsidP="00AE30C0">
      <w:pPr>
        <w:ind w:firstLine="720"/>
        <w:rPr>
          <w:rFonts w:ascii="Times New Roman" w:eastAsia="Times New Roman" w:hAnsi="Times New Roman" w:cs="Times New Roman"/>
          <w:b/>
          <w:bCs/>
          <w:color w:val="212121"/>
          <w:kern w:val="0"/>
          <w14:ligatures w14:val="none"/>
        </w:rPr>
      </w:pPr>
      <w:r w:rsidRPr="00BD2CB2">
        <w:rPr>
          <w:rFonts w:ascii="Times New Roman" w:eastAsia="Times New Roman" w:hAnsi="Times New Roman" w:cs="Times New Roman"/>
          <w:color w:val="212121"/>
          <w:kern w:val="0"/>
          <w14:ligatures w14:val="none"/>
        </w:rPr>
        <w:t>Results included in this manuscript come from preprocessing performed using </w:t>
      </w:r>
      <w:r w:rsidRPr="00BD2CB2">
        <w:rPr>
          <w:rFonts w:ascii="Times New Roman" w:eastAsia="Times New Roman" w:hAnsi="Times New Roman" w:cs="Times New Roman"/>
          <w:i/>
          <w:iCs/>
          <w:color w:val="212121"/>
          <w:kern w:val="0"/>
          <w14:ligatures w14:val="none"/>
        </w:rPr>
        <w:t>fMRIPrep</w:t>
      </w:r>
      <w:r w:rsidRPr="00BD2CB2">
        <w:rPr>
          <w:rFonts w:ascii="Times New Roman" w:eastAsia="Times New Roman" w:hAnsi="Times New Roman" w:cs="Times New Roman"/>
          <w:color w:val="212121"/>
          <w:kern w:val="0"/>
          <w14:ligatures w14:val="none"/>
        </w:rPr>
        <w:t xml:space="preserve">21.0.1 </w:t>
      </w:r>
      <w:r w:rsidR="00CB43F3">
        <w:rPr>
          <w:rFonts w:ascii="Times New Roman" w:eastAsia="Times New Roman" w:hAnsi="Times New Roman" w:cs="Times New Roman"/>
          <w:color w:val="212121"/>
          <w:kern w:val="0"/>
          <w14:ligatures w14:val="none"/>
        </w:rPr>
        <w:fldChar w:fldCharType="begin"/>
      </w:r>
      <w:r w:rsidR="00154EBA">
        <w:rPr>
          <w:rFonts w:ascii="Times New Roman" w:eastAsia="Times New Roman" w:hAnsi="Times New Roman" w:cs="Times New Roman"/>
          <w:color w:val="212121"/>
          <w:kern w:val="0"/>
          <w14:ligatures w14:val="none"/>
        </w:rPr>
        <w:instrText xml:space="preserve"> ADDIN ZOTERO_ITEM CSL_CITATION {"citationID":"oIuYnGUe","properties":{"formattedCitation":"(Esteban et al., 2019)","plainCitation":"(Esteban et al., 2019)","noteIndex":0},"citationItems":[{"id":275,"uris":["http://zotero.org/users/16246314/items/J6DR2SKK"],"itemData":{"id":275,"type":"article-journal","abstract":"Preprocessing of functional magnetic resonance imaging (fMRI) involves numerous steps to clean and standardize the data before statistical analysis. Generally, researchers create ad hoc preprocessing workflows for each dataset, building upon a large inventory of available tools. The complexity of these workflows has snowballed with rapid advances in acquisition and processing. We introduce fMRIPrep, an analysis-agnostic tool that addresses the challenge of robust and reproducible preprocessing for fMRI data. fMRIPrep automatically adapts a best-in-breed workflow to the idiosyncrasies of virtually any dataset, ensuring high-quality preprocessing without manual intervention. By introducing visual assessment checkpoints into an iterative integration framework for software testing, we show that fMRIPrep robustly produces high-quality results on a diverse fMRI data collection. Additionally, fMRIPrep introduces less uncontrolled spatial smoothness than observed with commonly used preprocessing tools. fMRIPrep equips neuroscientists with an easy-to-use and transparent preprocessing workflow, which can help ensure the validity of inference and the interpretability of results.","container-title":"Nature Methods","DOI":"10.1038/s41592-018-0235-4","ISSN":"1548-7105","issue":"1","journalAbbreviation":"Nat Methods","language":"eng","note":"PMID: 30532080\nPMCID: PMC6319393","page":"111-116","source":"PubMed","title":"fMRIPrep: a robust preprocessing pipeline for functional MRI","title-short":"fMRIPrep","volume":"16","author":[{"family":"Esteban","given":"Oscar"},{"family":"Markiewicz","given":"Christopher J."},{"family":"Blair","given":"Ross W."},{"family":"Moodie","given":"Craig A."},{"family":"Isik","given":"A. Ilkay"},{"family":"Erramuzpe","given":"Asier"},{"family":"Kent","given":"James D."},{"family":"Goncalves","given":"Mathias"},{"family":"DuPre","given":"Elizabeth"},{"family":"Snyder","given":"Madeleine"},{"family":"Oya","given":"Hiroyuki"},{"family":"Ghosh","given":"Satrajit S."},{"family":"Wright","given":"Jessey"},{"family":"Durnez","given":"Joke"},{"family":"Poldrack","given":"Russell A."},{"family":"Gorgolewski","given":"Krzysztof J."}],"issued":{"date-parts":[["2019",1]]}}}],"schema":"https://github.com/citation-style-language/schema/raw/master/csl-citation.json"} </w:instrText>
      </w:r>
      <w:r w:rsidR="00CB43F3">
        <w:rPr>
          <w:rFonts w:ascii="Times New Roman" w:eastAsia="Times New Roman" w:hAnsi="Times New Roman" w:cs="Times New Roman"/>
          <w:color w:val="212121"/>
          <w:kern w:val="0"/>
          <w14:ligatures w14:val="none"/>
        </w:rPr>
        <w:fldChar w:fldCharType="separate"/>
      </w:r>
      <w:r w:rsidR="00154EBA">
        <w:rPr>
          <w:rFonts w:ascii="Times New Roman" w:hAnsi="Times New Roman" w:cs="Times New Roman"/>
          <w:color w:val="000000"/>
          <w:kern w:val="0"/>
          <w:lang w:val="en-US"/>
        </w:rPr>
        <w:t>(Esteban et al., 2019)</w:t>
      </w:r>
      <w:r w:rsidR="00CB43F3">
        <w:rPr>
          <w:rFonts w:ascii="Times New Roman" w:eastAsia="Times New Roman" w:hAnsi="Times New Roman" w:cs="Times New Roman"/>
          <w:color w:val="212121"/>
          <w:kern w:val="0"/>
          <w14:ligatures w14:val="none"/>
        </w:rPr>
        <w:fldChar w:fldCharType="end"/>
      </w:r>
      <w:r w:rsidR="00CB43F3">
        <w:rPr>
          <w:rFonts w:ascii="Times New Roman" w:eastAsia="Times New Roman" w:hAnsi="Times New Roman" w:cs="Times New Roman"/>
          <w:color w:val="212121"/>
          <w:kern w:val="0"/>
          <w14:ligatures w14:val="none"/>
        </w:rPr>
        <w:t xml:space="preserve">, </w:t>
      </w:r>
      <w:r w:rsidRPr="00BD2CB2">
        <w:rPr>
          <w:rFonts w:ascii="Times New Roman" w:eastAsia="Times New Roman" w:hAnsi="Times New Roman" w:cs="Times New Roman"/>
          <w:color w:val="212121"/>
          <w:kern w:val="0"/>
          <w14:ligatures w14:val="none"/>
        </w:rPr>
        <w:t>which is based on </w:t>
      </w:r>
      <w:proofErr w:type="spellStart"/>
      <w:r w:rsidRPr="00BD2CB2">
        <w:rPr>
          <w:rFonts w:ascii="Times New Roman" w:eastAsia="Times New Roman" w:hAnsi="Times New Roman" w:cs="Times New Roman"/>
          <w:i/>
          <w:iCs/>
          <w:color w:val="212121"/>
          <w:kern w:val="0"/>
          <w14:ligatures w14:val="none"/>
        </w:rPr>
        <w:t>Nipype</w:t>
      </w:r>
      <w:proofErr w:type="spellEnd"/>
      <w:r w:rsidRPr="00BD2CB2">
        <w:rPr>
          <w:rFonts w:ascii="Times New Roman" w:eastAsia="Times New Roman" w:hAnsi="Times New Roman" w:cs="Times New Roman"/>
          <w:color w:val="212121"/>
          <w:kern w:val="0"/>
          <w14:ligatures w14:val="none"/>
        </w:rPr>
        <w:t> 1.6.1</w:t>
      </w:r>
      <w:r w:rsidR="00CB43F3">
        <w:rPr>
          <w:rFonts w:ascii="Times New Roman" w:eastAsia="Times New Roman" w:hAnsi="Times New Roman" w:cs="Times New Roman"/>
          <w:color w:val="212121"/>
          <w:kern w:val="0"/>
          <w14:ligatures w14:val="none"/>
        </w:rPr>
        <w:t xml:space="preserve"> </w:t>
      </w:r>
      <w:r w:rsidR="00CB43F3">
        <w:rPr>
          <w:rFonts w:ascii="Times New Roman" w:eastAsia="Times New Roman" w:hAnsi="Times New Roman" w:cs="Times New Roman"/>
          <w:color w:val="212121"/>
          <w:kern w:val="0"/>
          <w14:ligatures w14:val="none"/>
        </w:rPr>
        <w:fldChar w:fldCharType="begin"/>
      </w:r>
      <w:r w:rsidR="00154EBA">
        <w:rPr>
          <w:rFonts w:ascii="Times New Roman" w:eastAsia="Times New Roman" w:hAnsi="Times New Roman" w:cs="Times New Roman"/>
          <w:color w:val="212121"/>
          <w:kern w:val="0"/>
          <w14:ligatures w14:val="none"/>
        </w:rPr>
        <w:instrText xml:space="preserve"> ADDIN ZOTERO_ITEM CSL_CITATION {"citationID":"iFNKymZn","properties":{"formattedCitation":"(Gorgolewski et al., 2011)","plainCitation":"(Gorgolewski et al., 2011)","noteIndex":0},"citationItems":[{"id":1589,"uris":["http://zotero.org/users/16246314/items/IL9NEK8G"],"itemData":{"id":1589,"type":"article-journal","abstract":"Current neuroimaging software offer users an incredible opportunity to analyze their data in different ways, with different underlying assumptions. Several sophisticated software packages (e.g., AFNI, BrainVoyager, FSL, FreeSurfer, Nipy, R, SPM) are used to process and analyze large and often diverse (highly multi-dimensional) data. However, this heterogeneous collection of specialized applications creates several issues that hinder replicable, efficient, and optimal use of neuroimaging analysis approaches: (1) No uniform access to neuroimaging analysis software and usage information; (2) No framework for comparative algorithm development and dissemination; (3) Personnel turnover in laboratories often limits methodological continuity and training new personnel takes time; (4) Neuroimaging software packages do not address computational efficiency; and (5) Methods sections in journal articles are inadequate for reproducing results. To address these issues, we present Nipype (Neuroimaging in Python: Pipelines and Interfaces; http://nipy.org/nipype), an open-source, community-developed, software package, and scriptable library. Nipype solves the issues by providing Interfaces to existing neuroimaging software with uniform usage semantics and by facilitating interaction between these packages using Workflows. Nipype provides an environment that encourages interactive exploration of algorithms, eases the design of Workflows within and between packages, allows rapid comparative development of algorithms and reduces the learning curve necessary to use different packages. Nipype supports both local and remote execution on multi-core machines and clusters, without additional scripting. Nipype is Berkeley Software Distribution licensed, allowing anyone unrestricted usage. An open, community-driven development philosophy allows the software to quickly adapt and address the varied needs of the evolving neuroimaging community, especially in the context of increasing demand for reproducible research.","container-title":"Frontiers in Neuroinformatics","DOI":"10.3389/fninf.2011.00013","ISSN":"1662-5196","journalAbbreviation":"Front Neuroinform","language":"eng","note":"PMCID: PMC3159964\nPMID: 21897815","page":"13","source":"PubMed","title":"Nipype: a flexible, lightweight and extensible neuroimaging data processing framework in python","title-short":"Nipype","volume":"5","author":[{"family":"Gorgolewski","given":"Krzysztof"},{"family":"Burns","given":"Christopher D."},{"family":"Madison","given":"Cindee"},{"family":"Clark","given":"Dav"},{"family":"Halchenko","given":"Yaroslav O."},{"family":"Waskom","given":"Michael L."},{"family":"Ghosh","given":"Satrajit S."}],"issued":{"date-parts":[["2011"]]}}}],"schema":"https://github.com/citation-style-language/schema/raw/master/csl-citation.json"} </w:instrText>
      </w:r>
      <w:r w:rsidR="00CB43F3">
        <w:rPr>
          <w:rFonts w:ascii="Times New Roman" w:eastAsia="Times New Roman" w:hAnsi="Times New Roman" w:cs="Times New Roman"/>
          <w:color w:val="212121"/>
          <w:kern w:val="0"/>
          <w14:ligatures w14:val="none"/>
        </w:rPr>
        <w:fldChar w:fldCharType="separate"/>
      </w:r>
      <w:r w:rsidR="00154EBA">
        <w:rPr>
          <w:rFonts w:ascii="Times New Roman" w:hAnsi="Times New Roman" w:cs="Times New Roman"/>
          <w:color w:val="000000"/>
          <w:kern w:val="0"/>
          <w:lang w:val="en-US"/>
        </w:rPr>
        <w:t>(Gorgolewski et al., 2011)</w:t>
      </w:r>
      <w:r w:rsidR="00CB43F3">
        <w:rPr>
          <w:rFonts w:ascii="Times New Roman" w:eastAsia="Times New Roman" w:hAnsi="Times New Roman" w:cs="Times New Roman"/>
          <w:color w:val="212121"/>
          <w:kern w:val="0"/>
          <w14:ligatures w14:val="none"/>
        </w:rPr>
        <w:fldChar w:fldCharType="end"/>
      </w:r>
      <w:r w:rsidR="00CB43F3">
        <w:rPr>
          <w:rFonts w:ascii="Times New Roman" w:eastAsia="Times New Roman" w:hAnsi="Times New Roman" w:cs="Times New Roman"/>
          <w:color w:val="212121"/>
          <w:kern w:val="0"/>
          <w14:ligatures w14:val="none"/>
        </w:rPr>
        <w:t>.</w:t>
      </w:r>
      <w:r>
        <w:rPr>
          <w:rFonts w:ascii="Times New Roman" w:eastAsia="Times New Roman" w:hAnsi="Times New Roman" w:cs="Times New Roman"/>
          <w:color w:val="212121"/>
          <w:kern w:val="0"/>
          <w14:ligatures w14:val="none"/>
        </w:rPr>
        <w:br/>
      </w:r>
      <w:r w:rsidRPr="00F274CA">
        <w:rPr>
          <w:rFonts w:ascii="Times New Roman" w:eastAsia="Times New Roman" w:hAnsi="Times New Roman" w:cs="Times New Roman"/>
          <w:b/>
          <w:bCs/>
          <w:i/>
          <w:iCs/>
          <w:color w:val="212121"/>
          <w:kern w:val="0"/>
          <w14:ligatures w14:val="none"/>
        </w:rPr>
        <w:t>Anatomical Preprocessing</w:t>
      </w:r>
    </w:p>
    <w:p w14:paraId="2D60F568" w14:textId="22093EA3" w:rsidR="008347DC" w:rsidRDefault="008347DC" w:rsidP="00AE30C0">
      <w:pPr>
        <w:ind w:firstLine="720"/>
        <w:rPr>
          <w:rFonts w:ascii="Times New Roman" w:eastAsia="Times New Roman" w:hAnsi="Times New Roman" w:cs="Times New Roman"/>
          <w:color w:val="212121"/>
          <w:kern w:val="0"/>
          <w14:ligatures w14:val="none"/>
        </w:rPr>
      </w:pPr>
      <w:r w:rsidRPr="00BD2CB2">
        <w:rPr>
          <w:rFonts w:ascii="Times New Roman" w:eastAsia="Times New Roman" w:hAnsi="Times New Roman" w:cs="Times New Roman"/>
          <w:color w:val="212121"/>
          <w:kern w:val="0"/>
          <w14:ligatures w14:val="none"/>
        </w:rPr>
        <w:t xml:space="preserve">A total of 1 T1-weighted (T1w) images </w:t>
      </w:r>
      <w:r>
        <w:rPr>
          <w:rFonts w:ascii="Times New Roman" w:eastAsia="Times New Roman" w:hAnsi="Times New Roman" w:cs="Times New Roman"/>
          <w:color w:val="212121"/>
          <w:kern w:val="0"/>
          <w14:ligatures w14:val="none"/>
        </w:rPr>
        <w:t xml:space="preserve">per subject </w:t>
      </w:r>
      <w:r w:rsidRPr="00BD2CB2">
        <w:rPr>
          <w:rFonts w:ascii="Times New Roman" w:eastAsia="Times New Roman" w:hAnsi="Times New Roman" w:cs="Times New Roman"/>
          <w:color w:val="212121"/>
          <w:kern w:val="0"/>
          <w14:ligatures w14:val="none"/>
        </w:rPr>
        <w:t>were found within the input BIDS dataset.</w:t>
      </w:r>
      <w:r>
        <w:rPr>
          <w:rFonts w:ascii="Times New Roman" w:eastAsia="Times New Roman" w:hAnsi="Times New Roman" w:cs="Times New Roman"/>
          <w:color w:val="212121"/>
          <w:kern w:val="0"/>
          <w14:ligatures w14:val="none"/>
        </w:rPr>
        <w:t xml:space="preserve"> </w:t>
      </w:r>
      <w:r w:rsidRPr="00BD2CB2">
        <w:rPr>
          <w:rFonts w:ascii="Times New Roman" w:eastAsia="Times New Roman" w:hAnsi="Times New Roman" w:cs="Times New Roman"/>
          <w:color w:val="212121"/>
          <w:kern w:val="0"/>
          <w14:ligatures w14:val="none"/>
        </w:rPr>
        <w:t>The T1-weighted (T1w) image was corrected for intensity non-uniformity (INU) with N4BiasFieldCorrection </w:t>
      </w:r>
      <w:r w:rsidR="00CB43F3">
        <w:rPr>
          <w:rFonts w:ascii="Times New Roman" w:eastAsia="Times New Roman" w:hAnsi="Times New Roman" w:cs="Times New Roman"/>
          <w:color w:val="212121"/>
          <w:kern w:val="0"/>
          <w14:ligatures w14:val="none"/>
        </w:rPr>
        <w:fldChar w:fldCharType="begin"/>
      </w:r>
      <w:r w:rsidR="00154EBA">
        <w:rPr>
          <w:rFonts w:ascii="Times New Roman" w:eastAsia="Times New Roman" w:hAnsi="Times New Roman" w:cs="Times New Roman"/>
          <w:color w:val="212121"/>
          <w:kern w:val="0"/>
          <w14:ligatures w14:val="none"/>
        </w:rPr>
        <w:instrText xml:space="preserve"> ADDIN ZOTERO_ITEM CSL_CITATION {"citationID":"hDmBeq2X","properties":{"formattedCitation":"(Tustison et al., 2010)","plainCitation":"(Tustison et al., 2010)","noteIndex":0},"citationItems":[{"id":294,"uris":["http://zotero.org/users/16246314/items/PFYG96GF"],"itemData":{"id":294,"type":"article-journal","abstract":"A variant of the popular nonparametric nonuniform intensity normalization (N3) algorithm is proposed for bias field correction. Given the superb performance of N3 and its public availability, it has been the subject of several evaluation studies. These studies have demonstrated the importance of certain parameters associated with the B-spline least-squares fitting. We propose the substitution of a recently developed fast and robust B-spline approximation routine and a modified hierarchical optimization scheme for improved bias field correction over the original N3 algorithm. Similar to the N3 algorithm, we also make the source code, testing, and technical documentation of our contribution, which we denote as \"N4ITK,\" available to the public through the Insight Toolkit of the National Institutes of Health. Performance assessment is demonstrated using simulated data from the publicly available Brainweb database, hyperpolarized (3)He lung image data, and 9.4T postmortem hippocampus data.","container-title":"IEEE transactions on medical imaging","DOI":"10.1109/TMI.2010.2046908","ISSN":"1558-254X","issue":"6","journalAbbreviation":"IEEE Trans Med Imaging","language":"eng","note":"PMID: 20378467\nPMCID: PMC3071855","page":"1310-1320","source":"PubMed","title":"N4ITK: improved N3 bias correction","title-short":"N4ITK","volume":"29","author":[{"family":"Tustison","given":"Nicholas J."},{"family":"Avants","given":"Brian B."},{"family":"Cook","given":"Philip A."},{"family":"Zheng","given":"Yuanjie"},{"family":"Egan","given":"Alexander"},{"family":"Yushkevich","given":"Paul A."},{"family":"Gee","given":"James C."}],"issued":{"date-parts":[["2010",6]]}}}],"schema":"https://github.com/citation-style-language/schema/raw/master/csl-citation.json"} </w:instrText>
      </w:r>
      <w:r w:rsidR="00CB43F3">
        <w:rPr>
          <w:rFonts w:ascii="Times New Roman" w:eastAsia="Times New Roman" w:hAnsi="Times New Roman" w:cs="Times New Roman"/>
          <w:color w:val="212121"/>
          <w:kern w:val="0"/>
          <w14:ligatures w14:val="none"/>
        </w:rPr>
        <w:fldChar w:fldCharType="separate"/>
      </w:r>
      <w:r w:rsidR="00154EBA">
        <w:rPr>
          <w:rFonts w:ascii="Times New Roman" w:hAnsi="Times New Roman" w:cs="Times New Roman"/>
          <w:color w:val="000000"/>
          <w:kern w:val="0"/>
          <w:lang w:val="en-US"/>
        </w:rPr>
        <w:t>(Tustison et al., 2010)</w:t>
      </w:r>
      <w:r w:rsidR="00CB43F3">
        <w:rPr>
          <w:rFonts w:ascii="Times New Roman" w:eastAsia="Times New Roman" w:hAnsi="Times New Roman" w:cs="Times New Roman"/>
          <w:color w:val="212121"/>
          <w:kern w:val="0"/>
          <w14:ligatures w14:val="none"/>
        </w:rPr>
        <w:fldChar w:fldCharType="end"/>
      </w:r>
      <w:r w:rsidR="00CB43F3">
        <w:rPr>
          <w:rFonts w:ascii="Times New Roman" w:eastAsia="Times New Roman" w:hAnsi="Times New Roman" w:cs="Times New Roman"/>
          <w:color w:val="212121"/>
          <w:kern w:val="0"/>
          <w14:ligatures w14:val="none"/>
        </w:rPr>
        <w:t xml:space="preserve">, </w:t>
      </w:r>
      <w:r w:rsidRPr="00BD2CB2">
        <w:rPr>
          <w:rFonts w:ascii="Times New Roman" w:eastAsia="Times New Roman" w:hAnsi="Times New Roman" w:cs="Times New Roman"/>
          <w:color w:val="212121"/>
          <w:kern w:val="0"/>
          <w14:ligatures w14:val="none"/>
        </w:rPr>
        <w:t>distributed with ANTs 2.3.3 </w:t>
      </w:r>
      <w:r w:rsidR="00CB43F3">
        <w:rPr>
          <w:rFonts w:ascii="Times New Roman" w:eastAsia="Times New Roman" w:hAnsi="Times New Roman" w:cs="Times New Roman"/>
          <w:color w:val="212121"/>
          <w:kern w:val="0"/>
          <w14:ligatures w14:val="none"/>
        </w:rPr>
        <w:fldChar w:fldCharType="begin"/>
      </w:r>
      <w:r w:rsidR="00154EBA">
        <w:rPr>
          <w:rFonts w:ascii="Times New Roman" w:eastAsia="Times New Roman" w:hAnsi="Times New Roman" w:cs="Times New Roman"/>
          <w:color w:val="212121"/>
          <w:kern w:val="0"/>
          <w14:ligatures w14:val="none"/>
        </w:rPr>
        <w:instrText xml:space="preserve"> ADDIN ZOTERO_ITEM CSL_CITATION {"citationID":"mQ0xKqYb","properties":{"formattedCitation":"(Avants et al., 2008)","plainCitation":"(Avants et al., 2008)","noteIndex":0},"citationItems":[{"id":299,"uris":["http://zotero.org/users/16246314/items/PVCR4DB9"],"itemData":{"id":299,"type":"article-journal","abstract":"One of the most challenging problems in modern neuroimaging is detailed characterization of neurodegeneration. Quantifying spatial and longitudinal atrophy patterns is an important component of this process. These spatiotemporal signals will aid in discriminating between related diseases, such as frontotemporal dementia (FTD) and Alzheimer's disease (AD), which manifest themselves in the same at-risk population. Here, we develop a novel symmetric image normalization method (SyN) for maximizing the cross-correlation within the space of diffeomorphic maps and provide the Euler-Lagrange equations necessary for this optimization. We then turn to a careful evaluation of our method. Our evaluation uses gold standard, human cortical segmentation to contrast SyN's performance with a related elastic method and with the standard ITK implementation of Thirion's Demons algorithm. The new method compares favorably with both approaches, in particular when the distance between the template brain and the target brain is large. We then report the correlation of volumes gained by algorithmic cortical labelings of FTD and control subjects with those gained by the manual rater. This comparison shows that, of the three methods tested, SyN's volume measurements are the most strongly correlated with volume measurements gained by expert labeling. This study indicates that SyN, with cross-correlation, is a reliable method for normalizing and making anatomical measurements in volumetric MRI of patients and at-risk elderly individuals.","container-title":"Medical Image Analysis","DOI":"10.1016/j.media.2007.06.004","ISSN":"1361-8423","issue":"1","journalAbbreviation":"Med Image Anal","language":"eng","note":"PMID: 17659998\nPMCID: PMC2276735","page":"26-41","source":"PubMed","title":"Symmetric diffeomorphic image registration with cross-correlation: evaluating automated labeling of elderly and neurodegenerative brain","title-short":"Symmetric diffeomorphic image registration with cross-correlation","volume":"12","author":[{"family":"Avants","given":"B. B."},{"family":"Epstein","given":"C. L."},{"family":"Grossman","given":"M."},{"family":"Gee","given":"J. C."}],"issued":{"date-parts":[["2008",2]]}}}],"schema":"https://github.com/citation-style-language/schema/raw/master/csl-citation.json"} </w:instrText>
      </w:r>
      <w:r w:rsidR="00CB43F3">
        <w:rPr>
          <w:rFonts w:ascii="Times New Roman" w:eastAsia="Times New Roman" w:hAnsi="Times New Roman" w:cs="Times New Roman"/>
          <w:color w:val="212121"/>
          <w:kern w:val="0"/>
          <w14:ligatures w14:val="none"/>
        </w:rPr>
        <w:fldChar w:fldCharType="separate"/>
      </w:r>
      <w:r w:rsidR="00154EBA">
        <w:rPr>
          <w:rFonts w:ascii="Times New Roman" w:hAnsi="Times New Roman" w:cs="Times New Roman"/>
          <w:color w:val="000000"/>
          <w:kern w:val="0"/>
          <w:lang w:val="en-US"/>
        </w:rPr>
        <w:t>(Avants et al., 2008)</w:t>
      </w:r>
      <w:r w:rsidR="00CB43F3">
        <w:rPr>
          <w:rFonts w:ascii="Times New Roman" w:eastAsia="Times New Roman" w:hAnsi="Times New Roman" w:cs="Times New Roman"/>
          <w:color w:val="212121"/>
          <w:kern w:val="0"/>
          <w14:ligatures w14:val="none"/>
        </w:rPr>
        <w:fldChar w:fldCharType="end"/>
      </w:r>
      <w:r w:rsidRPr="00BD2CB2">
        <w:rPr>
          <w:rFonts w:ascii="Times New Roman" w:eastAsia="Times New Roman" w:hAnsi="Times New Roman" w:cs="Times New Roman"/>
          <w:color w:val="212121"/>
          <w:kern w:val="0"/>
          <w14:ligatures w14:val="none"/>
        </w:rPr>
        <w:t xml:space="preserve"> and used as T1w-reference throughout the workflow. The T1w-reference was then skull-stripped with a </w:t>
      </w:r>
      <w:proofErr w:type="spellStart"/>
      <w:r w:rsidRPr="00BD2CB2">
        <w:rPr>
          <w:rFonts w:ascii="Times New Roman" w:eastAsia="Times New Roman" w:hAnsi="Times New Roman" w:cs="Times New Roman"/>
          <w:i/>
          <w:iCs/>
          <w:color w:val="212121"/>
          <w:kern w:val="0"/>
          <w14:ligatures w14:val="none"/>
        </w:rPr>
        <w:t>Nipype</w:t>
      </w:r>
      <w:proofErr w:type="spellEnd"/>
      <w:r>
        <w:rPr>
          <w:rFonts w:ascii="Times New Roman" w:eastAsia="Times New Roman" w:hAnsi="Times New Roman" w:cs="Times New Roman"/>
          <w:i/>
          <w:iCs/>
          <w:color w:val="212121"/>
          <w:kern w:val="0"/>
          <w14:ligatures w14:val="none"/>
        </w:rPr>
        <w:t xml:space="preserve"> </w:t>
      </w:r>
      <w:r w:rsidRPr="00BD2CB2">
        <w:rPr>
          <w:rFonts w:ascii="Times New Roman" w:eastAsia="Times New Roman" w:hAnsi="Times New Roman" w:cs="Times New Roman"/>
          <w:color w:val="212121"/>
          <w:kern w:val="0"/>
          <w14:ligatures w14:val="none"/>
        </w:rPr>
        <w:t>implementation of the antsBrainExtraction.sh workflow (from ANTs), using OASIS30ANTs as target template. Brain tissue segmentation of cerebrospinal fluid (CSF), white-matter (WM) and gray-matter (GM) was performed on the brain-extracted T1w using fast</w:t>
      </w:r>
      <w:r w:rsidR="00CB43F3">
        <w:rPr>
          <w:rFonts w:ascii="Times New Roman" w:eastAsia="Times New Roman" w:hAnsi="Times New Roman" w:cs="Times New Roman"/>
          <w:color w:val="212121"/>
          <w:kern w:val="0"/>
          <w14:ligatures w14:val="none"/>
        </w:rPr>
        <w:t xml:space="preserve">. </w:t>
      </w:r>
      <w:r w:rsidRPr="00BD2CB2">
        <w:rPr>
          <w:rFonts w:ascii="Times New Roman" w:eastAsia="Times New Roman" w:hAnsi="Times New Roman" w:cs="Times New Roman"/>
          <w:color w:val="212121"/>
          <w:kern w:val="0"/>
          <w14:ligatures w14:val="none"/>
        </w:rPr>
        <w:t>Volume-based spatial normalization to one standard space (MNI152NLin2009cAsym) was performed through nonlinear registration with </w:t>
      </w:r>
      <w:proofErr w:type="spellStart"/>
      <w:r w:rsidRPr="00BD2CB2">
        <w:rPr>
          <w:rFonts w:ascii="Times New Roman" w:eastAsia="Times New Roman" w:hAnsi="Times New Roman" w:cs="Times New Roman"/>
          <w:color w:val="212121"/>
          <w:kern w:val="0"/>
          <w14:ligatures w14:val="none"/>
        </w:rPr>
        <w:t>antsRegistration</w:t>
      </w:r>
      <w:proofErr w:type="spellEnd"/>
      <w:r w:rsidRPr="00BD2CB2">
        <w:rPr>
          <w:rFonts w:ascii="Times New Roman" w:eastAsia="Times New Roman" w:hAnsi="Times New Roman" w:cs="Times New Roman"/>
          <w:color w:val="212121"/>
          <w:kern w:val="0"/>
          <w14:ligatures w14:val="none"/>
        </w:rPr>
        <w:t> (ANTs 2.3.3), using brain-extracted versions of both T1w reference and the T1w template. The following template was selected for spatial normalization: </w:t>
      </w:r>
      <w:r w:rsidRPr="00BD2CB2">
        <w:rPr>
          <w:rFonts w:ascii="Times New Roman" w:eastAsia="Times New Roman" w:hAnsi="Times New Roman" w:cs="Times New Roman"/>
          <w:i/>
          <w:iCs/>
          <w:color w:val="212121"/>
          <w:kern w:val="0"/>
          <w14:ligatures w14:val="none"/>
        </w:rPr>
        <w:t>ICBM 152 Nonlinear Asymmetrical template version 2009c</w:t>
      </w:r>
      <w:r w:rsidR="00CB43F3">
        <w:rPr>
          <w:rFonts w:ascii="Times New Roman" w:eastAsia="Times New Roman" w:hAnsi="Times New Roman" w:cs="Times New Roman"/>
          <w:i/>
          <w:iCs/>
          <w:color w:val="212121"/>
          <w:kern w:val="0"/>
          <w14:ligatures w14:val="none"/>
        </w:rPr>
        <w:t>.</w:t>
      </w:r>
    </w:p>
    <w:p w14:paraId="7BB36AB3" w14:textId="77777777" w:rsidR="008347DC" w:rsidRPr="00F274CA" w:rsidRDefault="008347DC" w:rsidP="00AE30C0">
      <w:pPr>
        <w:rPr>
          <w:rFonts w:ascii="Times New Roman" w:eastAsia="Times New Roman" w:hAnsi="Times New Roman" w:cs="Times New Roman"/>
          <w:b/>
          <w:bCs/>
          <w:i/>
          <w:iCs/>
          <w:color w:val="212121"/>
          <w:kern w:val="0"/>
          <w14:ligatures w14:val="none"/>
        </w:rPr>
      </w:pPr>
      <w:r w:rsidRPr="00F274CA">
        <w:rPr>
          <w:rFonts w:ascii="Times New Roman" w:eastAsia="Times New Roman" w:hAnsi="Times New Roman" w:cs="Times New Roman"/>
          <w:b/>
          <w:bCs/>
          <w:i/>
          <w:iCs/>
          <w:color w:val="212121"/>
          <w:kern w:val="0"/>
          <w14:ligatures w14:val="none"/>
        </w:rPr>
        <w:t>Functional Data Preprocessing</w:t>
      </w:r>
    </w:p>
    <w:p w14:paraId="2D1156A8" w14:textId="3B6CB117" w:rsidR="008347DC" w:rsidRDefault="008347DC" w:rsidP="00AE30C0">
      <w:pPr>
        <w:ind w:firstLine="720"/>
        <w:rPr>
          <w:rFonts w:ascii="Times New Roman" w:eastAsia="Times New Roman" w:hAnsi="Times New Roman" w:cs="Times New Roman"/>
          <w:color w:val="212121"/>
          <w:kern w:val="0"/>
          <w14:ligatures w14:val="none"/>
        </w:rPr>
      </w:pPr>
      <w:r w:rsidRPr="00BD2CB2">
        <w:rPr>
          <w:rFonts w:ascii="Times New Roman" w:eastAsia="Times New Roman" w:hAnsi="Times New Roman" w:cs="Times New Roman"/>
          <w:color w:val="212121"/>
          <w:kern w:val="0"/>
          <w14:ligatures w14:val="none"/>
        </w:rPr>
        <w:t xml:space="preserve">For each of the </w:t>
      </w:r>
      <w:r>
        <w:rPr>
          <w:rFonts w:ascii="Times New Roman" w:eastAsia="Times New Roman" w:hAnsi="Times New Roman" w:cs="Times New Roman"/>
          <w:color w:val="212121"/>
          <w:kern w:val="0"/>
          <w14:ligatures w14:val="none"/>
        </w:rPr>
        <w:t>3 EPI image series</w:t>
      </w:r>
      <w:r w:rsidRPr="00BD2CB2">
        <w:rPr>
          <w:rFonts w:ascii="Times New Roman" w:eastAsia="Times New Roman" w:hAnsi="Times New Roman" w:cs="Times New Roman"/>
          <w:color w:val="212121"/>
          <w:kern w:val="0"/>
          <w14:ligatures w14:val="none"/>
        </w:rPr>
        <w:t xml:space="preserve"> found per subject (across all tasks and sessions), the following preprocessing was performed. First, a reference volume and its skull-stripped version were generated using a custom methodology of </w:t>
      </w:r>
      <w:proofErr w:type="spellStart"/>
      <w:r w:rsidRPr="00BD2CB2">
        <w:rPr>
          <w:rFonts w:ascii="Times New Roman" w:eastAsia="Times New Roman" w:hAnsi="Times New Roman" w:cs="Times New Roman"/>
          <w:i/>
          <w:iCs/>
          <w:color w:val="212121"/>
          <w:kern w:val="0"/>
          <w14:ligatures w14:val="none"/>
        </w:rPr>
        <w:t>fMRIPrep</w:t>
      </w:r>
      <w:proofErr w:type="spellEnd"/>
      <w:r w:rsidRPr="00BD2CB2">
        <w:rPr>
          <w:rFonts w:ascii="Times New Roman" w:eastAsia="Times New Roman" w:hAnsi="Times New Roman" w:cs="Times New Roman"/>
          <w:color w:val="212121"/>
          <w:kern w:val="0"/>
          <w14:ligatures w14:val="none"/>
        </w:rPr>
        <w:t>. Head-motion parameters with respect to the BOLD reference (transformation matrices, and six corresponding rotation and translation parameters) are estimated before any spatiotemporal filtering using </w:t>
      </w:r>
      <w:proofErr w:type="spellStart"/>
      <w:r w:rsidRPr="00BD2CB2">
        <w:rPr>
          <w:rFonts w:ascii="Times New Roman" w:eastAsia="Times New Roman" w:hAnsi="Times New Roman" w:cs="Times New Roman"/>
          <w:color w:val="212121"/>
          <w:kern w:val="0"/>
          <w14:ligatures w14:val="none"/>
        </w:rPr>
        <w:t>mcflirt</w:t>
      </w:r>
      <w:proofErr w:type="spellEnd"/>
      <w:r w:rsidR="00CB43F3">
        <w:rPr>
          <w:rFonts w:ascii="Times New Roman" w:eastAsia="Times New Roman" w:hAnsi="Times New Roman" w:cs="Times New Roman"/>
          <w:color w:val="212121"/>
          <w:kern w:val="0"/>
          <w14:ligatures w14:val="none"/>
        </w:rPr>
        <w:t xml:space="preserve">. </w:t>
      </w:r>
      <w:r w:rsidRPr="00BD2CB2">
        <w:rPr>
          <w:rFonts w:ascii="Times New Roman" w:eastAsia="Times New Roman" w:hAnsi="Times New Roman" w:cs="Times New Roman"/>
          <w:color w:val="212121"/>
          <w:kern w:val="0"/>
          <w14:ligatures w14:val="none"/>
        </w:rPr>
        <w:t>BOLD runs were slice-time corrected to 0.69s (0.5 of slice acquisition range 0s-1.38s) using 3dTshift from AFNI</w:t>
      </w:r>
      <w:r w:rsidR="00CB43F3">
        <w:rPr>
          <w:rFonts w:ascii="Times New Roman" w:eastAsia="Times New Roman" w:hAnsi="Times New Roman" w:cs="Times New Roman"/>
          <w:color w:val="212121"/>
          <w:kern w:val="0"/>
          <w14:ligatures w14:val="none"/>
        </w:rPr>
        <w:fldChar w:fldCharType="begin"/>
      </w:r>
      <w:r w:rsidR="00154EBA">
        <w:rPr>
          <w:rFonts w:ascii="Times New Roman" w:eastAsia="Times New Roman" w:hAnsi="Times New Roman" w:cs="Times New Roman"/>
          <w:color w:val="212121"/>
          <w:kern w:val="0"/>
          <w14:ligatures w14:val="none"/>
        </w:rPr>
        <w:instrText xml:space="preserve"> ADDIN ZOTERO_ITEM CSL_CITATION {"citationID":"aLF51gLq","properties":{"formattedCitation":"(Cox, 1996)","plainCitation":"(Cox, 1996)","noteIndex":0},"citationItems":[{"id":280,"uris":["http://zotero.org/users/16246314/items/Z8JGMLCC"],"itemData":{"id":280,"type":"article-journal","abstract":"A package of computer programs for analysis and visualization of three-dimensional human brain functional magnetic resonance imaging (FMRI) results is described. The software can color overlay neural activation maps onto higher resolution anatomical scans. Slices in each cardinal plane can be viewed simultaneously. Manual placement of markers on anatomical landmarks allows transformation of anatomical and functional scans into stereotaxic (Talairach-Tournoux) coordinates. The techniques for automatically generating transformed functional data sets from manually labeled anatomical data sets are described. Facilities are provided for several types of statistical analyses of multiple 3D functional data sets. The programs are written in ANSI C and Motif 1.2 to run on Unix workstations.","container-title":"Computers and Biomedical Research, an International Journal","DOI":"10.1006/cbmr.1996.0014","ISSN":"0010-4809","issue":"3","journalAbbreviation":"Comput Biomed Res","language":"eng","note":"PMID: 8812068","page":"162-173","source":"PubMed","title":"AFNI: software for analysis and visualization of functional magnetic resonance neuroimages","title-short":"AFNI","volume":"29","author":[{"family":"Cox","given":"R. W."}],"issued":{"date-parts":[["1996",6]]}}}],"schema":"https://github.com/citation-style-language/schema/raw/master/csl-citation.json"} </w:instrText>
      </w:r>
      <w:r w:rsidR="00CB43F3">
        <w:rPr>
          <w:rFonts w:ascii="Times New Roman" w:eastAsia="Times New Roman" w:hAnsi="Times New Roman" w:cs="Times New Roman"/>
          <w:color w:val="212121"/>
          <w:kern w:val="0"/>
          <w14:ligatures w14:val="none"/>
        </w:rPr>
        <w:fldChar w:fldCharType="separate"/>
      </w:r>
      <w:r w:rsidR="00154EBA">
        <w:rPr>
          <w:rFonts w:ascii="Times New Roman" w:hAnsi="Times New Roman" w:cs="Times New Roman"/>
          <w:color w:val="000000"/>
          <w:kern w:val="0"/>
          <w:lang w:val="en-US"/>
        </w:rPr>
        <w:t>(Cox, 1996)</w:t>
      </w:r>
      <w:r w:rsidR="00CB43F3">
        <w:rPr>
          <w:rFonts w:ascii="Times New Roman" w:eastAsia="Times New Roman" w:hAnsi="Times New Roman" w:cs="Times New Roman"/>
          <w:color w:val="212121"/>
          <w:kern w:val="0"/>
          <w14:ligatures w14:val="none"/>
        </w:rPr>
        <w:fldChar w:fldCharType="end"/>
      </w:r>
      <w:r w:rsidR="00CB43F3">
        <w:rPr>
          <w:rFonts w:ascii="Times New Roman" w:eastAsia="Times New Roman" w:hAnsi="Times New Roman" w:cs="Times New Roman"/>
          <w:color w:val="212121"/>
          <w:kern w:val="0"/>
          <w14:ligatures w14:val="none"/>
        </w:rPr>
        <w:t xml:space="preserve">. </w:t>
      </w:r>
      <w:r w:rsidRPr="00BD2CB2">
        <w:rPr>
          <w:rFonts w:ascii="Times New Roman" w:eastAsia="Times New Roman" w:hAnsi="Times New Roman" w:cs="Times New Roman"/>
          <w:color w:val="212121"/>
          <w:kern w:val="0"/>
          <w14:ligatures w14:val="none"/>
        </w:rPr>
        <w:t>The BOLD time-series (including slice-timing correction when applied) were resampled onto their original, native space by applying the transforms to correct for head-motion. These resampled BOLD time-series will be referred to as </w:t>
      </w:r>
      <w:r w:rsidRPr="00BD2CB2">
        <w:rPr>
          <w:rFonts w:ascii="Times New Roman" w:eastAsia="Times New Roman" w:hAnsi="Times New Roman" w:cs="Times New Roman"/>
          <w:i/>
          <w:iCs/>
          <w:color w:val="212121"/>
          <w:kern w:val="0"/>
          <w14:ligatures w14:val="none"/>
        </w:rPr>
        <w:t>preprocessed BOLD in original space</w:t>
      </w:r>
      <w:r w:rsidRPr="00BD2CB2">
        <w:rPr>
          <w:rFonts w:ascii="Times New Roman" w:eastAsia="Times New Roman" w:hAnsi="Times New Roman" w:cs="Times New Roman"/>
          <w:color w:val="212121"/>
          <w:kern w:val="0"/>
          <w14:ligatures w14:val="none"/>
        </w:rPr>
        <w:t>, or just </w:t>
      </w:r>
      <w:r w:rsidRPr="00BD2CB2">
        <w:rPr>
          <w:rFonts w:ascii="Times New Roman" w:eastAsia="Times New Roman" w:hAnsi="Times New Roman" w:cs="Times New Roman"/>
          <w:i/>
          <w:iCs/>
          <w:color w:val="212121"/>
          <w:kern w:val="0"/>
          <w14:ligatures w14:val="none"/>
        </w:rPr>
        <w:t>preprocessed BOLD</w:t>
      </w:r>
      <w:r w:rsidRPr="00BD2CB2">
        <w:rPr>
          <w:rFonts w:ascii="Times New Roman" w:eastAsia="Times New Roman" w:hAnsi="Times New Roman" w:cs="Times New Roman"/>
          <w:color w:val="212121"/>
          <w:kern w:val="0"/>
          <w14:ligatures w14:val="none"/>
        </w:rPr>
        <w:t>. The BOLD reference was then co-registered to the T1w reference using </w:t>
      </w:r>
      <w:proofErr w:type="spellStart"/>
      <w:r w:rsidRPr="00BD2CB2">
        <w:rPr>
          <w:rFonts w:ascii="Times New Roman" w:eastAsia="Times New Roman" w:hAnsi="Times New Roman" w:cs="Times New Roman"/>
          <w:color w:val="212121"/>
          <w:kern w:val="0"/>
          <w14:ligatures w14:val="none"/>
        </w:rPr>
        <w:t>mri_coreg</w:t>
      </w:r>
      <w:proofErr w:type="spellEnd"/>
      <w:r w:rsidRPr="00BD2CB2">
        <w:rPr>
          <w:rFonts w:ascii="Times New Roman" w:eastAsia="Times New Roman" w:hAnsi="Times New Roman" w:cs="Times New Roman"/>
          <w:color w:val="212121"/>
          <w:kern w:val="0"/>
          <w14:ligatures w14:val="none"/>
        </w:rPr>
        <w:t> (</w:t>
      </w:r>
      <w:proofErr w:type="spellStart"/>
      <w:r w:rsidRPr="00BD2CB2">
        <w:rPr>
          <w:rFonts w:ascii="Times New Roman" w:eastAsia="Times New Roman" w:hAnsi="Times New Roman" w:cs="Times New Roman"/>
          <w:color w:val="212121"/>
          <w:kern w:val="0"/>
          <w14:ligatures w14:val="none"/>
        </w:rPr>
        <w:t>FreeSurfer</w:t>
      </w:r>
      <w:proofErr w:type="spellEnd"/>
      <w:r w:rsidRPr="00BD2CB2">
        <w:rPr>
          <w:rFonts w:ascii="Times New Roman" w:eastAsia="Times New Roman" w:hAnsi="Times New Roman" w:cs="Times New Roman"/>
          <w:color w:val="212121"/>
          <w:kern w:val="0"/>
          <w14:ligatures w14:val="none"/>
        </w:rPr>
        <w:t>)</w:t>
      </w:r>
      <w:r>
        <w:rPr>
          <w:rFonts w:ascii="Times New Roman" w:eastAsia="Times New Roman" w:hAnsi="Times New Roman" w:cs="Times New Roman"/>
          <w:color w:val="212121"/>
          <w:kern w:val="0"/>
          <w14:ligatures w14:val="none"/>
        </w:rPr>
        <w:t>,</w:t>
      </w:r>
      <w:r w:rsidRPr="00BD2CB2">
        <w:rPr>
          <w:rFonts w:ascii="Times New Roman" w:eastAsia="Times New Roman" w:hAnsi="Times New Roman" w:cs="Times New Roman"/>
          <w:color w:val="212121"/>
          <w:kern w:val="0"/>
          <w14:ligatures w14:val="none"/>
        </w:rPr>
        <w:t xml:space="preserve"> followed by flirt with the boundary-based registration</w:t>
      </w:r>
      <w:r w:rsidR="00CB43F3">
        <w:rPr>
          <w:rFonts w:ascii="Times New Roman" w:eastAsia="Times New Roman" w:hAnsi="Times New Roman" w:cs="Times New Roman"/>
          <w:color w:val="212121"/>
          <w:kern w:val="0"/>
          <w14:ligatures w14:val="none"/>
        </w:rPr>
        <w:fldChar w:fldCharType="begin"/>
      </w:r>
      <w:r w:rsidR="00154EBA">
        <w:rPr>
          <w:rFonts w:ascii="Times New Roman" w:eastAsia="Times New Roman" w:hAnsi="Times New Roman" w:cs="Times New Roman"/>
          <w:color w:val="212121"/>
          <w:kern w:val="0"/>
          <w14:ligatures w14:val="none"/>
        </w:rPr>
        <w:instrText xml:space="preserve"> ADDIN ZOTERO_ITEM CSL_CITATION {"citationID":"M1b7W7E0","properties":{"formattedCitation":"(Greve &amp; Fischl, 2009)","plainCitation":"(Greve &amp; Fischl, 2009)","noteIndex":0},"citationItems":[{"id":283,"uris":["http://zotero.org/users/16246314/items/27LY8YPM"],"itemData":{"id":283,"type":"article-journal","abstract":"The fine spatial scales of the structures in the human brain represent an enormous challenge to the successful integration of information from different images for both within- and between-subject analysis. While many algorithms to register image pairs from the same subject exist, visual inspection shows that their accuracy and robustness to be suspect, particularly when there are strong intensity gradients and/or only part of the brain is imaged. This paper introduces a new algorithm called Boundary-Based Registration, or BBR. The novelty of BBR is that it treats the two images very differently. The reference image must be of sufficient resolution and quality to extract surfaces that separate tissue types. The input image is then aligned to the reference by maximizing the intensity gradient across tissue boundaries. Several lower quality images can be aligned through their alignment with the reference. Visual inspection and fMRI results show that BBR is more accurate than correlation ratio or normalized mutual information and is considerably more robust to even strong intensity inhomogeneities. BBR also excels at aligning partial-brain images to whole-brain images, a domain in which existing registration algorithms frequently fail. Even in the limit of registering a single slice, we show the BBR results to be robust and accurate.","container-title":"NeuroImage","DOI":"10.1016/j.neuroimage.2009.06.060","ISSN":"1095-9572","issue":"1","journalAbbreviation":"Neuroimage","language":"eng","note":"PMID: 19573611\nPMCID: PMC2733527","page":"63-72","source":"PubMed","title":"Accurate and robust brain image alignment using boundary-based registration","volume":"48","author":[{"family":"Greve","given":"Douglas N."},{"family":"Fischl","given":"Bruce"}],"issued":{"date-parts":[["2009",10,15]]}}}],"schema":"https://github.com/citation-style-language/schema/raw/master/csl-citation.json"} </w:instrText>
      </w:r>
      <w:r w:rsidR="00CB43F3">
        <w:rPr>
          <w:rFonts w:ascii="Times New Roman" w:eastAsia="Times New Roman" w:hAnsi="Times New Roman" w:cs="Times New Roman"/>
          <w:color w:val="212121"/>
          <w:kern w:val="0"/>
          <w14:ligatures w14:val="none"/>
        </w:rPr>
        <w:fldChar w:fldCharType="separate"/>
      </w:r>
      <w:r w:rsidR="00154EBA">
        <w:rPr>
          <w:rFonts w:ascii="Times New Roman" w:hAnsi="Times New Roman" w:cs="Times New Roman"/>
          <w:color w:val="000000"/>
          <w:kern w:val="0"/>
          <w:lang w:val="en-US"/>
        </w:rPr>
        <w:t>(Greve &amp; Fischl, 2009)</w:t>
      </w:r>
      <w:r w:rsidR="00CB43F3">
        <w:rPr>
          <w:rFonts w:ascii="Times New Roman" w:eastAsia="Times New Roman" w:hAnsi="Times New Roman" w:cs="Times New Roman"/>
          <w:color w:val="212121"/>
          <w:kern w:val="0"/>
          <w14:ligatures w14:val="none"/>
        </w:rPr>
        <w:fldChar w:fldCharType="end"/>
      </w:r>
      <w:r w:rsidR="00CB43F3">
        <w:rPr>
          <w:rFonts w:ascii="Times New Roman" w:eastAsia="Times New Roman" w:hAnsi="Times New Roman" w:cs="Times New Roman"/>
          <w:color w:val="212121"/>
          <w:kern w:val="0"/>
          <w14:ligatures w14:val="none"/>
        </w:rPr>
        <w:t xml:space="preserve"> </w:t>
      </w:r>
      <w:r w:rsidRPr="00BD2CB2">
        <w:rPr>
          <w:rFonts w:ascii="Times New Roman" w:eastAsia="Times New Roman" w:hAnsi="Times New Roman" w:cs="Times New Roman"/>
          <w:color w:val="212121"/>
          <w:kern w:val="0"/>
          <w14:ligatures w14:val="none"/>
        </w:rPr>
        <w:t>cost-function. Co-registration was configured with six degrees of freedom. Several confounding time-series were calculated based on the </w:t>
      </w:r>
      <w:r w:rsidRPr="00BD2CB2">
        <w:rPr>
          <w:rFonts w:ascii="Times New Roman" w:eastAsia="Times New Roman" w:hAnsi="Times New Roman" w:cs="Times New Roman"/>
          <w:i/>
          <w:iCs/>
          <w:color w:val="212121"/>
          <w:kern w:val="0"/>
          <w14:ligatures w14:val="none"/>
        </w:rPr>
        <w:t>preprocessed BOLD</w:t>
      </w:r>
      <w:r w:rsidRPr="00BD2CB2">
        <w:rPr>
          <w:rFonts w:ascii="Times New Roman" w:eastAsia="Times New Roman" w:hAnsi="Times New Roman" w:cs="Times New Roman"/>
          <w:color w:val="212121"/>
          <w:kern w:val="0"/>
          <w14:ligatures w14:val="none"/>
        </w:rPr>
        <w:t>: framewise displacement (FD), DVARS and three region-wise global signals. FD was computed using two formulations following Power (absolute sum of relative motions, </w:t>
      </w:r>
      <w:r w:rsidR="00CB43F3">
        <w:rPr>
          <w:rFonts w:ascii="Times New Roman" w:eastAsia="Times New Roman" w:hAnsi="Times New Roman" w:cs="Times New Roman"/>
          <w:color w:val="212121"/>
          <w:kern w:val="0"/>
          <w14:ligatures w14:val="none"/>
        </w:rPr>
        <w:fldChar w:fldCharType="begin"/>
      </w:r>
      <w:r w:rsidR="00154EBA">
        <w:rPr>
          <w:rFonts w:ascii="Times New Roman" w:eastAsia="Times New Roman" w:hAnsi="Times New Roman" w:cs="Times New Roman"/>
          <w:color w:val="212121"/>
          <w:kern w:val="0"/>
          <w14:ligatures w14:val="none"/>
        </w:rPr>
        <w:instrText xml:space="preserve"> ADDIN ZOTERO_ITEM CSL_CITATION {"citationID":"vlxKjiFh","properties":{"formattedCitation":"(Power et al., 2014)","plainCitation":"(Power et al., 2014)","noteIndex":0},"citationItems":[{"id":286,"uris":["http://zotero.org/users/16246314/items/NZHXZ5HQ"],"itemData":{"id":286,"type":"article-journal","abstract":"Head motion systematically alters correlations in resting state functional connectivity fMRI (RSFC). In this report we examine impact of motion on signal intensity and RSFC correlations. We find that motion-induced signal changes (1) are often complex and variable waveforms, (2) are often shared across nearly all brain voxels, and (3) often persist more than 10s after motion ceases. These signal changes, both during and after motion, increase observed RSFC correlations in a distance-dependent manner. Motion-related signal changes are not removed by a variety of motion-based regressors, but are effectively reduced by global signal regression. We link several measures of data quality to motion, changes in signal intensity, and changes in RSFC correlations. We demonstrate that improvements in data quality measures during processing may represent cosmetic improvements rather than true correction of the data. We demonstrate a within-subject, censoring-based artifact removal strategy based on volume censoring that reduces group differences due to motion to chance levels. We note conditions under which group-level regressions do and do not correct motion-related effects.","container-title":"NeuroImage","DOI":"10.1016/j.neuroimage.2013.08.048","ISSN":"1095-9572","journalAbbreviation":"Neuroimage","language":"eng","note":"PMID: 23994314\nPMCID: PMC3849338","page":"320-341","source":"PubMed","title":"Methods to detect, characterize, and remove motion artifact in resting state fMRI","volume":"84","author":[{"family":"Power","given":"Jonathan D."},{"family":"Mitra","given":"Anish"},{"family":"Laumann","given":"Timothy O."},{"family":"Snyder","given":"Abraham Z."},{"family":"Schlaggar","given":"Bradley L."},{"family":"Petersen","given":"Steven E."}],"issued":{"date-parts":[["2014",1,1]]}}}],"schema":"https://github.com/citation-style-language/schema/raw/master/csl-citation.json"} </w:instrText>
      </w:r>
      <w:r w:rsidR="00CB43F3">
        <w:rPr>
          <w:rFonts w:ascii="Times New Roman" w:eastAsia="Times New Roman" w:hAnsi="Times New Roman" w:cs="Times New Roman"/>
          <w:color w:val="212121"/>
          <w:kern w:val="0"/>
          <w14:ligatures w14:val="none"/>
        </w:rPr>
        <w:fldChar w:fldCharType="separate"/>
      </w:r>
      <w:r w:rsidR="00154EBA">
        <w:rPr>
          <w:rFonts w:ascii="Times New Roman" w:hAnsi="Times New Roman" w:cs="Times New Roman"/>
          <w:color w:val="000000"/>
          <w:kern w:val="0"/>
          <w:lang w:val="en-US"/>
        </w:rPr>
        <w:t>(Power et al., 2014)</w:t>
      </w:r>
      <w:r w:rsidR="00CB43F3">
        <w:rPr>
          <w:rFonts w:ascii="Times New Roman" w:eastAsia="Times New Roman" w:hAnsi="Times New Roman" w:cs="Times New Roman"/>
          <w:color w:val="212121"/>
          <w:kern w:val="0"/>
          <w14:ligatures w14:val="none"/>
        </w:rPr>
        <w:fldChar w:fldCharType="end"/>
      </w:r>
      <w:r w:rsidRPr="00BD2CB2">
        <w:rPr>
          <w:rFonts w:ascii="Times New Roman" w:eastAsia="Times New Roman" w:hAnsi="Times New Roman" w:cs="Times New Roman"/>
          <w:color w:val="212121"/>
          <w:kern w:val="0"/>
          <w14:ligatures w14:val="none"/>
        </w:rPr>
        <w:t xml:space="preserve"> </w:t>
      </w:r>
      <w:r w:rsidR="00CB43F3">
        <w:rPr>
          <w:rFonts w:ascii="Times New Roman" w:eastAsia="Times New Roman" w:hAnsi="Times New Roman" w:cs="Times New Roman"/>
          <w:color w:val="212121"/>
          <w:kern w:val="0"/>
          <w14:ligatures w14:val="none"/>
        </w:rPr>
        <w:t>)</w:t>
      </w:r>
      <w:r w:rsidRPr="00BD2CB2">
        <w:rPr>
          <w:rFonts w:ascii="Times New Roman" w:eastAsia="Times New Roman" w:hAnsi="Times New Roman" w:cs="Times New Roman"/>
          <w:color w:val="212121"/>
          <w:kern w:val="0"/>
          <w14:ligatures w14:val="none"/>
        </w:rPr>
        <w:t xml:space="preserve">and Jenkinson (relative root mean square displacement between </w:t>
      </w:r>
      <w:proofErr w:type="spellStart"/>
      <w:r w:rsidRPr="00BD2CB2">
        <w:rPr>
          <w:rFonts w:ascii="Times New Roman" w:eastAsia="Times New Roman" w:hAnsi="Times New Roman" w:cs="Times New Roman"/>
          <w:color w:val="212121"/>
          <w:kern w:val="0"/>
          <w14:ligatures w14:val="none"/>
        </w:rPr>
        <w:t>affines</w:t>
      </w:r>
      <w:proofErr w:type="spellEnd"/>
      <w:r w:rsidRPr="00BD2CB2">
        <w:rPr>
          <w:rFonts w:ascii="Times New Roman" w:eastAsia="Times New Roman" w:hAnsi="Times New Roman" w:cs="Times New Roman"/>
          <w:color w:val="212121"/>
          <w:kern w:val="0"/>
          <w14:ligatures w14:val="none"/>
        </w:rPr>
        <w:t>, </w:t>
      </w:r>
      <w:r w:rsidR="00CB43F3">
        <w:rPr>
          <w:rFonts w:ascii="Times New Roman" w:eastAsia="Times New Roman" w:hAnsi="Times New Roman" w:cs="Times New Roman"/>
          <w:color w:val="212121"/>
          <w:kern w:val="0"/>
          <w14:ligatures w14:val="none"/>
        </w:rPr>
        <w:fldChar w:fldCharType="begin"/>
      </w:r>
      <w:r w:rsidR="00154EBA">
        <w:rPr>
          <w:rFonts w:ascii="Times New Roman" w:eastAsia="Times New Roman" w:hAnsi="Times New Roman" w:cs="Times New Roman"/>
          <w:color w:val="212121"/>
          <w:kern w:val="0"/>
          <w14:ligatures w14:val="none"/>
        </w:rPr>
        <w:instrText xml:space="preserve"> ADDIN ZOTERO_ITEM CSL_CITATION {"citationID":"zrZLdwVi","properties":{"formattedCitation":"(Jenkinson et al., 2002)","plainCitation":"(Jenkinson et al., 2002)","noteIndex":0},"citationItems":[{"id":278,"uris":["http://zotero.org/users/16246314/items/XR5EA44C"],"itemData":{"id":278,"type":"article-journal","abstract":"Linear registration and motion correction are important components of structural and functional brain image analysis. Most modern methods optimize some intensity-based cost function to determine the best registration. To date, little attention has been focused on the optimization method itself, even though the success of most registration methods hinges on the quality of this optimization. This paper examines the optimization process in detail and demonstrates that the commonly used multiresolution local optimization methods can, and do, get trapped in local minima. To address this problem, two approaches are taken: (1) to apodize the cost function and (2) to employ a novel hybrid global–local optimization method. This new optimization method is specifically designed for registering whole brain images. It substantially reduces the likelihood of producing misregistrations due to being trapped by local minima. The increased robustness of the method, compared to other commonly used methods, is demonstrated by a consistency test. In addition, the accuracy of the registration is demonstrated by a series of experiments with motion correction. These motion correction experiments also investigate how the results are affected by different cost functions and interpolation methods.","container-title":"NeuroImage","DOI":"10.1006/nimg.2002.1132","ISSN":"1053-8119","issue":"2","journalAbbreviation":"NeuroImage","page":"825-841","source":"ScienceDirect","title":"Improved Optimization for the Robust and Accurate Linear Registration and Motion Correction of Brain Images","volume":"17","author":[{"family":"Jenkinson","given":"Mark"},{"family":"Bannister","given":"Peter"},{"family":"Brady","given":"Michael"},{"family":"Smith","given":"Stephen"}],"issued":{"date-parts":[["2002",10,1]]}}}],"schema":"https://github.com/citation-style-language/schema/raw/master/csl-citation.json"} </w:instrText>
      </w:r>
      <w:r w:rsidR="00CB43F3">
        <w:rPr>
          <w:rFonts w:ascii="Times New Roman" w:eastAsia="Times New Roman" w:hAnsi="Times New Roman" w:cs="Times New Roman"/>
          <w:color w:val="212121"/>
          <w:kern w:val="0"/>
          <w14:ligatures w14:val="none"/>
        </w:rPr>
        <w:fldChar w:fldCharType="separate"/>
      </w:r>
      <w:r w:rsidR="00154EBA">
        <w:rPr>
          <w:rFonts w:ascii="Times New Roman" w:hAnsi="Times New Roman" w:cs="Times New Roman"/>
          <w:color w:val="000000"/>
          <w:kern w:val="0"/>
          <w:lang w:val="en-US"/>
        </w:rPr>
        <w:t>(Jenkinson et al., 2002)</w:t>
      </w:r>
      <w:r w:rsidR="00CB43F3">
        <w:rPr>
          <w:rFonts w:ascii="Times New Roman" w:eastAsia="Times New Roman" w:hAnsi="Times New Roman" w:cs="Times New Roman"/>
          <w:color w:val="212121"/>
          <w:kern w:val="0"/>
          <w14:ligatures w14:val="none"/>
        </w:rPr>
        <w:fldChar w:fldCharType="end"/>
      </w:r>
      <w:r w:rsidR="00CB43F3">
        <w:rPr>
          <w:rFonts w:ascii="Times New Roman" w:eastAsia="Times New Roman" w:hAnsi="Times New Roman" w:cs="Times New Roman"/>
          <w:color w:val="212121"/>
          <w:kern w:val="0"/>
          <w14:ligatures w14:val="none"/>
        </w:rPr>
        <w:t>)</w:t>
      </w:r>
      <w:r w:rsidRPr="00BD2CB2">
        <w:rPr>
          <w:rFonts w:ascii="Times New Roman" w:eastAsia="Times New Roman" w:hAnsi="Times New Roman" w:cs="Times New Roman"/>
          <w:color w:val="212121"/>
          <w:kern w:val="0"/>
          <w14:ligatures w14:val="none"/>
        </w:rPr>
        <w:t xml:space="preserve"> FD and DVARS are calculated for each functional run, both using their implementations in </w:t>
      </w:r>
      <w:proofErr w:type="spellStart"/>
      <w:r w:rsidRPr="00BD2CB2">
        <w:rPr>
          <w:rFonts w:ascii="Times New Roman" w:eastAsia="Times New Roman" w:hAnsi="Times New Roman" w:cs="Times New Roman"/>
          <w:i/>
          <w:iCs/>
          <w:color w:val="212121"/>
          <w:kern w:val="0"/>
          <w14:ligatures w14:val="none"/>
        </w:rPr>
        <w:t>Nipype</w:t>
      </w:r>
      <w:proofErr w:type="spellEnd"/>
      <w:r>
        <w:rPr>
          <w:rFonts w:ascii="Times New Roman" w:eastAsia="Times New Roman" w:hAnsi="Times New Roman" w:cs="Times New Roman"/>
          <w:i/>
          <w:iCs/>
          <w:color w:val="212121"/>
          <w:kern w:val="0"/>
          <w14:ligatures w14:val="none"/>
        </w:rPr>
        <w:t xml:space="preserve"> </w:t>
      </w:r>
      <w:r w:rsidRPr="00BD2CB2">
        <w:rPr>
          <w:rFonts w:ascii="Times New Roman" w:eastAsia="Times New Roman" w:hAnsi="Times New Roman" w:cs="Times New Roman"/>
          <w:color w:val="212121"/>
          <w:kern w:val="0"/>
          <w14:ligatures w14:val="none"/>
        </w:rPr>
        <w:t xml:space="preserve">(following the definitions by </w:t>
      </w:r>
      <w:r w:rsidR="00CB43F3">
        <w:rPr>
          <w:rFonts w:ascii="Times New Roman" w:eastAsia="Times New Roman" w:hAnsi="Times New Roman" w:cs="Times New Roman"/>
          <w:color w:val="212121"/>
          <w:kern w:val="0"/>
          <w14:ligatures w14:val="none"/>
        </w:rPr>
        <w:fldChar w:fldCharType="begin"/>
      </w:r>
      <w:r w:rsidR="00154EBA">
        <w:rPr>
          <w:rFonts w:ascii="Times New Roman" w:eastAsia="Times New Roman" w:hAnsi="Times New Roman" w:cs="Times New Roman"/>
          <w:color w:val="212121"/>
          <w:kern w:val="0"/>
          <w14:ligatures w14:val="none"/>
        </w:rPr>
        <w:instrText xml:space="preserve"> ADDIN ZOTERO_ITEM CSL_CITATION {"citationID":"xjbxTZlU","properties":{"formattedCitation":"(Power et al., 2014)","plainCitation":"(Power et al., 2014)","noteIndex":0},"citationItems":[{"id":286,"uris":["http://zotero.org/users/16246314/items/NZHXZ5HQ"],"itemData":{"id":286,"type":"article-journal","abstract":"Head motion systematically alters correlations in resting state functional connectivity fMRI (RSFC). In this report we examine impact of motion on signal intensity and RSFC correlations. We find that motion-induced signal changes (1) are often complex and variable waveforms, (2) are often shared across nearly all brain voxels, and (3) often persist more than 10s after motion ceases. These signal changes, both during and after motion, increase observed RSFC correlations in a distance-dependent manner. Motion-related signal changes are not removed by a variety of motion-based regressors, but are effectively reduced by global signal regression. We link several measures of data quality to motion, changes in signal intensity, and changes in RSFC correlations. We demonstrate that improvements in data quality measures during processing may represent cosmetic improvements rather than true correction of the data. We demonstrate a within-subject, censoring-based artifact removal strategy based on volume censoring that reduces group differences due to motion to chance levels. We note conditions under which group-level regressions do and do not correct motion-related effects.","container-title":"NeuroImage","DOI":"10.1016/j.neuroimage.2013.08.048","ISSN":"1095-9572","journalAbbreviation":"Neuroimage","language":"eng","note":"PMID: 23994314\nPMCID: PMC3849338","page":"320-341","source":"PubMed","title":"Methods to detect, characterize, and remove motion artifact in resting state fMRI","volume":"84","author":[{"family":"Power","given":"Jonathan D."},{"family":"Mitra","given":"Anish"},{"family":"Laumann","given":"Timothy O."},{"family":"Snyder","given":"Abraham Z."},{"family":"Schlaggar","given":"Bradley L."},{"family":"Petersen","given":"Steven E."}],"issued":{"date-parts":[["2014",1,1]]}}}],"schema":"https://github.com/citation-style-language/schema/raw/master/csl-citation.json"} </w:instrText>
      </w:r>
      <w:r w:rsidR="00CB43F3">
        <w:rPr>
          <w:rFonts w:ascii="Times New Roman" w:eastAsia="Times New Roman" w:hAnsi="Times New Roman" w:cs="Times New Roman"/>
          <w:color w:val="212121"/>
          <w:kern w:val="0"/>
          <w14:ligatures w14:val="none"/>
        </w:rPr>
        <w:fldChar w:fldCharType="separate"/>
      </w:r>
      <w:r w:rsidR="00154EBA">
        <w:rPr>
          <w:rFonts w:ascii="Times New Roman" w:hAnsi="Times New Roman" w:cs="Times New Roman"/>
          <w:color w:val="000000"/>
          <w:kern w:val="0"/>
          <w:lang w:val="en-US"/>
        </w:rPr>
        <w:t>(Power et al., 2014)</w:t>
      </w:r>
      <w:r w:rsidR="00CB43F3">
        <w:rPr>
          <w:rFonts w:ascii="Times New Roman" w:eastAsia="Times New Roman" w:hAnsi="Times New Roman" w:cs="Times New Roman"/>
          <w:color w:val="212121"/>
          <w:kern w:val="0"/>
          <w14:ligatures w14:val="none"/>
        </w:rPr>
        <w:fldChar w:fldCharType="end"/>
      </w:r>
      <w:r w:rsidR="00CB43F3">
        <w:rPr>
          <w:rFonts w:ascii="Times New Roman" w:eastAsia="Times New Roman" w:hAnsi="Times New Roman" w:cs="Times New Roman"/>
          <w:color w:val="212121"/>
          <w:kern w:val="0"/>
          <w14:ligatures w14:val="none"/>
        </w:rPr>
        <w:t xml:space="preserve">). </w:t>
      </w:r>
      <w:r w:rsidRPr="00BD2CB2">
        <w:rPr>
          <w:rFonts w:ascii="Times New Roman" w:eastAsia="Times New Roman" w:hAnsi="Times New Roman" w:cs="Times New Roman"/>
          <w:color w:val="212121"/>
          <w:kern w:val="0"/>
          <w14:ligatures w14:val="none"/>
        </w:rPr>
        <w:t>The three global signals are extracted within the CSF, the WM, and the whole-brain masks. Additionally, a set of physiological regressors were extracted to allow for component-based noise correction (</w:t>
      </w:r>
      <w:proofErr w:type="spellStart"/>
      <w:r w:rsidRPr="00BD2CB2">
        <w:rPr>
          <w:rFonts w:ascii="Times New Roman" w:eastAsia="Times New Roman" w:hAnsi="Times New Roman" w:cs="Times New Roman"/>
          <w:i/>
          <w:iCs/>
          <w:color w:val="212121"/>
          <w:kern w:val="0"/>
          <w14:ligatures w14:val="none"/>
        </w:rPr>
        <w:t>CompCor</w:t>
      </w:r>
      <w:proofErr w:type="spellEnd"/>
      <w:r w:rsidRPr="00BD2CB2">
        <w:rPr>
          <w:rFonts w:ascii="Times New Roman" w:eastAsia="Times New Roman" w:hAnsi="Times New Roman" w:cs="Times New Roman"/>
          <w:color w:val="212121"/>
          <w:kern w:val="0"/>
          <w14:ligatures w14:val="none"/>
        </w:rPr>
        <w:t>,</w:t>
      </w:r>
      <w:r w:rsidR="00CB43F3">
        <w:rPr>
          <w:rFonts w:ascii="Times New Roman" w:eastAsia="Times New Roman" w:hAnsi="Times New Roman" w:cs="Times New Roman"/>
          <w:color w:val="212121"/>
          <w:kern w:val="0"/>
          <w14:ligatures w14:val="none"/>
        </w:rPr>
        <w:fldChar w:fldCharType="begin"/>
      </w:r>
      <w:r w:rsidR="00154EBA">
        <w:rPr>
          <w:rFonts w:ascii="Times New Roman" w:eastAsia="Times New Roman" w:hAnsi="Times New Roman" w:cs="Times New Roman"/>
          <w:color w:val="212121"/>
          <w:kern w:val="0"/>
          <w14:ligatures w14:val="none"/>
        </w:rPr>
        <w:instrText xml:space="preserve"> ADDIN ZOTERO_ITEM CSL_CITATION {"citationID":"dHKOp0ez","properties":{"formattedCitation":"(Behzadi et al., 2007)","plainCitation":"(Behzadi et al., 2007)","noteIndex":0},"citationItems":[{"id":289,"uris":["http://zotero.org/users/16246314/items/K6GIH42X"],"itemData":{"id":289,"type":"article-journal","abstract":"A component based method (CompCor) for the reduction of noise in both blood oxygenation level dependent (BOLD) and perfusion-based functional magnetic resonance imaging (fMRI) data is presented. In the proposed method, significant principal components are derived from noise regions-of-interest (ROI) in which the time series data are unlikely to be modulated by neural activity. These components are then included as nuisance parameters within general linear models for BOLD and perfusion-based fMRI time-series data. Two approaches for the determination of the noise ROI are considered. The first method uses high-resolution anatomical data to define a region of interest composed primarily of white matter and cerebrospinal fluid, while the second method defines a region based upon the temporal standard deviation of the time series data. With the application of CompCor, the temporal standard deviation of resting state perfusion and BOLD data in gray matter regions was significantly reduced as compared to either no correction or the application of a previously described retrospective image based correction scheme (RETROICOR). For both functional perfusion and BOLD data, the application of CompCor significantly increased the number of activated voxels as compared to no correction. In addition, for functional BOLD data, there were significantly more activated voxels detected with CompCor as compared to RETROICOR. In comparison to RETROICOR, CompCor has the advantage of not requiring external monitoring of physiological fluctuations.","container-title":"NeuroImage","DOI":"10.1016/j.neuroimage.2007.04.042","ISSN":"1053-8119","issue":"1","journalAbbreviation":"Neuroimage","note":"PMID: 17560126\nPMCID: PMC2214855","page":"90-101","source":"PubMed Central","title":"A Component Based Noise Correction Method (CompCor) for BOLD and Perfusion Based fMRI","volume":"37","author":[{"family":"Behzadi","given":"Yashar"},{"family":"Restom","given":"Khaled"},{"family":"Liau","given":"Joy"},{"family":"Liu","given":"Thomas T."}],"issued":{"date-parts":[["2007",8,1]]}}}],"schema":"https://github.com/citation-style-language/schema/raw/master/csl-citation.json"} </w:instrText>
      </w:r>
      <w:r w:rsidR="00CB43F3">
        <w:rPr>
          <w:rFonts w:ascii="Times New Roman" w:eastAsia="Times New Roman" w:hAnsi="Times New Roman" w:cs="Times New Roman"/>
          <w:color w:val="212121"/>
          <w:kern w:val="0"/>
          <w14:ligatures w14:val="none"/>
        </w:rPr>
        <w:fldChar w:fldCharType="separate"/>
      </w:r>
      <w:r w:rsidR="00154EBA">
        <w:rPr>
          <w:rFonts w:ascii="Times New Roman" w:hAnsi="Times New Roman" w:cs="Times New Roman"/>
          <w:color w:val="000000"/>
          <w:kern w:val="0"/>
          <w:lang w:val="en-US"/>
        </w:rPr>
        <w:t>(Behzadi et al., 2007)</w:t>
      </w:r>
      <w:r w:rsidR="00CB43F3">
        <w:rPr>
          <w:rFonts w:ascii="Times New Roman" w:eastAsia="Times New Roman" w:hAnsi="Times New Roman" w:cs="Times New Roman"/>
          <w:color w:val="212121"/>
          <w:kern w:val="0"/>
          <w14:ligatures w14:val="none"/>
        </w:rPr>
        <w:fldChar w:fldCharType="end"/>
      </w:r>
      <w:r w:rsidRPr="00BD2CB2">
        <w:rPr>
          <w:rFonts w:ascii="Times New Roman" w:eastAsia="Times New Roman" w:hAnsi="Times New Roman" w:cs="Times New Roman"/>
          <w:color w:val="212121"/>
          <w:kern w:val="0"/>
          <w14:ligatures w14:val="none"/>
        </w:rPr>
        <w:t>). Principal components are estimated after high-pass filtering the </w:t>
      </w:r>
      <w:r w:rsidRPr="00BD2CB2">
        <w:rPr>
          <w:rFonts w:ascii="Times New Roman" w:eastAsia="Times New Roman" w:hAnsi="Times New Roman" w:cs="Times New Roman"/>
          <w:i/>
          <w:iCs/>
          <w:color w:val="212121"/>
          <w:kern w:val="0"/>
          <w14:ligatures w14:val="none"/>
        </w:rPr>
        <w:t>preprocessed BOLD</w:t>
      </w:r>
      <w:r w:rsidRPr="00BD2CB2">
        <w:rPr>
          <w:rFonts w:ascii="Times New Roman" w:eastAsia="Times New Roman" w:hAnsi="Times New Roman" w:cs="Times New Roman"/>
          <w:color w:val="212121"/>
          <w:kern w:val="0"/>
          <w14:ligatures w14:val="none"/>
        </w:rPr>
        <w:t> time-series (using a discrete cosine filter with 128s cut-off) for the two </w:t>
      </w:r>
      <w:proofErr w:type="spellStart"/>
      <w:r w:rsidRPr="00BD2CB2">
        <w:rPr>
          <w:rFonts w:ascii="Times New Roman" w:eastAsia="Times New Roman" w:hAnsi="Times New Roman" w:cs="Times New Roman"/>
          <w:i/>
          <w:iCs/>
          <w:color w:val="212121"/>
          <w:kern w:val="0"/>
          <w14:ligatures w14:val="none"/>
        </w:rPr>
        <w:t>CompCor</w:t>
      </w:r>
      <w:proofErr w:type="spellEnd"/>
      <w:r w:rsidRPr="00BD2CB2">
        <w:rPr>
          <w:rFonts w:ascii="Times New Roman" w:eastAsia="Times New Roman" w:hAnsi="Times New Roman" w:cs="Times New Roman"/>
          <w:color w:val="212121"/>
          <w:kern w:val="0"/>
          <w14:ligatures w14:val="none"/>
        </w:rPr>
        <w:t> variants: temporal (</w:t>
      </w:r>
      <w:proofErr w:type="spellStart"/>
      <w:r w:rsidRPr="00BD2CB2">
        <w:rPr>
          <w:rFonts w:ascii="Times New Roman" w:eastAsia="Times New Roman" w:hAnsi="Times New Roman" w:cs="Times New Roman"/>
          <w:color w:val="212121"/>
          <w:kern w:val="0"/>
          <w14:ligatures w14:val="none"/>
        </w:rPr>
        <w:t>tCompCor</w:t>
      </w:r>
      <w:proofErr w:type="spellEnd"/>
      <w:r w:rsidRPr="00BD2CB2">
        <w:rPr>
          <w:rFonts w:ascii="Times New Roman" w:eastAsia="Times New Roman" w:hAnsi="Times New Roman" w:cs="Times New Roman"/>
          <w:color w:val="212121"/>
          <w:kern w:val="0"/>
          <w14:ligatures w14:val="none"/>
        </w:rPr>
        <w:t>) and anatomical (</w:t>
      </w:r>
      <w:proofErr w:type="spellStart"/>
      <w:r w:rsidRPr="00BD2CB2">
        <w:rPr>
          <w:rFonts w:ascii="Times New Roman" w:eastAsia="Times New Roman" w:hAnsi="Times New Roman" w:cs="Times New Roman"/>
          <w:color w:val="212121"/>
          <w:kern w:val="0"/>
          <w14:ligatures w14:val="none"/>
        </w:rPr>
        <w:t>aCompCor</w:t>
      </w:r>
      <w:proofErr w:type="spellEnd"/>
      <w:r w:rsidRPr="00BD2CB2">
        <w:rPr>
          <w:rFonts w:ascii="Times New Roman" w:eastAsia="Times New Roman" w:hAnsi="Times New Roman" w:cs="Times New Roman"/>
          <w:color w:val="212121"/>
          <w:kern w:val="0"/>
          <w14:ligatures w14:val="none"/>
        </w:rPr>
        <w:t xml:space="preserve">). </w:t>
      </w:r>
      <w:proofErr w:type="spellStart"/>
      <w:r w:rsidRPr="00BD2CB2">
        <w:rPr>
          <w:rFonts w:ascii="Times New Roman" w:eastAsia="Times New Roman" w:hAnsi="Times New Roman" w:cs="Times New Roman"/>
          <w:color w:val="212121"/>
          <w:kern w:val="0"/>
          <w14:ligatures w14:val="none"/>
        </w:rPr>
        <w:t>tCompCor</w:t>
      </w:r>
      <w:proofErr w:type="spellEnd"/>
      <w:r w:rsidRPr="00BD2CB2">
        <w:rPr>
          <w:rFonts w:ascii="Times New Roman" w:eastAsia="Times New Roman" w:hAnsi="Times New Roman" w:cs="Times New Roman"/>
          <w:color w:val="212121"/>
          <w:kern w:val="0"/>
          <w14:ligatures w14:val="none"/>
        </w:rPr>
        <w:t xml:space="preserve"> components are then calculated from the top 2% variable voxels within the brain mask. For </w:t>
      </w:r>
      <w:proofErr w:type="spellStart"/>
      <w:r w:rsidRPr="00BD2CB2">
        <w:rPr>
          <w:rFonts w:ascii="Times New Roman" w:eastAsia="Times New Roman" w:hAnsi="Times New Roman" w:cs="Times New Roman"/>
          <w:color w:val="212121"/>
          <w:kern w:val="0"/>
          <w14:ligatures w14:val="none"/>
        </w:rPr>
        <w:t>aCompCor</w:t>
      </w:r>
      <w:proofErr w:type="spellEnd"/>
      <w:r w:rsidRPr="00BD2CB2">
        <w:rPr>
          <w:rFonts w:ascii="Times New Roman" w:eastAsia="Times New Roman" w:hAnsi="Times New Roman" w:cs="Times New Roman"/>
          <w:color w:val="212121"/>
          <w:kern w:val="0"/>
          <w14:ligatures w14:val="none"/>
        </w:rPr>
        <w:t xml:space="preserve">, three probabilistic masks (CSF, WM and combined CSF+WM) are generated in anatomical space. The implementation differs from that of Behzadi et al. in that instead of eroding the masks by 2 pixels on BOLD space, the </w:t>
      </w:r>
      <w:proofErr w:type="spellStart"/>
      <w:r w:rsidRPr="00BD2CB2">
        <w:rPr>
          <w:rFonts w:ascii="Times New Roman" w:eastAsia="Times New Roman" w:hAnsi="Times New Roman" w:cs="Times New Roman"/>
          <w:color w:val="212121"/>
          <w:kern w:val="0"/>
          <w14:ligatures w14:val="none"/>
        </w:rPr>
        <w:t>aCompCor</w:t>
      </w:r>
      <w:proofErr w:type="spellEnd"/>
      <w:r w:rsidRPr="00BD2CB2">
        <w:rPr>
          <w:rFonts w:ascii="Times New Roman" w:eastAsia="Times New Roman" w:hAnsi="Times New Roman" w:cs="Times New Roman"/>
          <w:color w:val="212121"/>
          <w:kern w:val="0"/>
          <w14:ligatures w14:val="none"/>
        </w:rPr>
        <w:t xml:space="preserve"> masks are subtracted a mask of pixels that likely contain a volume fraction of GM. This mask is obtained by thresholding the corresponding partial volume map at 0.05, and it ensures components are not extracted from </w:t>
      </w:r>
      <w:r w:rsidRPr="00BD2CB2">
        <w:rPr>
          <w:rFonts w:ascii="Times New Roman" w:eastAsia="Times New Roman" w:hAnsi="Times New Roman" w:cs="Times New Roman"/>
          <w:color w:val="212121"/>
          <w:kern w:val="0"/>
          <w14:ligatures w14:val="none"/>
        </w:rPr>
        <w:lastRenderedPageBreak/>
        <w:t xml:space="preserve">voxels containing a minimal fraction of GM. Finally, these masks are resampled into BOLD space and binarized by thresholding at 0.99 (as in the original implementation). Components are also calculated separately within the WM and CSF masks. For each </w:t>
      </w:r>
      <w:proofErr w:type="spellStart"/>
      <w:r w:rsidRPr="00BD2CB2">
        <w:rPr>
          <w:rFonts w:ascii="Times New Roman" w:eastAsia="Times New Roman" w:hAnsi="Times New Roman" w:cs="Times New Roman"/>
          <w:color w:val="212121"/>
          <w:kern w:val="0"/>
          <w14:ligatures w14:val="none"/>
        </w:rPr>
        <w:t>CompCor</w:t>
      </w:r>
      <w:proofErr w:type="spellEnd"/>
      <w:r w:rsidRPr="00BD2CB2">
        <w:rPr>
          <w:rFonts w:ascii="Times New Roman" w:eastAsia="Times New Roman" w:hAnsi="Times New Roman" w:cs="Times New Roman"/>
          <w:color w:val="212121"/>
          <w:kern w:val="0"/>
          <w14:ligatures w14:val="none"/>
        </w:rPr>
        <w:t xml:space="preserve"> decomposition, the </w:t>
      </w:r>
      <w:r w:rsidRPr="00BD2CB2">
        <w:rPr>
          <w:rFonts w:ascii="Times New Roman" w:eastAsia="Times New Roman" w:hAnsi="Times New Roman" w:cs="Times New Roman"/>
          <w:i/>
          <w:iCs/>
          <w:color w:val="212121"/>
          <w:kern w:val="0"/>
          <w14:ligatures w14:val="none"/>
        </w:rPr>
        <w:t>k</w:t>
      </w:r>
      <w:r w:rsidRPr="00BD2CB2">
        <w:rPr>
          <w:rFonts w:ascii="Times New Roman" w:eastAsia="Times New Roman" w:hAnsi="Times New Roman" w:cs="Times New Roman"/>
          <w:color w:val="212121"/>
          <w:kern w:val="0"/>
          <w14:ligatures w14:val="none"/>
        </w:rPr>
        <w:t> components with the largest singular values are retained, such that the retained components’ time series are sufficient to explain 50 percent of variance across the nuisance mask (CSF, WM, combined, or temporal). The remaining components are dropped from consideration. The head-motion estimates calculated in the correction step were also placed within the corresponding confounds file. The confound time series derived from head motion estimates and global signals were expanded with the inclusion of temporal derivatives and quadratic terms for each</w:t>
      </w:r>
      <w:r w:rsidR="00CB43F3">
        <w:rPr>
          <w:rFonts w:ascii="Times New Roman" w:eastAsia="Times New Roman" w:hAnsi="Times New Roman" w:cs="Times New Roman"/>
          <w:color w:val="212121"/>
          <w:kern w:val="0"/>
          <w14:ligatures w14:val="none"/>
        </w:rPr>
        <w:fldChar w:fldCharType="begin"/>
      </w:r>
      <w:r w:rsidR="00154EBA">
        <w:rPr>
          <w:rFonts w:ascii="Times New Roman" w:eastAsia="Times New Roman" w:hAnsi="Times New Roman" w:cs="Times New Roman"/>
          <w:color w:val="212121"/>
          <w:kern w:val="0"/>
          <w14:ligatures w14:val="none"/>
        </w:rPr>
        <w:instrText xml:space="preserve"> ADDIN ZOTERO_ITEM CSL_CITATION {"citationID":"BG8yr5Y6","properties":{"formattedCitation":"(Satterthwaite et al., 2013)","plainCitation":"(Satterthwaite et al., 2013)","noteIndex":0},"citationItems":[{"id":1600,"uris":["http://zotero.org/users/16246314/items/8ZFK642G"],"itemData":{"id":1600,"type":"article-journal","abstract":"Several independent studies have demonstrated that small amounts of in-scanner motion systematically bias estimates of resting-state functional connectivity. This confound is of particular importance for studies of neurodevelopment in youth because motion is strongly related to subject age during this period. Critically, the effects of motion on connectivity mimic major findings in neurodevelopmental research, specifically an age-related strengthening of distant connections and weakening of short-range connections. Here, in a sample of 780 subjects ages 8–22, we re-evaluate patterns of change in functional connectivity during adolescent development after rigorously controlling for the confounding influences of motion at both the subject and group level. We find that motion artifact inflates both overall estimates of age-related change as well as specific distance-related changes in connectivity. When motion is more fully accounted for, the prevalence of age-related change as well as the strength of distance-related effects is substantially reduced. However, age-related changes remain highly significant. In contrast, motion artifact tends to obscure age-related changes in connectivity associated with segregation of functional brain modules; improved preprocessing techniques allow greater sensitivity to detect increased within-module connectivity occurring with development. Finally, we show that subject’s age can still be accurately estimated from the multivariate pattern of functional connectivity even while controlling for motion. Taken together, these results indicate that while motion artifact has a marked and heterogeneous impact on estimates of connectivity change during adolescence, functional connectivity remains a valuable phenotype for the study of neurodevelopment.","container-title":"NeuroImage","DOI":"10.1016/j.neuroimage.2013.06.045","ISSN":"1053-8119","journalAbbreviation":"Neuroimage","note":"PMID: 23792981\nPMCID: PMC3874413","page":"10.1016/j.neuroimage.2013.06.045","source":"PubMed Central","title":"Heterogeneous Impact of Motion on Fundamental Patterns of Developmental Changes in Functional Connectivity During Youth","volume":"83","author":[{"family":"Satterthwaite","given":"Theodore D."},{"family":"Wolf","given":"Daniel H."},{"family":"Ruparel","given":"Kosha"},{"family":"Erus","given":"Guray"},{"family":"Elliott","given":"Mark A."},{"family":"Eickhoff","given":"Simon B."},{"family":"Gennatas","given":"Efstathios D."},{"family":"Jackson","given":"Chad"},{"family":"Prabhakaran","given":"Karthik"},{"family":"Smith","given":"Alex"},{"family":"Hakonarson","given":"Hakon"},{"family":"Verma","given":"Ragini"},{"family":"Davatzikos","given":"Christos"},{"family":"Gur","given":"Raquel E."},{"family":"Gur","given":"Ruben C."}],"issued":{"date-parts":[["2013",12]]}}}],"schema":"https://github.com/citation-style-language/schema/raw/master/csl-citation.json"} </w:instrText>
      </w:r>
      <w:r w:rsidR="00CB43F3">
        <w:rPr>
          <w:rFonts w:ascii="Times New Roman" w:eastAsia="Times New Roman" w:hAnsi="Times New Roman" w:cs="Times New Roman"/>
          <w:color w:val="212121"/>
          <w:kern w:val="0"/>
          <w14:ligatures w14:val="none"/>
        </w:rPr>
        <w:fldChar w:fldCharType="separate"/>
      </w:r>
      <w:r w:rsidR="00154EBA">
        <w:rPr>
          <w:rFonts w:ascii="Times New Roman" w:hAnsi="Times New Roman" w:cs="Times New Roman"/>
          <w:color w:val="000000"/>
          <w:kern w:val="0"/>
          <w:lang w:val="en-US"/>
        </w:rPr>
        <w:t>(Satterthwaite et al., 2013)</w:t>
      </w:r>
      <w:r w:rsidR="00CB43F3">
        <w:rPr>
          <w:rFonts w:ascii="Times New Roman" w:eastAsia="Times New Roman" w:hAnsi="Times New Roman" w:cs="Times New Roman"/>
          <w:color w:val="212121"/>
          <w:kern w:val="0"/>
          <w14:ligatures w14:val="none"/>
        </w:rPr>
        <w:fldChar w:fldCharType="end"/>
      </w:r>
      <w:r w:rsidR="00CB43F3">
        <w:rPr>
          <w:rFonts w:ascii="Times New Roman" w:eastAsia="Times New Roman" w:hAnsi="Times New Roman" w:cs="Times New Roman"/>
          <w:color w:val="212121"/>
          <w:kern w:val="0"/>
          <w14:ligatures w14:val="none"/>
        </w:rPr>
        <w:t xml:space="preserve">. </w:t>
      </w:r>
      <w:r w:rsidRPr="00BD2CB2">
        <w:rPr>
          <w:rFonts w:ascii="Times New Roman" w:eastAsia="Times New Roman" w:hAnsi="Times New Roman" w:cs="Times New Roman"/>
          <w:color w:val="212121"/>
          <w:kern w:val="0"/>
          <w14:ligatures w14:val="none"/>
        </w:rPr>
        <w:t>Frames that exceeded a threshold of 0.5 mm FD or 1.5 standardised DVARS were annotated as motion outliers. The BOLD time-series were resampled into standard space, generating a </w:t>
      </w:r>
      <w:r w:rsidRPr="00BD2CB2">
        <w:rPr>
          <w:rFonts w:ascii="Times New Roman" w:eastAsia="Times New Roman" w:hAnsi="Times New Roman" w:cs="Times New Roman"/>
          <w:i/>
          <w:iCs/>
          <w:color w:val="212121"/>
          <w:kern w:val="0"/>
          <w14:ligatures w14:val="none"/>
        </w:rPr>
        <w:t>preprocessed BOLD run in MNI152NLin2009cAsym space</w:t>
      </w:r>
      <w:r w:rsidRPr="00BD2CB2">
        <w:rPr>
          <w:rFonts w:ascii="Times New Roman" w:eastAsia="Times New Roman" w:hAnsi="Times New Roman" w:cs="Times New Roman"/>
          <w:color w:val="212121"/>
          <w:kern w:val="0"/>
          <w14:ligatures w14:val="none"/>
        </w:rPr>
        <w:t>. First, a reference volume and its skull-stripped version were generated using a custom methodology of </w:t>
      </w:r>
      <w:proofErr w:type="spellStart"/>
      <w:r w:rsidRPr="00BD2CB2">
        <w:rPr>
          <w:rFonts w:ascii="Times New Roman" w:eastAsia="Times New Roman" w:hAnsi="Times New Roman" w:cs="Times New Roman"/>
          <w:i/>
          <w:iCs/>
          <w:color w:val="212121"/>
          <w:kern w:val="0"/>
          <w14:ligatures w14:val="none"/>
        </w:rPr>
        <w:t>fMRIPrep</w:t>
      </w:r>
      <w:proofErr w:type="spellEnd"/>
      <w:r w:rsidRPr="00BD2CB2">
        <w:rPr>
          <w:rFonts w:ascii="Times New Roman" w:eastAsia="Times New Roman" w:hAnsi="Times New Roman" w:cs="Times New Roman"/>
          <w:color w:val="212121"/>
          <w:kern w:val="0"/>
          <w14:ligatures w14:val="none"/>
        </w:rPr>
        <w:t xml:space="preserve">. All </w:t>
      </w:r>
      <w:proofErr w:type="spellStart"/>
      <w:r w:rsidRPr="00BD2CB2">
        <w:rPr>
          <w:rFonts w:ascii="Times New Roman" w:eastAsia="Times New Roman" w:hAnsi="Times New Roman" w:cs="Times New Roman"/>
          <w:color w:val="212121"/>
          <w:kern w:val="0"/>
          <w14:ligatures w14:val="none"/>
        </w:rPr>
        <w:t>resamplings</w:t>
      </w:r>
      <w:proofErr w:type="spellEnd"/>
      <w:r w:rsidRPr="00BD2CB2">
        <w:rPr>
          <w:rFonts w:ascii="Times New Roman" w:eastAsia="Times New Roman" w:hAnsi="Times New Roman" w:cs="Times New Roman"/>
          <w:color w:val="212121"/>
          <w:kern w:val="0"/>
          <w14:ligatures w14:val="none"/>
        </w:rPr>
        <w:t xml:space="preserve"> can be performed with </w:t>
      </w:r>
      <w:r w:rsidRPr="00BD2CB2">
        <w:rPr>
          <w:rFonts w:ascii="Times New Roman" w:eastAsia="Times New Roman" w:hAnsi="Times New Roman" w:cs="Times New Roman"/>
          <w:i/>
          <w:iCs/>
          <w:color w:val="212121"/>
          <w:kern w:val="0"/>
          <w14:ligatures w14:val="none"/>
        </w:rPr>
        <w:t>a single interpolation step</w:t>
      </w:r>
      <w:r w:rsidRPr="00BD2CB2">
        <w:rPr>
          <w:rFonts w:ascii="Times New Roman" w:eastAsia="Times New Roman" w:hAnsi="Times New Roman" w:cs="Times New Roman"/>
          <w:color w:val="212121"/>
          <w:kern w:val="0"/>
          <w14:ligatures w14:val="none"/>
        </w:rPr>
        <w:t xml:space="preserve"> by composing all the pertinent transformations (i.e. head-motion transform matrices, susceptibility distortion correction when available, and co-registrations to anatomical and output spaces). Gridded (volumetric) </w:t>
      </w:r>
      <w:proofErr w:type="spellStart"/>
      <w:r w:rsidRPr="00BD2CB2">
        <w:rPr>
          <w:rFonts w:ascii="Times New Roman" w:eastAsia="Times New Roman" w:hAnsi="Times New Roman" w:cs="Times New Roman"/>
          <w:color w:val="212121"/>
          <w:kern w:val="0"/>
          <w14:ligatures w14:val="none"/>
        </w:rPr>
        <w:t>resamplings</w:t>
      </w:r>
      <w:proofErr w:type="spellEnd"/>
      <w:r w:rsidRPr="00BD2CB2">
        <w:rPr>
          <w:rFonts w:ascii="Times New Roman" w:eastAsia="Times New Roman" w:hAnsi="Times New Roman" w:cs="Times New Roman"/>
          <w:color w:val="212121"/>
          <w:kern w:val="0"/>
          <w14:ligatures w14:val="none"/>
        </w:rPr>
        <w:t xml:space="preserve"> were performed using </w:t>
      </w:r>
      <w:proofErr w:type="spellStart"/>
      <w:r w:rsidRPr="00BD2CB2">
        <w:rPr>
          <w:rFonts w:ascii="Times New Roman" w:eastAsia="Times New Roman" w:hAnsi="Times New Roman" w:cs="Times New Roman"/>
          <w:color w:val="212121"/>
          <w:kern w:val="0"/>
          <w14:ligatures w14:val="none"/>
        </w:rPr>
        <w:t>antsApplyTransforms</w:t>
      </w:r>
      <w:proofErr w:type="spellEnd"/>
      <w:r w:rsidRPr="00BD2CB2">
        <w:rPr>
          <w:rFonts w:ascii="Times New Roman" w:eastAsia="Times New Roman" w:hAnsi="Times New Roman" w:cs="Times New Roman"/>
          <w:color w:val="212121"/>
          <w:kern w:val="0"/>
          <w14:ligatures w14:val="none"/>
        </w:rPr>
        <w:t> (ANTs), configured with Lanczos interpolation to minimize the smoothing effects of other kernels</w:t>
      </w:r>
      <w:r w:rsidR="00CB43F3">
        <w:rPr>
          <w:rFonts w:ascii="Times New Roman" w:eastAsia="Times New Roman" w:hAnsi="Times New Roman" w:cs="Times New Roman"/>
          <w:color w:val="212121"/>
          <w:kern w:val="0"/>
          <w14:ligatures w14:val="none"/>
        </w:rPr>
        <w:t xml:space="preserve">. </w:t>
      </w:r>
      <w:r w:rsidRPr="00BD2CB2">
        <w:rPr>
          <w:rFonts w:ascii="Times New Roman" w:eastAsia="Times New Roman" w:hAnsi="Times New Roman" w:cs="Times New Roman"/>
          <w:color w:val="212121"/>
          <w:kern w:val="0"/>
          <w14:ligatures w14:val="none"/>
        </w:rPr>
        <w:t xml:space="preserve">Non-gridded (surface) </w:t>
      </w:r>
      <w:proofErr w:type="spellStart"/>
      <w:r w:rsidRPr="00BD2CB2">
        <w:rPr>
          <w:rFonts w:ascii="Times New Roman" w:eastAsia="Times New Roman" w:hAnsi="Times New Roman" w:cs="Times New Roman"/>
          <w:color w:val="212121"/>
          <w:kern w:val="0"/>
          <w14:ligatures w14:val="none"/>
        </w:rPr>
        <w:t>resamplings</w:t>
      </w:r>
      <w:proofErr w:type="spellEnd"/>
      <w:r w:rsidRPr="00BD2CB2">
        <w:rPr>
          <w:rFonts w:ascii="Times New Roman" w:eastAsia="Times New Roman" w:hAnsi="Times New Roman" w:cs="Times New Roman"/>
          <w:color w:val="212121"/>
          <w:kern w:val="0"/>
          <w14:ligatures w14:val="none"/>
        </w:rPr>
        <w:t xml:space="preserve"> were performed using mri_vol2surf (</w:t>
      </w:r>
      <w:proofErr w:type="spellStart"/>
      <w:r w:rsidRPr="00BD2CB2">
        <w:rPr>
          <w:rFonts w:ascii="Times New Roman" w:eastAsia="Times New Roman" w:hAnsi="Times New Roman" w:cs="Times New Roman"/>
          <w:color w:val="212121"/>
          <w:kern w:val="0"/>
          <w14:ligatures w14:val="none"/>
        </w:rPr>
        <w:t>FreeSurfer</w:t>
      </w:r>
      <w:proofErr w:type="spellEnd"/>
      <w:r w:rsidRPr="00BD2CB2">
        <w:rPr>
          <w:rFonts w:ascii="Times New Roman" w:eastAsia="Times New Roman" w:hAnsi="Times New Roman" w:cs="Times New Roman"/>
          <w:color w:val="212121"/>
          <w:kern w:val="0"/>
          <w14:ligatures w14:val="none"/>
        </w:rPr>
        <w:t>).</w:t>
      </w:r>
    </w:p>
    <w:p w14:paraId="1CD8A018" w14:textId="77777777" w:rsidR="005B3013" w:rsidRDefault="005B3013">
      <w:pPr>
        <w:rPr>
          <w:rFonts w:ascii="Times New Roman" w:eastAsia="Times New Roman" w:hAnsi="Times New Roman" w:cs="Times New Roman"/>
          <w:b/>
          <w:bCs/>
          <w:kern w:val="0"/>
          <w14:ligatures w14:val="none"/>
        </w:rPr>
      </w:pPr>
      <w:r>
        <w:rPr>
          <w:b/>
          <w:bCs/>
        </w:rPr>
        <w:br w:type="page"/>
      </w:r>
    </w:p>
    <w:p w14:paraId="2FE16FA0" w14:textId="1D6DEAE2" w:rsidR="00BF5689" w:rsidRPr="00BF5689" w:rsidRDefault="00BF5689" w:rsidP="005B3013">
      <w:pPr>
        <w:pStyle w:val="NormalWeb"/>
        <w:rPr>
          <w:b/>
          <w:bCs/>
        </w:rPr>
      </w:pPr>
      <w:r w:rsidRPr="00BF5689">
        <w:rPr>
          <w:b/>
          <w:bCs/>
        </w:rPr>
        <w:lastRenderedPageBreak/>
        <w:t>CONN Analysis</w:t>
      </w:r>
    </w:p>
    <w:p w14:paraId="7684216B" w14:textId="4829A316" w:rsidR="00BF5689" w:rsidRDefault="00BF5689" w:rsidP="00AE30C0">
      <w:pPr>
        <w:pStyle w:val="NormalWeb"/>
        <w:ind w:firstLine="720"/>
      </w:pPr>
      <w:r>
        <w:t>Results included in this manuscript come from analyses performed using CONN</w:t>
      </w:r>
      <w:r w:rsidR="00CA701E">
        <w:fldChar w:fldCharType="begin"/>
      </w:r>
      <w:r w:rsidR="00154EBA">
        <w:instrText xml:space="preserve"> ADDIN ZOTERO_ITEM CSL_CITATION {"citationID":"EWY1FyYl","properties":{"formattedCitation":"(Whitfield-Gabrieli &amp; Nieto-Castanon, 2012)","plainCitation":"(Whitfield-Gabrieli &amp; Nieto-Castanon, 2012)","noteIndex":0},"citationItems":[{"id":933,"uris":["http://zotero.org/users/16246314/items/D4KN5I4M"],"itemData":{"id":933,"type":"article-journal","abstract":"Resting state functional connectivity reveals intrinsic, spontaneous networks that elucidate the functional architecture of the human brain. However, valid statistical analysis used to identify such networks must address sources of noise in order to avoid possible confounds such as spurious correlations based on non-neuronal sources. We have developed a functional connectivity toolbox Conn (www.nitrc.org/projects/conn) that implements the component-based noise correction method (CompCor) strategy for physiological and other noise source reduction, additional removal of movement, and temporal covariates, temporal filtering and windowing of the residual blood oxygen level-dependent (BOLD) contrast signal, first-level estimation of multiple standard functional connectivity magnetic resonance imaging (fcMRI) measures, and second-level random-effect analysis for resting state as well as task-related data. Compared to methods that rely on global signal regression, the CompCor noise reduction method allows for interpretation of anticorrelations as there is no regression of the global signal. The toolbox implements fcMRI measures, such as estimation of seed-to-voxel and region of interest (ROI)-to-ROI functional correlations, as well as semipartial correlation and bivariate/multivariate regression analysis for multiple ROI sources, graph theoretical analysis, and novel voxel-to-voxel analysis of functional connectivity. We describe the methods implemented in the Conn toolbox for the analysis of fcMRI data, together with examples of use and interscan reliability estimates of all the implemented fcMRI measures. The results indicate that the CompCor method increases the sensitivity and selectivity of fcMRI analysis, and show a high degree of interscan reliability for many fcMRI measures.","container-title":"Brain Connectivity","DOI":"10.1089/brain.2012.0073","ISSN":"2158-0014","issue":"3","note":"publisher: Mary Ann Liebert, Inc., publishers","page":"125-141","source":"liebertpub.com (Atypon)","title":"Conn: A Functional Connectivity Toolbox for Correlated and Anticorrelated Brain Networks","title-short":"Conn","volume":"2","author":[{"family":"Whitfield-Gabrieli","given":"Susan"},{"family":"Nieto-Castanon","given":"Alfonso"}],"issued":{"date-parts":[["2012",6]]}}}],"schema":"https://github.com/citation-style-language/schema/raw/master/csl-citation.json"} </w:instrText>
      </w:r>
      <w:r w:rsidR="00CA701E">
        <w:fldChar w:fldCharType="separate"/>
      </w:r>
      <w:r w:rsidR="00154EBA">
        <w:rPr>
          <w:lang w:val="en-US"/>
        </w:rPr>
        <w:t>(Whitfield-Gabrieli &amp; Nieto-Castanon, 2012)</w:t>
      </w:r>
      <w:r w:rsidR="00CA701E">
        <w:fldChar w:fldCharType="end"/>
      </w:r>
      <w:r w:rsidR="00CA701E">
        <w:t xml:space="preserve"> </w:t>
      </w:r>
      <w:r>
        <w:t xml:space="preserve">(RRID:SCR_009550) release 22.a </w:t>
      </w:r>
      <w:r w:rsidR="00CA701E">
        <w:fldChar w:fldCharType="begin"/>
      </w:r>
      <w:r w:rsidR="00154EBA">
        <w:instrText xml:space="preserve"> ADDIN ZOTERO_ITEM CSL_CITATION {"citationID":"onEye7Tx","properties":{"formattedCitation":"(Nieto-Castanon, 2022)","plainCitation":"(Nieto-Castanon, 2022)","noteIndex":0},"citationItems":[{"id":535,"uris":["http://zotero.org/users/16246314/items/LI58TDQ3"],"itemData":{"id":535,"type":"article-journal","abstract":"Current functional Magnetic Resonance Imaging technology is able to resolve billions of individual functional connections characterizing the human connectome. Classical statistical inferential procedures attempting to make valid inferences across this many measures from a reduced set of observations and from a limited number of subjects can be severely underpowered for any but the largest effect sizes. This manuscript discusses fc-MVPA (functional connectivity Multivariate Pattern Analysis), a novel method using multivariate pattern analysis techniques in the context of brain-wide connectome inferences. The theory behind fc-MVPA is presented, and several of its key concepts are illustrated through examples from a publicly available resting state dataset, including an analysis of gender differences across the entire functional connectome. Finally, Monte Carlo simulations are used to demonstrate the validity and sensitivity of this method. In addition to offering powerful whole-brain inferences, fc-MVPA also provides a meaningful characterization of the heterogeneity in functional connectivity across subjects.","container-title":"PLOS Computational Biology","DOI":"10.1371/journal.pcbi.1010634","ISSN":"1553-7358","issue":"11","journalAbbreviation":"PLOS Computational Biology","language":"en","note":"publisher: Public Library of Science","page":"e1010634","source":"PLoS Journals","title":"Brain-wide connectome inferences using functional connectivity MultiVariate Pattern Analyses (fc-MVPA)","volume":"18","author":[{"family":"Nieto-Castanon","given":"Alfonso"}],"issued":{"date-parts":[["2022",11,15]]}}}],"schema":"https://github.com/citation-style-language/schema/raw/master/csl-citation.json"} </w:instrText>
      </w:r>
      <w:r w:rsidR="00CA701E">
        <w:fldChar w:fldCharType="separate"/>
      </w:r>
      <w:r w:rsidR="00154EBA">
        <w:rPr>
          <w:lang w:val="en-US"/>
        </w:rPr>
        <w:t>(Nieto-Castanon, 2022)</w:t>
      </w:r>
      <w:r w:rsidR="00CA701E">
        <w:fldChar w:fldCharType="end"/>
      </w:r>
      <w:r w:rsidR="00CA701E">
        <w:t xml:space="preserve"> </w:t>
      </w:r>
      <w:r>
        <w:t>and SPM (RRID:SCR_007037) release 12.7771.</w:t>
      </w:r>
      <w:r w:rsidR="00F35C95">
        <w:t xml:space="preserve"> </w:t>
      </w:r>
      <w:r w:rsidR="003E2DD7" w:rsidRPr="00AE30C0">
        <w:t>This boilerplate was copied from the CONN output and edited only where necessary to align with the final analysis parameters.</w:t>
      </w:r>
    </w:p>
    <w:p w14:paraId="4602ECF9" w14:textId="77777777" w:rsidR="00BF5689" w:rsidRPr="00BF5689" w:rsidRDefault="00BF5689" w:rsidP="00AE30C0">
      <w:pPr>
        <w:pStyle w:val="NormalWeb"/>
        <w:rPr>
          <w:b/>
          <w:bCs/>
          <w:i/>
          <w:iCs/>
        </w:rPr>
      </w:pPr>
      <w:r w:rsidRPr="00BF5689">
        <w:rPr>
          <w:b/>
          <w:bCs/>
          <w:i/>
          <w:iCs/>
        </w:rPr>
        <w:t>Denoising</w:t>
      </w:r>
    </w:p>
    <w:p w14:paraId="71269BB7" w14:textId="2A8403CA" w:rsidR="00F1551D" w:rsidRDefault="00BF5689" w:rsidP="00AE30C0">
      <w:pPr>
        <w:pStyle w:val="NormalWeb"/>
        <w:spacing w:before="0" w:beforeAutospacing="0" w:after="0" w:afterAutospacing="0"/>
        <w:ind w:firstLine="720"/>
      </w:pPr>
      <w:r>
        <w:t xml:space="preserve">In addition, functional data were denoised using a standard denoising pipeline </w:t>
      </w:r>
      <w:r w:rsidR="00CA701E">
        <w:fldChar w:fldCharType="begin"/>
      </w:r>
      <w:r w:rsidR="00154EBA">
        <w:instrText xml:space="preserve"> ADDIN ZOTERO_ITEM CSL_CITATION {"citationID":"vKGPEzkG","properties":{"formattedCitation":"(Nieto-Castanon, 2022)","plainCitation":"(Nieto-Castanon, 2022)","noteIndex":0},"citationItems":[{"id":535,"uris":["http://zotero.org/users/16246314/items/LI58TDQ3"],"itemData":{"id":535,"type":"article-journal","abstract":"Current functional Magnetic Resonance Imaging technology is able to resolve billions of individual functional connections characterizing the human connectome. Classical statistical inferential procedures attempting to make valid inferences across this many measures from a reduced set of observations and from a limited number of subjects can be severely underpowered for any but the largest effect sizes. This manuscript discusses fc-MVPA (functional connectivity Multivariate Pattern Analysis), a novel method using multivariate pattern analysis techniques in the context of brain-wide connectome inferences. The theory behind fc-MVPA is presented, and several of its key concepts are illustrated through examples from a publicly available resting state dataset, including an analysis of gender differences across the entire functional connectome. Finally, Monte Carlo simulations are used to demonstrate the validity and sensitivity of this method. In addition to offering powerful whole-brain inferences, fc-MVPA also provides a meaningful characterization of the heterogeneity in functional connectivity across subjects.","container-title":"PLOS Computational Biology","DOI":"10.1371/journal.pcbi.1010634","ISSN":"1553-7358","issue":"11","journalAbbreviation":"PLOS Computational Biology","language":"en","note":"publisher: Public Library of Science","page":"e1010634","source":"PLoS Journals","title":"Brain-wide connectome inferences using functional connectivity MultiVariate Pattern Analyses (fc-MVPA)","volume":"18","author":[{"family":"Nieto-Castanon","given":"Alfonso"}],"issued":{"date-parts":[["2022",11,15]]}}}],"schema":"https://github.com/citation-style-language/schema/raw/master/csl-citation.json"} </w:instrText>
      </w:r>
      <w:r w:rsidR="00CA701E">
        <w:fldChar w:fldCharType="separate"/>
      </w:r>
      <w:r w:rsidR="00154EBA">
        <w:rPr>
          <w:lang w:val="en-US"/>
        </w:rPr>
        <w:t>(Nieto-Castanon, 2022)</w:t>
      </w:r>
      <w:r w:rsidR="00CA701E">
        <w:fldChar w:fldCharType="end"/>
      </w:r>
      <w:r w:rsidR="00CA701E">
        <w:t xml:space="preserve">, </w:t>
      </w:r>
      <w:r>
        <w:t xml:space="preserve">including the regression of potential confounding effects characterized by white matter timeseries (5 </w:t>
      </w:r>
      <w:proofErr w:type="spellStart"/>
      <w:r>
        <w:t>CompCor</w:t>
      </w:r>
      <w:proofErr w:type="spellEnd"/>
      <w:r>
        <w:t xml:space="preserve"> noise components), CSF timeseries (5 </w:t>
      </w:r>
      <w:proofErr w:type="spellStart"/>
      <w:r>
        <w:t>CompCor</w:t>
      </w:r>
      <w:proofErr w:type="spellEnd"/>
      <w:r>
        <w:t xml:space="preserve"> noise components), motion parameters and their first order derivatives (12 factors)</w:t>
      </w:r>
      <w:r w:rsidR="00CA701E">
        <w:fldChar w:fldCharType="begin"/>
      </w:r>
      <w:r w:rsidR="00154EBA">
        <w:instrText xml:space="preserve"> ADDIN ZOTERO_ITEM CSL_CITATION {"citationID":"yZvPkbEs","properties":{"formattedCitation":"(Friston et al., 1996)","plainCitation":"(Friston et al., 1996)","noteIndex":0},"citationItems":[{"id":1610,"uris":["http://zotero.org/users/16246314/items/7I86HJN7"],"itemData":{"id":1610,"type":"article-journal","abstract":"This paper concerns the spatial and intensity transformations that are required to adjust for the confounding effects of subject movement during functional MRI (fMRI) activation studies. An approach is presented that models, and removes, movement-related artifacts from fMRI time-series. This approach is predicated on the observation that movement-related effects are extant even after perfect realignment. Movement-related effects can be divided into those that are a function of position of the object in the frame of reference of the scanner and those that are due to movement in previous scans. This second component depends on the history of excitation experienced by spins in a small volume and consequent differences in local saturation. The spin excitation history thus will itself be a function of previous positions, suggesting an autoregression-moving average model for the effects of previous displacements on the current signal. A model is described as well as the adjustments for movement-related components that ensue. The empirical analyses suggest that (in extreme situations) over 90% of fMRI signal can be attributed to movement, and that this artifactual component can be successfully removed.","container-title":"Magnetic Resonance in Medicine","DOI":"10.1002/mrm.1910350312","ISSN":"0740-3194","issue":"3","journalAbbreviation":"Magn Reson Med","language":"eng","note":"PMID: 8699946","page":"346-355","source":"PubMed","title":"Movement-related effects in fMRI time-series","volume":"35","author":[{"family":"Friston","given":"K. J."},{"family":"Williams","given":"S."},{"family":"Howard","given":"R."},{"family":"Frackowiak","given":"R. S."},{"family":"Turner","given":"R."}],"issued":{"date-parts":[["1996",3]]}}}],"schema":"https://github.com/citation-style-language/schema/raw/master/csl-citation.json"} </w:instrText>
      </w:r>
      <w:r w:rsidR="00CA701E">
        <w:fldChar w:fldCharType="separate"/>
      </w:r>
      <w:r w:rsidR="00154EBA">
        <w:rPr>
          <w:lang w:val="en-US"/>
        </w:rPr>
        <w:t>(Friston et al., 1996)</w:t>
      </w:r>
      <w:r w:rsidR="00CA701E">
        <w:fldChar w:fldCharType="end"/>
      </w:r>
      <w:r w:rsidR="00CA701E">
        <w:t xml:space="preserve">, </w:t>
      </w:r>
      <w:r>
        <w:t>outlier scans (below 490 factors)</w:t>
      </w:r>
      <w:r w:rsidR="00CA701E">
        <w:fldChar w:fldCharType="begin"/>
      </w:r>
      <w:r w:rsidR="00154EBA">
        <w:instrText xml:space="preserve"> ADDIN ZOTERO_ITEM CSL_CITATION {"citationID":"ZAdwbxhK","properties":{"formattedCitation":"(Power et al., 2014)","plainCitation":"(Power et al., 2014)","noteIndex":0},"citationItems":[{"id":286,"uris":["http://zotero.org/users/16246314/items/NZHXZ5HQ"],"itemData":{"id":286,"type":"article-journal","abstract":"Head motion systematically alters correlations in resting state functional connectivity fMRI (RSFC). In this report we examine impact of motion on signal intensity and RSFC correlations. We find that motion-induced signal changes (1) are often complex and variable waveforms, (2) are often shared across nearly all brain voxels, and (3) often persist more than 10s after motion ceases. These signal changes, both during and after motion, increase observed RSFC correlations in a distance-dependent manner. Motion-related signal changes are not removed by a variety of motion-based regressors, but are effectively reduced by global signal regression. We link several measures of data quality to motion, changes in signal intensity, and changes in RSFC correlations. We demonstrate that improvements in data quality measures during processing may represent cosmetic improvements rather than true correction of the data. We demonstrate a within-subject, censoring-based artifact removal strategy based on volume censoring that reduces group differences due to motion to chance levels. We note conditions under which group-level regressions do and do not correct motion-related effects.","container-title":"NeuroImage","DOI":"10.1016/j.neuroimage.2013.08.048","ISSN":"1095-9572","journalAbbreviation":"Neuroimage","language":"eng","note":"PMID: 23994314\nPMCID: PMC3849338","page":"320-341","source":"PubMed","title":"Methods to detect, characterize, and remove motion artifact in resting state fMRI","volume":"84","author":[{"family":"Power","given":"Jonathan D."},{"family":"Mitra","given":"Anish"},{"family":"Laumann","given":"Timothy O."},{"family":"Snyder","given":"Abraham Z."},{"family":"Schlaggar","given":"Bradley L."},{"family":"Petersen","given":"Steven E."}],"issued":{"date-parts":[["2014",1,1]]}}}],"schema":"https://github.com/citation-style-language/schema/raw/master/csl-citation.json"} </w:instrText>
      </w:r>
      <w:r w:rsidR="00CA701E">
        <w:fldChar w:fldCharType="separate"/>
      </w:r>
      <w:r w:rsidR="00154EBA">
        <w:rPr>
          <w:lang w:val="en-US"/>
        </w:rPr>
        <w:t>(Power et al., 2014)</w:t>
      </w:r>
      <w:r w:rsidR="00CA701E">
        <w:fldChar w:fldCharType="end"/>
      </w:r>
      <w:r w:rsidR="00CA701E">
        <w:t xml:space="preserve">, </w:t>
      </w:r>
      <w:r>
        <w:t>session and task effects and their first order derivatives (</w:t>
      </w:r>
      <w:r w:rsidR="005E2C2B">
        <w:t>6</w:t>
      </w:r>
      <w:r>
        <w:t xml:space="preserve"> factors), </w:t>
      </w:r>
      <w:proofErr w:type="spellStart"/>
      <w:r>
        <w:t>QC_csf</w:t>
      </w:r>
      <w:proofErr w:type="spellEnd"/>
      <w:r>
        <w:t xml:space="preserve"> linear and quadratic regressors (2 components), </w:t>
      </w:r>
      <w:proofErr w:type="spellStart"/>
      <w:r>
        <w:t>QC_rot</w:t>
      </w:r>
      <w:proofErr w:type="spellEnd"/>
      <w:r>
        <w:t xml:space="preserve"> linear and quadratic regressors and their first order derivatives (12 components), </w:t>
      </w:r>
      <w:proofErr w:type="spellStart"/>
      <w:r>
        <w:t>QC_trans</w:t>
      </w:r>
      <w:proofErr w:type="spellEnd"/>
      <w:r>
        <w:t xml:space="preserve"> linear and quadratic regressors and their first order derivatives (12 components), </w:t>
      </w:r>
      <w:proofErr w:type="spellStart"/>
      <w:r>
        <w:t>QC_motion_outlier</w:t>
      </w:r>
      <w:proofErr w:type="spellEnd"/>
      <w:r>
        <w:t xml:space="preserve"> regressors and their first order derivatives (942 components), and linear trends (2 factors) within each functional run, followed by bandpass frequency filtering of the BOLD timeseries</w:t>
      </w:r>
      <w:r w:rsidR="00CA701E">
        <w:fldChar w:fldCharType="begin"/>
      </w:r>
      <w:r w:rsidR="00154EBA">
        <w:instrText xml:space="preserve"> ADDIN ZOTERO_ITEM CSL_CITATION {"citationID":"rqDZ2lQa","properties":{"formattedCitation":"(Hallquist et al., 2013)","plainCitation":"(Hallquist et al., 2013)","noteIndex":0},"citationItems":[{"id":1612,"uris":["http://zotero.org/users/16246314/items/4462A7DH"],"itemData":{"id":1612,"type":"article-journal","abstract":"Recent resting-state functional connectivity fMRI (RS-fcMRI) research has demonstrated that head motion during fMRI acquisition systematically influences connectivity estimates despite bandpass filtering and nuisance regression, which are intended to reduce such nuisance variability. We provide evidence that the effects of head motion and other nuisance signals are poorly controlled when the fMRI time series are bandpass-filtered but the regressors are unfiltered, resulting in the inadvertent reintroduction of nuisance-related variation into frequencies previously suppressed by the bandpass filter, as well as suboptimal correction for noise signals in the frequencies of interest. This is important because many RS-fcMRI studies, including some focusing on motion-related artifacts, have applied this approach. In two cohorts of individuals (n=117 and 22) who completed resting-state fMRI scans, we found that the bandpass-regress approach consistently overestimated functional connectivity across the brain, typically on the order of r=.10-.35, relative to a simultaneous bandpass filtering and nuisance regression approach. Inflated correlations under the bandpass-regress approach were associated with head motion and cardiac artifacts. Furthermore, distance-related differences in the association of head motion and connectivity estimates were much weaker for the simultaneous filtering approach. We recommend that future RS-fcMRI studies ensure that the frequencies of nuisance regressors and fMRI data match prior to nuisance regression, and we advocate a simultaneous bandpass filtering and nuisance regression strategy that better controls nuisance-related variability.","container-title":"NeuroImage","DOI":"10.1016/j.neuroimage.2013.05.116","ISSN":"1095-9572","journalAbbreviation":"Neuroimage","language":"eng","note":"PMCID: PMC3759585\nPMID: 23747457","page":"208-225","source":"PubMed","title":"The nuisance of nuisance regression: spectral misspecification in a common approach to resting-state fMRI preprocessing reintroduces noise and obscures functional connectivity","title-short":"The nuisance of nuisance regression","volume":"82","author":[{"family":"Hallquist","given":"Michael N."},{"family":"Hwang","given":"Kai"},{"family":"Luna","given":"Beatriz"}],"issued":{"date-parts":[["2013",11,15]]}}}],"schema":"https://github.com/citation-style-language/schema/raw/master/csl-citation.json"} </w:instrText>
      </w:r>
      <w:r w:rsidR="00CA701E">
        <w:fldChar w:fldCharType="separate"/>
      </w:r>
      <w:r w:rsidR="00154EBA">
        <w:rPr>
          <w:lang w:val="en-US"/>
        </w:rPr>
        <w:t>(Hallquist et al., 2013)</w:t>
      </w:r>
      <w:r w:rsidR="00CA701E">
        <w:fldChar w:fldCharType="end"/>
      </w:r>
      <w:r>
        <w:t xml:space="preserve"> between 0.008 Hz and 0.09 Hz. </w:t>
      </w:r>
      <w:proofErr w:type="spellStart"/>
      <w:r>
        <w:t>CompCor</w:t>
      </w:r>
      <w:proofErr w:type="spellEnd"/>
      <w:r w:rsidR="00CA701E">
        <w:fldChar w:fldCharType="begin"/>
      </w:r>
      <w:r w:rsidR="00154EBA">
        <w:instrText xml:space="preserve"> ADDIN ZOTERO_ITEM CSL_CITATION {"citationID":"QJnGWGRU","properties":{"formattedCitation":"(Behzadi et al., 2007)","plainCitation":"(Behzadi et al., 2007)","noteIndex":0},"citationItems":[{"id":289,"uris":["http://zotero.org/users/16246314/items/K6GIH42X"],"itemData":{"id":289,"type":"article-journal","abstract":"A component based method (CompCor) for the reduction of noise in both blood oxygenation level dependent (BOLD) and perfusion-based functional magnetic resonance imaging (fMRI) data is presented. In the proposed method, significant principal components are derived from noise regions-of-interest (ROI) in which the time series data are unlikely to be modulated by neural activity. These components are then included as nuisance parameters within general linear models for BOLD and perfusion-based fMRI time-series data. Two approaches for the determination of the noise ROI are considered. The first method uses high-resolution anatomical data to define a region of interest composed primarily of white matter and cerebrospinal fluid, while the second method defines a region based upon the temporal standard deviation of the time series data. With the application of CompCor, the temporal standard deviation of resting state perfusion and BOLD data in gray matter regions was significantly reduced as compared to either no correction or the application of a previously described retrospective image based correction scheme (RETROICOR). For both functional perfusion and BOLD data, the application of CompCor significantly increased the number of activated voxels as compared to no correction. In addition, for functional BOLD data, there were significantly more activated voxels detected with CompCor as compared to RETROICOR. In comparison to RETROICOR, CompCor has the advantage of not requiring external monitoring of physiological fluctuations.","container-title":"NeuroImage","DOI":"10.1016/j.neuroimage.2007.04.042","ISSN":"1053-8119","issue":"1","journalAbbreviation":"Neuroimage","note":"PMID: 17560126\nPMCID: PMC2214855","page":"90-101","source":"PubMed Central","title":"A Component Based Noise Correction Method (CompCor) for BOLD and Perfusion Based fMRI","volume":"37","author":[{"family":"Behzadi","given":"Yashar"},{"family":"Restom","given":"Khaled"},{"family":"Liau","given":"Joy"},{"family":"Liu","given":"Thomas T."}],"issued":{"date-parts":[["2007",8,1]]}}}],"schema":"https://github.com/citation-style-language/schema/raw/master/csl-citation.json"} </w:instrText>
      </w:r>
      <w:r w:rsidR="00CA701E">
        <w:fldChar w:fldCharType="separate"/>
      </w:r>
      <w:r w:rsidR="00154EBA">
        <w:rPr>
          <w:lang w:val="en-US"/>
        </w:rPr>
        <w:t>(Behzadi et al., 2007</w:t>
      </w:r>
      <w:r w:rsidR="005E2C2B">
        <w:rPr>
          <w:lang w:val="en-US"/>
        </w:rPr>
        <w:t>; Chai et al., 2012</w:t>
      </w:r>
      <w:r w:rsidR="00154EBA">
        <w:rPr>
          <w:lang w:val="en-US"/>
        </w:rPr>
        <w:t>)</w:t>
      </w:r>
      <w:r w:rsidR="00CA701E">
        <w:fldChar w:fldCharType="end"/>
      </w:r>
      <w:r>
        <w:t xml:space="preserve"> noise components within white matter and CSF were estimated by computing the average BOLD signal as well as the largest principal components orthogonal to the BOLD average, motion parameters, and outlier scans within each subject's eroded segmentation masks. From the number of noise terms included in this denoising strategy, the effective degrees of freedom of the BOLD signal after denoising were estimated to range from 0 to 343.4 (average 212) across all subjects (Nieto-Castanon, submitted).</w:t>
      </w:r>
    </w:p>
    <w:p w14:paraId="22B8C76C" w14:textId="61325DAB" w:rsidR="00BF5689" w:rsidRPr="00BF5689" w:rsidRDefault="006C3978" w:rsidP="00AE30C0">
      <w:pPr>
        <w:pStyle w:val="NormalWeb"/>
        <w:rPr>
          <w:b/>
          <w:bCs/>
          <w:i/>
          <w:iCs/>
        </w:rPr>
      </w:pPr>
      <w:r w:rsidRPr="00BE3879">
        <w:rPr>
          <w:b/>
          <w:bCs/>
          <w:i/>
          <w:iCs/>
        </w:rPr>
        <w:t>Functional connectivity multivariate pattern analysis</w:t>
      </w:r>
    </w:p>
    <w:p w14:paraId="13655FC0" w14:textId="77777777" w:rsidR="006C3978" w:rsidRDefault="00BF5689" w:rsidP="00AE30C0">
      <w:pPr>
        <w:pStyle w:val="NormalWeb"/>
        <w:ind w:firstLine="720"/>
      </w:pPr>
      <w:r>
        <w:t>Functional connectivity multivariate pattern analyses (fc-MVPA)</w:t>
      </w:r>
      <w:r w:rsidR="00CA701E">
        <w:fldChar w:fldCharType="begin"/>
      </w:r>
      <w:r w:rsidR="00154EBA">
        <w:instrText xml:space="preserve"> ADDIN ZOTERO_ITEM CSL_CITATION {"citationID":"KQMH2PrG","properties":{"formattedCitation":"(Nieto-Castanon, 2022)","plainCitation":"(Nieto-Castanon, 2022)","noteIndex":0},"citationItems":[{"id":535,"uris":["http://zotero.org/users/16246314/items/LI58TDQ3"],"itemData":{"id":535,"type":"article-journal","abstract":"Current functional Magnetic Resonance Imaging technology is able to resolve billions of individual functional connections characterizing the human connectome. Classical statistical inferential procedures attempting to make valid inferences across this many measures from a reduced set of observations and from a limited number of subjects can be severely underpowered for any but the largest effect sizes. This manuscript discusses fc-MVPA (functional connectivity Multivariate Pattern Analysis), a novel method using multivariate pattern analysis techniques in the context of brain-wide connectome inferences. The theory behind fc-MVPA is presented, and several of its key concepts are illustrated through examples from a publicly available resting state dataset, including an analysis of gender differences across the entire functional connectome. Finally, Monte Carlo simulations are used to demonstrate the validity and sensitivity of this method. In addition to offering powerful whole-brain inferences, fc-MVPA also provides a meaningful characterization of the heterogeneity in functional connectivity across subjects.","container-title":"PLOS Computational Biology","DOI":"10.1371/journal.pcbi.1010634","ISSN":"1553-7358","issue":"11","journalAbbreviation":"PLOS Computational Biology","language":"en","note":"publisher: Public Library of Science","page":"e1010634","source":"PLoS Journals","title":"Brain-wide connectome inferences using functional connectivity MultiVariate Pattern Analyses (fc-MVPA)","volume":"18","author":[{"family":"Nieto-Castanon","given":"Alfonso"}],"issued":{"date-parts":[["2022",11,15]]}}}],"schema":"https://github.com/citation-style-language/schema/raw/master/csl-citation.json"} </w:instrText>
      </w:r>
      <w:r w:rsidR="00CA701E">
        <w:fldChar w:fldCharType="separate"/>
      </w:r>
      <w:r w:rsidR="00154EBA">
        <w:rPr>
          <w:lang w:val="en-US"/>
        </w:rPr>
        <w:t>(Nieto-Castanon, 2022)</w:t>
      </w:r>
      <w:r w:rsidR="00CA701E">
        <w:fldChar w:fldCharType="end"/>
      </w:r>
      <w:r w:rsidR="00CA701E">
        <w:t xml:space="preserve"> </w:t>
      </w:r>
      <w:r>
        <w:t xml:space="preserve">were performed to estimate the first 10 </w:t>
      </w:r>
      <w:proofErr w:type="spellStart"/>
      <w:r>
        <w:t>eigenpatterns</w:t>
      </w:r>
      <w:proofErr w:type="spellEnd"/>
      <w:r>
        <w:t xml:space="preserve"> characterizing the principal axes of heterogeneity in functional connectivity across subjects and conditions. From these </w:t>
      </w:r>
      <w:proofErr w:type="spellStart"/>
      <w:r>
        <w:t>eigenpatterns</w:t>
      </w:r>
      <w:proofErr w:type="spellEnd"/>
      <w:r>
        <w:t xml:space="preserve">, 10 associated </w:t>
      </w:r>
      <w:proofErr w:type="spellStart"/>
      <w:r>
        <w:t>eigenpattern</w:t>
      </w:r>
      <w:proofErr w:type="spellEnd"/>
      <w:r>
        <w:t xml:space="preserve">-score images were derived for each individual subject and condition characterizing their brain-wide functional connectome state. </w:t>
      </w:r>
      <w:proofErr w:type="spellStart"/>
      <w:r>
        <w:t>Eigenpatterns</w:t>
      </w:r>
      <w:proofErr w:type="spellEnd"/>
      <w:r>
        <w:t xml:space="preserve"> and </w:t>
      </w:r>
      <w:proofErr w:type="spellStart"/>
      <w:r>
        <w:t>eigenpattern</w:t>
      </w:r>
      <w:proofErr w:type="spellEnd"/>
      <w:r>
        <w:t>-scores were computed separately for each individual seed voxel as the left- and right-singular vectors, respectively, from a singular value decomposition (group-level SVD) of the matrix of functional connectivity values between this seed voxel and the rest of the brain (a matrix with one row per target voxel, and one column per subject and condition). Individual functional connectivity values were computed from the matrices of bivariate correlation coefficients between the BOLD timeseries from each pair of voxels, estimated using a singular value decomposition of the z-score normalized BOLD signal (subject-level SVD) with 64 components separately for each subject and condition</w:t>
      </w:r>
      <w:r w:rsidR="00CA701E">
        <w:fldChar w:fldCharType="begin"/>
      </w:r>
      <w:r w:rsidR="00154EBA">
        <w:instrText xml:space="preserve"> ADDIN ZOTERO_ITEM CSL_CITATION {"citationID":"P8RPsa9N","properties":{"formattedCitation":"(Whitfield-Gabrieli &amp; Nieto-Castanon, 2012)","plainCitation":"(Whitfield-Gabrieli &amp; Nieto-Castanon, 2012)","noteIndex":0},"citationItems":[{"id":933,"uris":["http://zotero.org/users/16246314/items/D4KN5I4M"],"itemData":{"id":933,"type":"article-journal","abstract":"Resting state functional connectivity reveals intrinsic, spontaneous networks that elucidate the functional architecture of the human brain. However, valid statistical analysis used to identify such networks must address sources of noise in order to avoid possible confounds such as spurious correlations based on non-neuronal sources. We have developed a functional connectivity toolbox Conn (www.nitrc.org/projects/conn) that implements the component-based noise correction method (CompCor) strategy for physiological and other noise source reduction, additional removal of movement, and temporal covariates, temporal filtering and windowing of the residual blood oxygen level-dependent (BOLD) contrast signal, first-level estimation of multiple standard functional connectivity magnetic resonance imaging (fcMRI) measures, and second-level random-effect analysis for resting state as well as task-related data. Compared to methods that rely on global signal regression, the CompCor noise reduction method allows for interpretation of anticorrelations as there is no regression of the global signal. The toolbox implements fcMRI measures, such as estimation of seed-to-voxel and region of interest (ROI)-to-ROI functional correlations, as well as semipartial correlation and bivariate/multivariate regression analysis for multiple ROI sources, graph theoretical analysis, and novel voxel-to-voxel analysis of functional connectivity. We describe the methods implemented in the Conn toolbox for the analysis of fcMRI data, together with examples of use and interscan reliability estimates of all the implemented fcMRI measures. The results indicate that the CompCor method increases the sensitivity and selectivity of fcMRI analysis, and show a high degree of interscan reliability for many fcMRI measures.","container-title":"Brain Connectivity","DOI":"10.1089/brain.2012.0073","ISSN":"2158-0014","issue":"3","note":"publisher: Mary Ann Liebert, Inc., publishers","page":"125-141","source":"liebertpub.com (Atypon)","title":"Conn: A Functional Connectivity Toolbox for Correlated and Anticorrelated Brain Networks","title-short":"Conn","volume":"2","author":[{"family":"Whitfield-Gabrieli","given":"Susan"},{"family":"Nieto-Castanon","given":"Alfonso"}],"issued":{"date-parts":[["2012",6]]}}}],"schema":"https://github.com/citation-style-language/schema/raw/master/csl-citation.json"} </w:instrText>
      </w:r>
      <w:r w:rsidR="00CA701E">
        <w:fldChar w:fldCharType="separate"/>
      </w:r>
      <w:r w:rsidR="00154EBA">
        <w:rPr>
          <w:lang w:val="en-US"/>
        </w:rPr>
        <w:t>(Whitfield-Gabrieli &amp; Nieto-Castanon, 2012)</w:t>
      </w:r>
      <w:r w:rsidR="00CA701E">
        <w:fldChar w:fldCharType="end"/>
      </w:r>
      <w:r w:rsidR="00CA701E">
        <w:t>.</w:t>
      </w:r>
      <w:r w:rsidR="006C3978" w:rsidRPr="006C3978">
        <w:t xml:space="preserve"> </w:t>
      </w:r>
    </w:p>
    <w:p w14:paraId="6DC14874" w14:textId="3DC9CDE4" w:rsidR="006C3978" w:rsidRDefault="006C3978" w:rsidP="00AE30C0">
      <w:pPr>
        <w:pStyle w:val="NormalWeb"/>
        <w:ind w:firstLine="720"/>
      </w:pPr>
      <w:r w:rsidRPr="00BE3879">
        <w:lastRenderedPageBreak/>
        <w:t>Group-level analyses were performed using a General Linear Model (GLM)</w:t>
      </w:r>
      <w:r w:rsidRPr="00BE3879">
        <w:fldChar w:fldCharType="begin"/>
      </w:r>
      <w:r w:rsidRPr="00BE3879">
        <w:instrText xml:space="preserve"> ADDIN ZOTERO_ITEM CSL_CITATION {"citationID":"bftRb9Bw","properties":{"formattedCitation":"(Nieto-Castanon, 2022)","plainCitation":"(Nieto-Castanon, 2022)","noteIndex":0},"citationItems":[{"id":535,"uris":["http://zotero.org/users/16246314/items/LI58TDQ3"],"itemData":{"id":535,"type":"article-journal","abstract":"Current functional Magnetic Resonance Imaging technology is able to resolve billions of individual functional connections characterizing the human connectome. Classical statistical inferential procedures attempting to make valid inferences across this many measures from a reduced set of observations and from a limited number of subjects can be severely underpowered for any but the largest effect sizes. This manuscript discusses fc-MVPA (functional connectivity Multivariate Pattern Analysis), a novel method using multivariate pattern analysis techniques in the context of brain-wide connectome inferences. The theory behind fc-MVPA is presented, and several of its key concepts are illustrated through examples from a publicly available resting state dataset, including an analysis of gender differences across the entire functional connectome. Finally, Monte Carlo simulations are used to demonstrate the validity and sensitivity of this method. In addition to offering powerful whole-brain inferences, fc-MVPA also provides a meaningful characterization of the heterogeneity in functional connectivity across subjects.","container-title":"PLOS Computational Biology","DOI":"10.1371/journal.pcbi.1010634","ISSN":"1553-7358","issue":"11","journalAbbreviation":"PLOS Computational Biology","language":"en","note":"publisher: Public Library of Science","page":"e1010634","source":"PLoS Journals","title":"Brain-wide connectome inferences using functional connectivity MultiVariate Pattern Analyses (fc-MVPA)","volume":"18","author":[{"family":"Nieto-Castanon","given":"Alfonso"}],"issued":{"date-parts":[["2022",11,15]]}}}],"schema":"https://github.com/citation-style-language/schema/raw/master/csl-citation.json"} </w:instrText>
      </w:r>
      <w:r w:rsidRPr="00BE3879">
        <w:fldChar w:fldCharType="separate"/>
      </w:r>
      <w:r w:rsidRPr="00BE3879">
        <w:rPr>
          <w:lang w:val="en-US"/>
        </w:rPr>
        <w:t>(Nieto-Castanon, 2022)</w:t>
      </w:r>
      <w:r w:rsidRPr="00BE3879">
        <w:fldChar w:fldCharType="end"/>
      </w:r>
      <w:r w:rsidRPr="00BE3879">
        <w:t>.  For each individual voxel a separate GLM was estimated, with first-level connectivity measures at this voxel as dependent variables (one independent sample per subject and one measurement per task or experimental condition, if applicable), and groups or other subject-level identifiers as independent variables. Voxel-level hypotheses were evaluated using multivariate parametric statistics with random-effects across subjects and sample covariance estimation across multiple measurements. Inferences were performed at the level of individual clusters (groups of contiguous voxels).</w:t>
      </w:r>
      <w:r>
        <w:t xml:space="preserve"> </w:t>
      </w:r>
      <w:r w:rsidRPr="00BE3879">
        <w:t>Cluster-level inferences were based on parametric statistics from Gaussian Random Field theory</w:t>
      </w:r>
      <w:r w:rsidR="00892901" w:rsidRPr="00BE3879">
        <w:t xml:space="preserve"> </w:t>
      </w:r>
      <w:r w:rsidRPr="00BE3879">
        <w:fldChar w:fldCharType="begin"/>
      </w:r>
      <w:r w:rsidRPr="00BE3879">
        <w:instrText xml:space="preserve"> ADDIN ZOTERO_ITEM CSL_CITATION {"citationID":"lMPC2fxO","properties":{"formattedCitation":"(Nieto-Castanon, 2022; Worsley et al., 1996)","plainCitation":"(Nieto-Castanon, 2022; Worsley et al., 1996)","noteIndex":0},"citationItems":[{"id":535,"uris":["http://zotero.org/users/16246314/items/LI58TDQ3"],"itemData":{"id":535,"type":"article-journal","abstract":"Current functional Magnetic Resonance Imaging technology is able to resolve billions of individual functional connections characterizing the human connectome. Classical statistical inferential procedures attempting to make valid inferences across this many measures from a reduced set of observations and from a limited number of subjects can be severely underpowered for any but the largest effect sizes. This manuscript discusses fc-MVPA (functional connectivity Multivariate Pattern Analysis), a novel method using multivariate pattern analysis techniques in the context of brain-wide connectome inferences. The theory behind fc-MVPA is presented, and several of its key concepts are illustrated through examples from a publicly available resting state dataset, including an analysis of gender differences across the entire functional connectome. Finally, Monte Carlo simulations are used to demonstrate the validity and sensitivity of this method. In addition to offering powerful whole-brain inferences, fc-MVPA also provides a meaningful characterization of the heterogeneity in functional connectivity across subjects.","container-title":"PLOS Computational Biology","DOI":"10.1371/journal.pcbi.1010634","ISSN":"1553-7358","issue":"11","journalAbbreviation":"PLOS Computational Biology","language":"en","note":"publisher: Public Library of Science","page":"e1010634","source":"PLoS Journals","title":"Brain-wide connectome inferences using functional connectivity MultiVariate Pattern Analyses (fc-MVPA)","volume":"18","author":[{"family":"Nieto-Castanon","given":"Alfonso"}],"issued":{"date-parts":[["2022",11,15]]}}},{"id":1615,"uris":["http://zotero.org/users/16246314/items/IZZI2PHK"],"itemData":{"id":1615,"type":"article-journal","abstract":"We present a unified statistical theory for assessing the significanceof apparent signal observed in noisy difference images. The results are usable in a wide range of applications, including NRI,but are discussed with particular reference to PET images which represent changes in cerebral blood flow elicited by a specificcognitive or sensorimotor task. Our main result is an estimate of the P-value for local maxima of Gaussian, t, x2 and F fields over search regions of any shape or size in any number of dimensions. This unifies the P-values for large search areas in 2-D (Friston et al. [1991]: J Cereb Blood Flow Metab 11590-699) large search regions in 3-D (Worsley et al. [1992]:J Cereb Blood Flow Metab 12:900-918) and the usual uncorrected IJ-value at a single pixel or voxel. o 1996 Wiley-Liss, Inc.","container-title":"Human Brain Mapping","DOI":"10.1002/(SICI)1097-0193(1996)4:1&lt;58::AID-HBM4&gt;3.0.CO;2-O","ISSN":"10659471","issue":"1","journalAbbreviation":"Hum. Brain Mapp.","language":"en","license":"http://doi.wiley.com/10.1002/tdm_license_1.1","page":"58-73","source":"DOI.org (Crossref)","title":"A unified statistical approach for determining significant signals in images of cerebral activation","volume":"4","author":[{"family":"Worsley","given":"K. J."},{"family":"Marrett","given":"S."},{"family":"Neelin","given":"P."},{"family":"Vandal","given":"A. C."},{"family":"Friston","given":"K. J."},{"family":"Evans","given":"A. C."}],"issued":{"date-parts":[["1996"]]}}}],"schema":"https://github.com/citation-style-language/schema/raw/master/csl-citation.json"} </w:instrText>
      </w:r>
      <w:r w:rsidRPr="00BE3879">
        <w:fldChar w:fldCharType="separate"/>
      </w:r>
      <w:r w:rsidRPr="00BE3879">
        <w:rPr>
          <w:lang w:val="en-US"/>
        </w:rPr>
        <w:t>(Nieto-Castanon, 2022; Worsley et al., 1996)</w:t>
      </w:r>
      <w:r w:rsidRPr="00BE3879">
        <w:fldChar w:fldCharType="end"/>
      </w:r>
      <w:r w:rsidRPr="00BE3879">
        <w:t xml:space="preserve">. Results were </w:t>
      </w:r>
      <w:proofErr w:type="spellStart"/>
      <w:r w:rsidRPr="00BE3879">
        <w:t>thresholded</w:t>
      </w:r>
      <w:proofErr w:type="spellEnd"/>
      <w:r w:rsidRPr="00BE3879">
        <w:t xml:space="preserve"> using a combination of a cluster-forming </w:t>
      </w:r>
      <w:r w:rsidRPr="00AE30C0">
        <w:rPr>
          <w:i/>
          <w:iCs/>
        </w:rPr>
        <w:t>p</w:t>
      </w:r>
      <w:r w:rsidRPr="00BE3879">
        <w:t xml:space="preserve"> &lt; 0.001 voxel-level threshold, and a familywise corrected </w:t>
      </w:r>
      <w:r w:rsidRPr="00AE30C0">
        <w:rPr>
          <w:i/>
          <w:iCs/>
        </w:rPr>
        <w:t>p</w:t>
      </w:r>
      <w:r w:rsidRPr="00BE3879">
        <w:t>-F</w:t>
      </w:r>
      <w:r w:rsidR="001B7817" w:rsidRPr="00BE3879">
        <w:t>WE</w:t>
      </w:r>
      <w:r w:rsidRPr="00BE3879">
        <w:t xml:space="preserve"> &lt; 0.05 cluster-size threshold.</w:t>
      </w:r>
    </w:p>
    <w:p w14:paraId="58978BD1" w14:textId="702535C6" w:rsidR="006C3978" w:rsidRPr="00AE30C0" w:rsidRDefault="006C3978" w:rsidP="00AE30C0">
      <w:pPr>
        <w:pStyle w:val="NormalWeb"/>
        <w:rPr>
          <w:b/>
          <w:bCs/>
          <w:i/>
          <w:iCs/>
        </w:rPr>
      </w:pPr>
      <w:r>
        <w:rPr>
          <w:b/>
          <w:bCs/>
          <w:i/>
          <w:iCs/>
        </w:rPr>
        <w:t>Post-hoc seed-based connectivity analysis</w:t>
      </w:r>
    </w:p>
    <w:p w14:paraId="67A41498" w14:textId="1EBAC640" w:rsidR="00BF5689" w:rsidRDefault="00BF5689" w:rsidP="00AE30C0">
      <w:pPr>
        <w:pStyle w:val="NormalWeb"/>
        <w:ind w:firstLine="720"/>
      </w:pPr>
      <w:r>
        <w:t xml:space="preserve">Seed-based connectivity maps (SBC) were estimated characterizing the spatial pattern of functional connectivity with a seed </w:t>
      </w:r>
      <w:r w:rsidRPr="00BE3879">
        <w:t xml:space="preserve">area. Seed regions included </w:t>
      </w:r>
      <w:r w:rsidR="003850D5" w:rsidRPr="00BE3879">
        <w:t xml:space="preserve">7 </w:t>
      </w:r>
      <w:r w:rsidRPr="00BE3879">
        <w:t>ROIs.</w:t>
      </w:r>
      <w:r>
        <w:t xml:space="preserve"> Functional connectivity strength was represented by Fisher-transformed bivariate correlation coefficients from a weighted general linear model (weighted-GLM)</w:t>
      </w:r>
      <w:r w:rsidR="00CA701E">
        <w:fldChar w:fldCharType="begin"/>
      </w:r>
      <w:r w:rsidR="00154EBA">
        <w:instrText xml:space="preserve"> ADDIN ZOTERO_ITEM CSL_CITATION {"citationID":"uzthqXfl","properties":{"formattedCitation":"(Nieto-Castanon, 2022)","plainCitation":"(Nieto-Castanon, 2022)","noteIndex":0},"citationItems":[{"id":535,"uris":["http://zotero.org/users/16246314/items/LI58TDQ3"],"itemData":{"id":535,"type":"article-journal","abstract":"Current functional Magnetic Resonance Imaging technology is able to resolve billions of individual functional connections characterizing the human connectome. Classical statistical inferential procedures attempting to make valid inferences across this many measures from a reduced set of observations and from a limited number of subjects can be severely underpowered for any but the largest effect sizes. This manuscript discusses fc-MVPA (functional connectivity Multivariate Pattern Analysis), a novel method using multivariate pattern analysis techniques in the context of brain-wide connectome inferences. The theory behind fc-MVPA is presented, and several of its key concepts are illustrated through examples from a publicly available resting state dataset, including an analysis of gender differences across the entire functional connectome. Finally, Monte Carlo simulations are used to demonstrate the validity and sensitivity of this method. In addition to offering powerful whole-brain inferences, fc-MVPA also provides a meaningful characterization of the heterogeneity in functional connectivity across subjects.","container-title":"PLOS Computational Biology","DOI":"10.1371/journal.pcbi.1010634","ISSN":"1553-7358","issue":"11","journalAbbreviation":"PLOS Computational Biology","language":"en","note":"publisher: Public Library of Science","page":"e1010634","source":"PLoS Journals","title":"Brain-wide connectome inferences using functional connectivity MultiVariate Pattern Analyses (fc-MVPA)","volume":"18","author":[{"family":"Nieto-Castanon","given":"Alfonso"}],"issued":{"date-parts":[["2022",11,15]]}}}],"schema":"https://github.com/citation-style-language/schema/raw/master/csl-citation.json"} </w:instrText>
      </w:r>
      <w:r w:rsidR="00CA701E">
        <w:fldChar w:fldCharType="separate"/>
      </w:r>
      <w:r w:rsidR="00154EBA">
        <w:rPr>
          <w:lang w:val="en-US"/>
        </w:rPr>
        <w:t>(Nieto-Castanon, 2022)</w:t>
      </w:r>
      <w:r w:rsidR="00CA701E">
        <w:fldChar w:fldCharType="end"/>
      </w:r>
      <w:r w:rsidR="00CA701E">
        <w:t xml:space="preserve"> </w:t>
      </w:r>
      <w:r>
        <w:t>estimated separately for each seed area and target voxel, modeling the association between their BOLD signal timeseries. Individual scans were weighted by a boxcar signal characterizing each individual task or experimental condition convolved with an SPM canonical hemodynamic response function and rectified.</w:t>
      </w:r>
    </w:p>
    <w:p w14:paraId="20079D2B" w14:textId="511D3415" w:rsidR="007C5A4B" w:rsidRDefault="00BF5689" w:rsidP="00AE30C0">
      <w:pPr>
        <w:pStyle w:val="NormalWeb"/>
        <w:ind w:firstLine="720"/>
      </w:pPr>
      <w:r>
        <w:t>Group-level analyses were performed using a General Linear Model (GLM)</w:t>
      </w:r>
      <w:r w:rsidR="00CA701E">
        <w:fldChar w:fldCharType="begin"/>
      </w:r>
      <w:r w:rsidR="00154EBA">
        <w:instrText xml:space="preserve"> ADDIN ZOTERO_ITEM CSL_CITATION {"citationID":"bftRb9Bw","properties":{"formattedCitation":"(Nieto-Castanon, 2022)","plainCitation":"(Nieto-Castanon, 2022)","noteIndex":0},"citationItems":[{"id":535,"uris":["http://zotero.org/users/16246314/items/LI58TDQ3"],"itemData":{"id":535,"type":"article-journal","abstract":"Current functional Magnetic Resonance Imaging technology is able to resolve billions of individual functional connections characterizing the human connectome. Classical statistical inferential procedures attempting to make valid inferences across this many measures from a reduced set of observations and from a limited number of subjects can be severely underpowered for any but the largest effect sizes. This manuscript discusses fc-MVPA (functional connectivity Multivariate Pattern Analysis), a novel method using multivariate pattern analysis techniques in the context of brain-wide connectome inferences. The theory behind fc-MVPA is presented, and several of its key concepts are illustrated through examples from a publicly available resting state dataset, including an analysis of gender differences across the entire functional connectome. Finally, Monte Carlo simulations are used to demonstrate the validity and sensitivity of this method. In addition to offering powerful whole-brain inferences, fc-MVPA also provides a meaningful characterization of the heterogeneity in functional connectivity across subjects.","container-title":"PLOS Computational Biology","DOI":"10.1371/journal.pcbi.1010634","ISSN":"1553-7358","issue":"11","journalAbbreviation":"PLOS Computational Biology","language":"en","note":"publisher: Public Library of Science","page":"e1010634","source":"PLoS Journals","title":"Brain-wide connectome inferences using functional connectivity MultiVariate Pattern Analyses (fc-MVPA)","volume":"18","author":[{"family":"Nieto-Castanon","given":"Alfonso"}],"issued":{"date-parts":[["2022",11,15]]}}}],"schema":"https://github.com/citation-style-language/schema/raw/master/csl-citation.json"} </w:instrText>
      </w:r>
      <w:r w:rsidR="00CA701E">
        <w:fldChar w:fldCharType="separate"/>
      </w:r>
      <w:r w:rsidR="00154EBA">
        <w:rPr>
          <w:lang w:val="en-US"/>
        </w:rPr>
        <w:t>(Nieto-Castanon, 2022)</w:t>
      </w:r>
      <w:r w:rsidR="00CA701E">
        <w:fldChar w:fldCharType="end"/>
      </w:r>
      <w:r w:rsidR="00CA701E">
        <w:t xml:space="preserve">. </w:t>
      </w:r>
      <w:r>
        <w:t xml:space="preserve"> For each individual voxel a separate GLM was estimated, with first-level connectivity measures at this voxel as dependent variables (one independent sample per subject and one measurement per task or experimental condition, if applicable), and groups or other subject-level identifiers as independent variables. Voxel-level hypotheses were evaluated using multivariate parametric statistics with random-effects across subjects and sample covariance estimation across multiple measurements. Inferences were performed at the level of individual clusters (groups of contiguous voxels). Cluster-level inferences were based on parametric statistics from Gaussian Random Field theory</w:t>
      </w:r>
      <w:r w:rsidR="00CA701E">
        <w:fldChar w:fldCharType="begin"/>
      </w:r>
      <w:r w:rsidR="00154EBA">
        <w:instrText xml:space="preserve"> ADDIN ZOTERO_ITEM CSL_CITATION {"citationID":"lMPC2fxO","properties":{"formattedCitation":"(Nieto-Castanon, 2022; Worsley et al., 1996)","plainCitation":"(Nieto-Castanon, 2022; Worsley et al., 1996)","noteIndex":0},"citationItems":[{"id":535,"uris":["http://zotero.org/users/16246314/items/LI58TDQ3"],"itemData":{"id":535,"type":"article-journal","abstract":"Current functional Magnetic Resonance Imaging technology is able to resolve billions of individual functional connections characterizing the human connectome. Classical statistical inferential procedures attempting to make valid inferences across this many measures from a reduced set of observations and from a limited number of subjects can be severely underpowered for any but the largest effect sizes. This manuscript discusses fc-MVPA (functional connectivity Multivariate Pattern Analysis), a novel method using multivariate pattern analysis techniques in the context of brain-wide connectome inferences. The theory behind fc-MVPA is presented, and several of its key concepts are illustrated through examples from a publicly available resting state dataset, including an analysis of gender differences across the entire functional connectome. Finally, Monte Carlo simulations are used to demonstrate the validity and sensitivity of this method. In addition to offering powerful whole-brain inferences, fc-MVPA also provides a meaningful characterization of the heterogeneity in functional connectivity across subjects.","container-title":"PLOS Computational Biology","DOI":"10.1371/journal.pcbi.1010634","ISSN":"1553-7358","issue":"11","journalAbbreviation":"PLOS Computational Biology","language":"en","note":"publisher: Public Library of Science","page":"e1010634","source":"PLoS Journals","title":"Brain-wide connectome inferences using functional connectivity MultiVariate Pattern Analyses (fc-MVPA)","volume":"18","author":[{"family":"Nieto-Castanon","given":"Alfonso"}],"issued":{"date-parts":[["2022",11,15]]}}},{"id":1615,"uris":["http://zotero.org/users/16246314/items/IZZI2PHK"],"itemData":{"id":1615,"type":"article-journal","abstract":"We present a unified statistical theory for assessing the significanceof apparent signal observed in noisy difference images. The results are usable in a wide range of applications, including NRI,but are discussed with particular reference to PET images which represent changes in cerebral blood flow elicited by a specificcognitive or sensorimotor task. Our main result is an estimate of the P-value for local maxima of Gaussian, t, x2 and F fields over search regions of any shape or size in any number of dimensions. This unifies the P-values for large search areas in 2-D (Friston et al. [1991]: J Cereb Blood Flow Metab 11590-699) large search regions in 3-D (Worsley et al. [1992]:J Cereb Blood Flow Metab 12:900-918) and the usual uncorrected IJ-value at a single pixel or voxel. o 1996 Wiley-Liss, Inc.","container-title":"Human Brain Mapping","DOI":"10.1002/(SICI)1097-0193(1996)4:1&lt;58::AID-HBM4&gt;3.0.CO;2-O","ISSN":"10659471","issue":"1","journalAbbreviation":"Hum. Brain Mapp.","language":"en","license":"http://doi.wiley.com/10.1002/tdm_license_1.1","page":"58-73","source":"DOI.org (Crossref)","title":"A unified statistical approach for determining significant signals in images of cerebral activation","volume":"4","author":[{"family":"Worsley","given":"K. J."},{"family":"Marrett","given":"S."},{"family":"Neelin","given":"P."},{"family":"Vandal","given":"A. C."},{"family":"Friston","given":"K. J."},{"family":"Evans","given":"A. C."}],"issued":{"date-parts":[["1996"]]}}}],"schema":"https://github.com/citation-style-language/schema/raw/master/csl-citation.json"} </w:instrText>
      </w:r>
      <w:r w:rsidR="00CA701E">
        <w:fldChar w:fldCharType="separate"/>
      </w:r>
      <w:r w:rsidR="00154EBA">
        <w:rPr>
          <w:lang w:val="en-US"/>
        </w:rPr>
        <w:t>(Nieto-Castanon, 2022; Worsley et al., 1996)</w:t>
      </w:r>
      <w:r w:rsidR="00CA701E">
        <w:fldChar w:fldCharType="end"/>
      </w:r>
      <w:r w:rsidR="00CA701E">
        <w:t xml:space="preserve">. </w:t>
      </w:r>
      <w:r w:rsidRPr="00BE3879">
        <w:t xml:space="preserve">Results were </w:t>
      </w:r>
      <w:proofErr w:type="spellStart"/>
      <w:r w:rsidRPr="00BE3879">
        <w:t>thresholded</w:t>
      </w:r>
      <w:proofErr w:type="spellEnd"/>
      <w:r w:rsidRPr="00BE3879">
        <w:t xml:space="preserve"> using a combination of a cluster-forming p &lt; 0.001 voxel-level threshold, and a familywise corrected p-</w:t>
      </w:r>
      <w:r w:rsidR="008B59BA" w:rsidRPr="00BE3879">
        <w:t xml:space="preserve">FWE </w:t>
      </w:r>
      <w:r w:rsidRPr="00BE3879">
        <w:t>&lt; 0.05 cluster-size threshold</w:t>
      </w:r>
      <w:r w:rsidR="00CA701E" w:rsidRPr="00BE3879">
        <w:t>.</w:t>
      </w:r>
    </w:p>
    <w:p w14:paraId="29079121" w14:textId="77777777" w:rsidR="005B3013" w:rsidRDefault="005B3013">
      <w:pPr>
        <w:rPr>
          <w:rFonts w:ascii="Times New Roman" w:eastAsia="Times New Roman" w:hAnsi="Times New Roman" w:cs="Times New Roman"/>
          <w:b/>
          <w:bCs/>
          <w:kern w:val="0"/>
          <w14:ligatures w14:val="none"/>
        </w:rPr>
      </w:pPr>
      <w:r>
        <w:rPr>
          <w:b/>
          <w:bCs/>
        </w:rPr>
        <w:br w:type="page"/>
      </w:r>
    </w:p>
    <w:p w14:paraId="131C00EC" w14:textId="320FF3C5" w:rsidR="00AC6D73" w:rsidRDefault="00AC6D73" w:rsidP="00AE30C0">
      <w:pPr>
        <w:pStyle w:val="NormalWeb"/>
        <w:rPr>
          <w:b/>
          <w:bCs/>
        </w:rPr>
      </w:pPr>
      <w:r w:rsidRPr="00AC6D73">
        <w:rPr>
          <w:b/>
          <w:bCs/>
        </w:rPr>
        <w:lastRenderedPageBreak/>
        <w:t>Behavioral Results</w:t>
      </w:r>
    </w:p>
    <w:p w14:paraId="4B54F30E" w14:textId="41B8BAB9" w:rsidR="00AC6D73" w:rsidRDefault="00AC6D73" w:rsidP="00AE30C0">
      <w:pPr>
        <w:pStyle w:val="NormalWeb"/>
        <w:rPr>
          <w:i/>
          <w:iCs/>
          <w:color w:val="000000" w:themeColor="text1"/>
        </w:rPr>
      </w:pPr>
      <w:r w:rsidRPr="00AC6D73">
        <w:rPr>
          <w:b/>
          <w:bCs/>
          <w:i/>
          <w:iCs/>
          <w:color w:val="000000" w:themeColor="text1"/>
        </w:rPr>
        <w:t xml:space="preserve">Figure S1 </w:t>
      </w:r>
      <w:r>
        <w:rPr>
          <w:b/>
          <w:bCs/>
          <w:i/>
          <w:iCs/>
          <w:color w:val="000000" w:themeColor="text1"/>
        </w:rPr>
        <w:br/>
      </w:r>
      <w:r w:rsidRPr="005C3B33">
        <w:rPr>
          <w:i/>
          <w:iCs/>
          <w:color w:val="000000" w:themeColor="text1"/>
        </w:rPr>
        <w:t>Arousal Score</w:t>
      </w:r>
      <w:r w:rsidR="000B7707">
        <w:rPr>
          <w:i/>
          <w:iCs/>
          <w:color w:val="000000" w:themeColor="text1"/>
        </w:rPr>
        <w:t>s</w:t>
      </w:r>
    </w:p>
    <w:p w14:paraId="598D4AFE" w14:textId="74DC9231" w:rsidR="000B7707" w:rsidRPr="00D85637" w:rsidRDefault="000B7707" w:rsidP="00AE30C0">
      <w:pPr>
        <w:pStyle w:val="NormalWeb"/>
        <w:rPr>
          <w:b/>
          <w:bCs/>
          <w:i/>
          <w:iCs/>
          <w:color w:val="000000" w:themeColor="text1"/>
        </w:rPr>
      </w:pPr>
      <w:r>
        <w:rPr>
          <w:noProof/>
          <w:lang w:eastAsia="en-CA"/>
        </w:rPr>
        <w:drawing>
          <wp:anchor distT="0" distB="0" distL="114300" distR="114300" simplePos="0" relativeHeight="251659264" behindDoc="0" locked="0" layoutInCell="1" allowOverlap="1" wp14:anchorId="4CE14DC6" wp14:editId="7A717506">
            <wp:simplePos x="0" y="0"/>
            <wp:positionH relativeFrom="column">
              <wp:posOffset>0</wp:posOffset>
            </wp:positionH>
            <wp:positionV relativeFrom="paragraph">
              <wp:posOffset>520065</wp:posOffset>
            </wp:positionV>
            <wp:extent cx="4321810" cy="3235569"/>
            <wp:effectExtent l="0" t="0" r="8890" b="15875"/>
            <wp:wrapTopAndBottom/>
            <wp:docPr id="2059644352" name="Chart 1">
              <a:extLst xmlns:a="http://schemas.openxmlformats.org/drawingml/2006/main">
                <a:ext uri="{FF2B5EF4-FFF2-40B4-BE49-F238E27FC236}">
                  <a16:creationId xmlns:a16="http://schemas.microsoft.com/office/drawing/2014/main" id="{34B1A87C-78EB-A5F9-2A44-70ECABF7BAE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anchor>
        </w:drawing>
      </w:r>
    </w:p>
    <w:p w14:paraId="0EC09C0F" w14:textId="182BBA2C" w:rsidR="00AC6D73" w:rsidRDefault="00AC6D73" w:rsidP="005B3013">
      <w:pPr>
        <w:rPr>
          <w:rFonts w:ascii="Times New Roman" w:hAnsi="Times New Roman" w:cs="Times New Roman"/>
        </w:rPr>
      </w:pPr>
      <w:r w:rsidRPr="00FC6D23">
        <w:rPr>
          <w:rFonts w:ascii="Times New Roman" w:hAnsi="Times New Roman" w:cs="Times New Roman"/>
          <w:i/>
          <w:iCs/>
        </w:rPr>
        <w:t>Note.</w:t>
      </w:r>
      <w:r>
        <w:rPr>
          <w:rFonts w:ascii="Times New Roman" w:hAnsi="Times New Roman" w:cs="Times New Roman"/>
        </w:rPr>
        <w:t xml:space="preserve"> Displayed are the means and standard errors of perceived arousal for each film type across migraine and control participants. “Negative-Migraine” refers to the migraine group’s ratings of the negative valence/high arousal film. ‘Negative-Control” refers to the control group’s ratings of the negative valence/high arousal film. “Positive-Migraine” refers to the migraine group’s ratings of the positive valence/high arousal film. “Positive-Control” refers to the control group’s ratings of the positive valence/high arousal film. “Neutral-Migraine” refers to the migraine group’s ratings of the neutral valence/low arousal film. “Neutral-Control” refers to the control group’s ratings of the neutral valence/low arousal film.</w:t>
      </w:r>
    </w:p>
    <w:p w14:paraId="7EF745D6" w14:textId="77777777" w:rsidR="004D0F6E" w:rsidRDefault="004D0F6E" w:rsidP="00AE30C0">
      <w:pPr>
        <w:rPr>
          <w:rFonts w:ascii="Times New Roman" w:hAnsi="Times New Roman" w:cs="Times New Roman"/>
          <w:b/>
          <w:bCs/>
          <w:i/>
          <w:iCs/>
          <w:color w:val="000000" w:themeColor="text1"/>
        </w:rPr>
      </w:pPr>
    </w:p>
    <w:p w14:paraId="6482C2B5" w14:textId="77777777" w:rsidR="004D0F6E" w:rsidRDefault="004D0F6E" w:rsidP="00AE30C0">
      <w:pPr>
        <w:rPr>
          <w:rFonts w:ascii="Times New Roman" w:hAnsi="Times New Roman" w:cs="Times New Roman"/>
          <w:b/>
          <w:bCs/>
          <w:i/>
          <w:iCs/>
          <w:color w:val="000000" w:themeColor="text1"/>
        </w:rPr>
      </w:pPr>
    </w:p>
    <w:p w14:paraId="1C913CB7" w14:textId="77777777" w:rsidR="004D0F6E" w:rsidRDefault="004D0F6E" w:rsidP="00AE30C0">
      <w:pPr>
        <w:rPr>
          <w:rFonts w:ascii="Times New Roman" w:hAnsi="Times New Roman" w:cs="Times New Roman"/>
          <w:b/>
          <w:bCs/>
          <w:i/>
          <w:iCs/>
          <w:color w:val="000000" w:themeColor="text1"/>
        </w:rPr>
      </w:pPr>
    </w:p>
    <w:p w14:paraId="7F75DA59" w14:textId="77777777" w:rsidR="005B3013" w:rsidRDefault="005B3013">
      <w:pPr>
        <w:rPr>
          <w:rFonts w:ascii="Times New Roman" w:hAnsi="Times New Roman" w:cs="Times New Roman"/>
          <w:b/>
          <w:bCs/>
          <w:i/>
          <w:iCs/>
          <w:color w:val="000000" w:themeColor="text1"/>
        </w:rPr>
      </w:pPr>
      <w:r>
        <w:rPr>
          <w:rFonts w:ascii="Times New Roman" w:hAnsi="Times New Roman" w:cs="Times New Roman"/>
          <w:b/>
          <w:bCs/>
          <w:i/>
          <w:iCs/>
          <w:color w:val="000000" w:themeColor="text1"/>
        </w:rPr>
        <w:br w:type="page"/>
      </w:r>
    </w:p>
    <w:p w14:paraId="428CBFE6" w14:textId="67FD676E" w:rsidR="00AC6D73" w:rsidRPr="00AC6D73" w:rsidRDefault="00AC6D73" w:rsidP="00AE30C0">
      <w:pPr>
        <w:rPr>
          <w:rFonts w:ascii="Times New Roman" w:hAnsi="Times New Roman" w:cs="Times New Roman"/>
          <w:b/>
          <w:bCs/>
          <w:i/>
          <w:iCs/>
          <w:color w:val="000000" w:themeColor="text1"/>
        </w:rPr>
      </w:pPr>
      <w:r w:rsidRPr="00AC6D73">
        <w:rPr>
          <w:rFonts w:ascii="Times New Roman" w:hAnsi="Times New Roman" w:cs="Times New Roman"/>
          <w:b/>
          <w:bCs/>
          <w:i/>
          <w:iCs/>
          <w:color w:val="000000" w:themeColor="text1"/>
        </w:rPr>
        <w:lastRenderedPageBreak/>
        <w:t xml:space="preserve">Figure S2 </w:t>
      </w:r>
    </w:p>
    <w:p w14:paraId="2CAAB3DF" w14:textId="77777777" w:rsidR="00AC6D73" w:rsidRDefault="00AC6D73" w:rsidP="00AE30C0">
      <w:pPr>
        <w:rPr>
          <w:rFonts w:ascii="Times New Roman" w:hAnsi="Times New Roman" w:cs="Times New Roman"/>
          <w:i/>
          <w:iCs/>
          <w:color w:val="000000" w:themeColor="text1"/>
        </w:rPr>
      </w:pPr>
      <w:r>
        <w:rPr>
          <w:rFonts w:ascii="Times New Roman" w:hAnsi="Times New Roman" w:cs="Times New Roman"/>
          <w:i/>
          <w:iCs/>
          <w:color w:val="000000" w:themeColor="text1"/>
        </w:rPr>
        <w:t>Valence</w:t>
      </w:r>
      <w:r w:rsidRPr="005C3B33">
        <w:rPr>
          <w:rFonts w:ascii="Times New Roman" w:hAnsi="Times New Roman" w:cs="Times New Roman"/>
          <w:i/>
          <w:iCs/>
          <w:color w:val="000000" w:themeColor="text1"/>
        </w:rPr>
        <w:t xml:space="preserve"> Scores</w:t>
      </w:r>
    </w:p>
    <w:p w14:paraId="70A55770" w14:textId="448BFB17" w:rsidR="00AC6D73" w:rsidRPr="00C31E7E" w:rsidRDefault="000B7707" w:rsidP="00AE30C0">
      <w:pPr>
        <w:rPr>
          <w:rFonts w:ascii="Times New Roman" w:hAnsi="Times New Roman" w:cs="Times New Roman"/>
          <w:i/>
          <w:iCs/>
          <w:color w:val="000000" w:themeColor="text1"/>
        </w:rPr>
      </w:pPr>
      <w:r>
        <w:rPr>
          <w:noProof/>
          <w:lang w:eastAsia="en-CA"/>
        </w:rPr>
        <w:drawing>
          <wp:inline distT="0" distB="0" distL="0" distR="0" wp14:anchorId="0EB6B790" wp14:editId="39525995">
            <wp:extent cx="5943600" cy="3226435"/>
            <wp:effectExtent l="0" t="0" r="0" b="0"/>
            <wp:docPr id="469679579" name="Picture 1" descr="A graph of positive and negative valu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9679579" name="Picture 1" descr="A graph of positive and negative values&#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43600" cy="3226435"/>
                    </a:xfrm>
                    <a:prstGeom prst="rect">
                      <a:avLst/>
                    </a:prstGeom>
                  </pic:spPr>
                </pic:pic>
              </a:graphicData>
            </a:graphic>
          </wp:inline>
        </w:drawing>
      </w:r>
    </w:p>
    <w:p w14:paraId="4F7A88B5" w14:textId="77777777" w:rsidR="00AC6D73" w:rsidRDefault="00AC6D73" w:rsidP="005B3013">
      <w:pPr>
        <w:rPr>
          <w:rFonts w:ascii="Times New Roman" w:hAnsi="Times New Roman" w:cs="Times New Roman"/>
        </w:rPr>
      </w:pPr>
      <w:r w:rsidRPr="00FC6D23">
        <w:rPr>
          <w:rFonts w:ascii="Times New Roman" w:hAnsi="Times New Roman" w:cs="Times New Roman"/>
          <w:i/>
          <w:iCs/>
        </w:rPr>
        <w:t>Note.</w:t>
      </w:r>
      <w:r>
        <w:rPr>
          <w:rFonts w:ascii="Times New Roman" w:hAnsi="Times New Roman" w:cs="Times New Roman"/>
        </w:rPr>
        <w:t xml:space="preserve"> Displayed are the means and standard errors of perceived valence for each film type across migraine and control participants. “Negative-Migraine” refers to the migraine group’s ratings of the negative valence/high arousal film. ‘Negative-Control” refers to the control group’s ratings of the negative valence/high arousal film. “Positive-Migraine” refers to the migraine group’s ratings of the positive valence/high arousal film. “Positive-Control” refers to the control group’s ratings of the positive valence/high arousal film. “Neutral-Migraine” refers to the migraine group’s ratings of the neutral valence/low arousal film. “Neutral-Control” refers to the control group’s ratings of the neutral valence/low arousal film.</w:t>
      </w:r>
    </w:p>
    <w:p w14:paraId="657D9921" w14:textId="77777777" w:rsidR="003A0FDD" w:rsidRDefault="00AC6D73" w:rsidP="005B3013">
      <w:pPr>
        <w:rPr>
          <w:rFonts w:ascii="Times New Roman" w:hAnsi="Times New Roman" w:cs="Times New Roman"/>
        </w:rPr>
      </w:pPr>
      <w:r>
        <w:rPr>
          <w:rFonts w:ascii="Times New Roman" w:hAnsi="Times New Roman" w:cs="Times New Roman"/>
        </w:rPr>
        <w:br w:type="page"/>
      </w:r>
      <w:r w:rsidR="003A0FDD">
        <w:rPr>
          <w:rFonts w:ascii="Times New Roman" w:hAnsi="Times New Roman" w:cs="Times New Roman"/>
          <w:b/>
          <w:bCs/>
        </w:rPr>
        <w:lastRenderedPageBreak/>
        <w:t>Additional fc-MVPA with Negative Valence Rating as a Covariate</w:t>
      </w:r>
    </w:p>
    <w:p w14:paraId="47436D03" w14:textId="77777777" w:rsidR="003A0FDD" w:rsidRDefault="003A0FDD" w:rsidP="005B3013">
      <w:pPr>
        <w:rPr>
          <w:rFonts w:ascii="Times New Roman" w:hAnsi="Times New Roman" w:cs="Times New Roman"/>
        </w:rPr>
      </w:pPr>
    </w:p>
    <w:p w14:paraId="4D420904" w14:textId="21DD0414" w:rsidR="003A0FDD" w:rsidRDefault="003A0FDD" w:rsidP="00AE30C0">
      <w:pPr>
        <w:ind w:firstLine="720"/>
        <w:rPr>
          <w:rFonts w:ascii="Times New Roman" w:hAnsi="Times New Roman" w:cs="Times New Roman"/>
        </w:rPr>
      </w:pPr>
      <w:r>
        <w:rPr>
          <w:rFonts w:ascii="Times New Roman" w:hAnsi="Times New Roman" w:cs="Times New Roman"/>
        </w:rPr>
        <w:t xml:space="preserve">We additionally ran our fc-MVPA on the negative film as a one-way ANCOVA of migraine status (Migraine vs. Control) with sex and negative valence rating as covariates, </w:t>
      </w:r>
      <w:proofErr w:type="gramStart"/>
      <w:r>
        <w:rPr>
          <w:rFonts w:ascii="Times New Roman" w:hAnsi="Times New Roman" w:cs="Times New Roman"/>
        </w:rPr>
        <w:t>in order to</w:t>
      </w:r>
      <w:proofErr w:type="gramEnd"/>
      <w:r>
        <w:rPr>
          <w:rFonts w:ascii="Times New Roman" w:hAnsi="Times New Roman" w:cs="Times New Roman"/>
        </w:rPr>
        <w:t xml:space="preserve"> assess whether valence rating differences between migraineurs and controls may have impacted the results. </w:t>
      </w:r>
      <w:r w:rsidRPr="00212C3B">
        <w:rPr>
          <w:rFonts w:ascii="Times New Roman" w:hAnsi="Times New Roman" w:cs="Times New Roman"/>
        </w:rPr>
        <w:t xml:space="preserve">Clusters were identified using a voxel-level threshold of </w:t>
      </w:r>
      <w:r w:rsidRPr="00212C3B">
        <w:rPr>
          <w:rFonts w:ascii="Times New Roman" w:hAnsi="Times New Roman" w:cs="Times New Roman"/>
          <w:i/>
          <w:iCs/>
        </w:rPr>
        <w:t>p</w:t>
      </w:r>
      <w:r w:rsidRPr="00212C3B">
        <w:rPr>
          <w:rFonts w:ascii="Times New Roman" w:hAnsi="Times New Roman" w:cs="Times New Roman"/>
        </w:rPr>
        <w:t xml:space="preserve"> &lt; 0.001 and a cluster-size</w:t>
      </w:r>
      <w:r>
        <w:rPr>
          <w:rFonts w:ascii="Times New Roman" w:hAnsi="Times New Roman" w:cs="Times New Roman"/>
        </w:rPr>
        <w:t xml:space="preserve"> family</w:t>
      </w:r>
      <w:r w:rsidR="00C336E3">
        <w:rPr>
          <w:rFonts w:ascii="Times New Roman" w:hAnsi="Times New Roman" w:cs="Times New Roman"/>
        </w:rPr>
        <w:t>-</w:t>
      </w:r>
      <w:r>
        <w:rPr>
          <w:rFonts w:ascii="Times New Roman" w:hAnsi="Times New Roman" w:cs="Times New Roman"/>
        </w:rPr>
        <w:t xml:space="preserve">wise error corrected threshold of </w:t>
      </w:r>
      <w:r w:rsidRPr="008223BC">
        <w:rPr>
          <w:rFonts w:ascii="Times New Roman" w:hAnsi="Times New Roman" w:cs="Times New Roman"/>
          <w:i/>
          <w:iCs/>
        </w:rPr>
        <w:t>p</w:t>
      </w:r>
      <w:r>
        <w:rPr>
          <w:rFonts w:ascii="Times New Roman" w:hAnsi="Times New Roman" w:cs="Times New Roman"/>
        </w:rPr>
        <w:t xml:space="preserve">-FWE &lt; 0.05, based on parametric cluster-level </w:t>
      </w:r>
      <w:r w:rsidRPr="00212C3B">
        <w:rPr>
          <w:rFonts w:ascii="Times New Roman" w:hAnsi="Times New Roman" w:cs="Times New Roman"/>
        </w:rPr>
        <w:t>inference</w:t>
      </w:r>
      <w:r>
        <w:rPr>
          <w:rFonts w:ascii="Times New Roman" w:hAnsi="Times New Roman" w:cs="Times New Roman"/>
        </w:rPr>
        <w:t>. Six clusters were identified in this analysis</w:t>
      </w:r>
      <w:r w:rsidR="00A4428C">
        <w:rPr>
          <w:rFonts w:ascii="Times New Roman" w:hAnsi="Times New Roman" w:cs="Times New Roman"/>
        </w:rPr>
        <w:t xml:space="preserve"> (see Figure S3 and Table S1), spanning the right SLOC, ILOC, occipital pole, SMG, and occipital </w:t>
      </w:r>
      <w:proofErr w:type="spellStart"/>
      <w:r w:rsidR="00A4428C">
        <w:rPr>
          <w:rFonts w:ascii="Times New Roman" w:hAnsi="Times New Roman" w:cs="Times New Roman"/>
        </w:rPr>
        <w:t>FuG</w:t>
      </w:r>
      <w:proofErr w:type="spellEnd"/>
      <w:r w:rsidR="00A4428C">
        <w:rPr>
          <w:rFonts w:ascii="Times New Roman" w:hAnsi="Times New Roman" w:cs="Times New Roman"/>
        </w:rPr>
        <w:t>, and the left SFG</w:t>
      </w:r>
      <w:r>
        <w:rPr>
          <w:rFonts w:ascii="Times New Roman" w:hAnsi="Times New Roman" w:cs="Times New Roman"/>
        </w:rPr>
        <w:t>, and were largely consistent with the clusters observed in the original analysis</w:t>
      </w:r>
      <w:r w:rsidR="00A4428C">
        <w:rPr>
          <w:rFonts w:ascii="Times New Roman" w:hAnsi="Times New Roman" w:cs="Times New Roman"/>
        </w:rPr>
        <w:t>.</w:t>
      </w:r>
    </w:p>
    <w:p w14:paraId="34EAAB20" w14:textId="2229EC0E" w:rsidR="003A0FDD" w:rsidRDefault="003A0FDD" w:rsidP="00AE30C0">
      <w:pPr>
        <w:ind w:firstLine="720"/>
        <w:rPr>
          <w:rFonts w:ascii="Times New Roman" w:hAnsi="Times New Roman" w:cs="Times New Roman"/>
        </w:rPr>
      </w:pPr>
      <w:r>
        <w:rPr>
          <w:rFonts w:ascii="Times New Roman" w:hAnsi="Times New Roman" w:cs="Times New Roman"/>
        </w:rPr>
        <w:t xml:space="preserve">Thus, the findings in the main analysis cannot </w:t>
      </w:r>
      <w:r w:rsidRPr="003A0FDD">
        <w:rPr>
          <w:rFonts w:ascii="Times New Roman" w:hAnsi="Times New Roman" w:cs="Times New Roman"/>
        </w:rPr>
        <w:t xml:space="preserve">simply be attributed to valence rating differences between migraineurs and controls, as valence ratings did not significantly differ between groups, and </w:t>
      </w:r>
      <w:r w:rsidR="00C336E3">
        <w:rPr>
          <w:rFonts w:ascii="Times New Roman" w:hAnsi="Times New Roman" w:cs="Times New Roman"/>
        </w:rPr>
        <w:t>this</w:t>
      </w:r>
      <w:r w:rsidRPr="003A0FDD">
        <w:rPr>
          <w:rFonts w:ascii="Times New Roman" w:hAnsi="Times New Roman" w:cs="Times New Roman"/>
        </w:rPr>
        <w:t xml:space="preserve"> supplementary analysis including negative valence rating as a covariate was largely consistent findings of the original analysis</w:t>
      </w:r>
      <w:r>
        <w:rPr>
          <w:rFonts w:ascii="Times New Roman" w:hAnsi="Times New Roman" w:cs="Times New Roman"/>
        </w:rPr>
        <w:t>.</w:t>
      </w:r>
    </w:p>
    <w:p w14:paraId="0508C24D" w14:textId="77777777" w:rsidR="003A0FDD" w:rsidRDefault="003A0FDD" w:rsidP="005B3013">
      <w:pPr>
        <w:rPr>
          <w:rFonts w:ascii="Times New Roman" w:hAnsi="Times New Roman" w:cs="Times New Roman"/>
        </w:rPr>
      </w:pPr>
    </w:p>
    <w:p w14:paraId="6654CF06" w14:textId="77777777" w:rsidR="003A0FDD" w:rsidRDefault="003A0FDD" w:rsidP="005B3013">
      <w:pPr>
        <w:rPr>
          <w:rFonts w:ascii="Times New Roman" w:hAnsi="Times New Roman" w:cs="Times New Roman"/>
        </w:rPr>
      </w:pPr>
    </w:p>
    <w:p w14:paraId="35EF4ED6" w14:textId="699A6BFC" w:rsidR="003A0FDD" w:rsidRDefault="003A0FDD" w:rsidP="005B3013">
      <w:pPr>
        <w:rPr>
          <w:rFonts w:ascii="Times New Roman" w:hAnsi="Times New Roman" w:cs="Times New Roman"/>
        </w:rPr>
      </w:pPr>
      <w:r>
        <w:rPr>
          <w:rFonts w:ascii="Times New Roman" w:hAnsi="Times New Roman" w:cs="Times New Roman"/>
          <w:b/>
          <w:bCs/>
        </w:rPr>
        <w:t>Figure S3</w:t>
      </w:r>
    </w:p>
    <w:p w14:paraId="0026CBD4" w14:textId="598E2D94" w:rsidR="003A0FDD" w:rsidRPr="00AE30C0" w:rsidRDefault="003A0FDD" w:rsidP="005B3013">
      <w:pPr>
        <w:rPr>
          <w:rFonts w:ascii="Times New Roman" w:hAnsi="Times New Roman" w:cs="Times New Roman"/>
          <w:i/>
          <w:iCs/>
        </w:rPr>
      </w:pPr>
      <w:r>
        <w:rPr>
          <w:rFonts w:ascii="Times New Roman" w:hAnsi="Times New Roman" w:cs="Times New Roman"/>
          <w:i/>
          <w:iCs/>
        </w:rPr>
        <w:t>Negative Film fc-MVPA with Negative Valence Rating as an additional covariate</w:t>
      </w:r>
    </w:p>
    <w:p w14:paraId="44C8750B" w14:textId="2442F0B7" w:rsidR="003A0FDD" w:rsidRPr="003A0FDD" w:rsidRDefault="003A0FDD" w:rsidP="005B3013">
      <w:pPr>
        <w:rPr>
          <w:rFonts w:ascii="Times New Roman" w:hAnsi="Times New Roman" w:cs="Times New Roman"/>
          <w:lang w:val="en-US"/>
        </w:rPr>
      </w:pPr>
      <w:r w:rsidRPr="003A0FDD">
        <w:rPr>
          <w:rFonts w:ascii="Times New Roman" w:hAnsi="Times New Roman" w:cs="Times New Roman"/>
          <w:noProof/>
          <w:lang w:val="en-US"/>
        </w:rPr>
        <w:drawing>
          <wp:inline distT="0" distB="0" distL="0" distR="0" wp14:anchorId="42189993" wp14:editId="534C5976">
            <wp:extent cx="3220527" cy="2352430"/>
            <wp:effectExtent l="0" t="0" r="0" b="0"/>
            <wp:docPr id="27436355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24203" cy="2355115"/>
                    </a:xfrm>
                    <a:prstGeom prst="rect">
                      <a:avLst/>
                    </a:prstGeom>
                    <a:noFill/>
                    <a:ln>
                      <a:noFill/>
                    </a:ln>
                  </pic:spPr>
                </pic:pic>
              </a:graphicData>
            </a:graphic>
          </wp:inline>
        </w:drawing>
      </w:r>
    </w:p>
    <w:p w14:paraId="78FAE0B4" w14:textId="13ECF465" w:rsidR="003A0FDD" w:rsidRDefault="003A0FDD" w:rsidP="005B3013">
      <w:pPr>
        <w:rPr>
          <w:rFonts w:ascii="Times New Roman" w:hAnsi="Times New Roman" w:cs="Times New Roman"/>
        </w:rPr>
      </w:pPr>
      <w:r w:rsidRPr="00212C3B">
        <w:rPr>
          <w:rFonts w:ascii="Times New Roman" w:hAnsi="Times New Roman" w:cs="Times New Roman"/>
          <w:i/>
          <w:iCs/>
        </w:rPr>
        <w:t xml:space="preserve">Note. </w:t>
      </w:r>
      <w:r w:rsidRPr="00836356">
        <w:rPr>
          <w:rFonts w:ascii="Times New Roman" w:hAnsi="Times New Roman" w:cs="Times New Roman"/>
        </w:rPr>
        <w:t xml:space="preserve">The fc-MVPA revealed </w:t>
      </w:r>
      <w:r>
        <w:rPr>
          <w:rFonts w:ascii="Times New Roman" w:hAnsi="Times New Roman" w:cs="Times New Roman"/>
        </w:rPr>
        <w:t>six</w:t>
      </w:r>
      <w:r w:rsidRPr="00836356">
        <w:rPr>
          <w:rFonts w:ascii="Times New Roman" w:hAnsi="Times New Roman" w:cs="Times New Roman"/>
        </w:rPr>
        <w:t xml:space="preserve"> clusters of whole brain differential functional connectivity between migraineurs and controls during the negative valence/high arousal film. These clusters </w:t>
      </w:r>
      <w:proofErr w:type="gramStart"/>
      <w:r w:rsidRPr="00836356">
        <w:rPr>
          <w:rFonts w:ascii="Times New Roman" w:hAnsi="Times New Roman" w:cs="Times New Roman"/>
        </w:rPr>
        <w:t>were located in</w:t>
      </w:r>
      <w:proofErr w:type="gramEnd"/>
      <w:r w:rsidRPr="00836356">
        <w:rPr>
          <w:rFonts w:ascii="Times New Roman" w:hAnsi="Times New Roman" w:cs="Times New Roman"/>
        </w:rPr>
        <w:t xml:space="preserve"> the right superior lateral occipital cortex (SLOC), right inferior lateral occipital cortex (ILOC), right occipital pole, right supramarginal gyrus (SMG), </w:t>
      </w:r>
      <w:r w:rsidR="00A4428C">
        <w:rPr>
          <w:rFonts w:ascii="Times New Roman" w:hAnsi="Times New Roman" w:cs="Times New Roman"/>
        </w:rPr>
        <w:t>right</w:t>
      </w:r>
      <w:r w:rsidRPr="00836356">
        <w:rPr>
          <w:rFonts w:ascii="Times New Roman" w:hAnsi="Times New Roman" w:cs="Times New Roman"/>
        </w:rPr>
        <w:t xml:space="preserve"> </w:t>
      </w:r>
      <w:r w:rsidR="00A4428C">
        <w:rPr>
          <w:rFonts w:ascii="Times New Roman" w:hAnsi="Times New Roman" w:cs="Times New Roman"/>
        </w:rPr>
        <w:t>occipital</w:t>
      </w:r>
      <w:r w:rsidRPr="00836356">
        <w:rPr>
          <w:rFonts w:ascii="Times New Roman" w:hAnsi="Times New Roman" w:cs="Times New Roman"/>
        </w:rPr>
        <w:t xml:space="preserve"> fusiform gyrus (</w:t>
      </w:r>
      <w:proofErr w:type="spellStart"/>
      <w:r w:rsidRPr="00836356">
        <w:rPr>
          <w:rFonts w:ascii="Times New Roman" w:hAnsi="Times New Roman" w:cs="Times New Roman"/>
        </w:rPr>
        <w:t>FuG</w:t>
      </w:r>
      <w:proofErr w:type="spellEnd"/>
      <w:r w:rsidRPr="00836356">
        <w:rPr>
          <w:rFonts w:ascii="Times New Roman" w:hAnsi="Times New Roman" w:cs="Times New Roman"/>
        </w:rPr>
        <w:t xml:space="preserve">), and left superior frontal gyrus (SFG). The clusters were identified using an uncorrected voxel-level threshold of p &lt; .001 and a cluster-size family-wise error corrected threshold of p-FWE &lt; .05. Images in this figure were generated in CONN </w:t>
      </w:r>
      <w:r>
        <w:rPr>
          <w:rFonts w:ascii="Times New Roman" w:hAnsi="Times New Roman" w:cs="Times New Roman"/>
        </w:rPr>
        <w:fldChar w:fldCharType="begin"/>
      </w:r>
      <w:r>
        <w:rPr>
          <w:rFonts w:ascii="Times New Roman" w:hAnsi="Times New Roman" w:cs="Times New Roman"/>
        </w:rPr>
        <w:instrText xml:space="preserve"> ADDIN ZOTERO_ITEM CSL_CITATION {"citationID":"uocmWwWA","properties":{"formattedCitation":"(Nieto-Castanon, 2022b; Whitfield-Gabrieli &amp; Nieto-Castanon, 2012)","plainCitation":"(Nieto-Castanon, 2022b; Whitfield-Gabrieli &amp; Nieto-Castanon, 2012)","noteIndex":0},"citationItems":[{"id":553,"uris":["http://zotero.org/groups/5836808/items/JIHJCL4W"],"itemData":{"id":553,"type":"article-journal","abstract":"Current functional Magnetic Resonance Imaging technology is able to resolve billions of individual functional connections characterizing the human connectome. Classical statistical inferential procedures attempting to make valid inferences across this many measures from a reduced set of observations and from a limited number of subjects can be severely underpowered for any but the largest effect sizes. This manuscript discusses fc-MVPA (functional connectivity Multivariate Pattern Analysis), a novel method using multivariate pattern analysis techniques in the context of brain-wide connectome inferences. The theory behind fc-MVPA is presented, and several of its key concepts are illustrated through examples from a publicly available resting state dataset, including an analysis of gender differences across the entire functional connectome. Finally, Monte Carlo simulations are used to demonstrate the validity and sensitivity of this method. In addition to offering powerful whole-brain inferences, fc-MVPA also provides a meaningful characterization of the heterogeneity in functional connectivity across subjects.","container-title":"PLOS Computational Biology","DOI":"10.1371/journal.pcbi.1010634","ISSN":"1553-7358","issue":"11","journalAbbreviation":"PLoS Comput Biol","language":"en","page":"e1010634","source":"DOI.org (Crossref)","title":"Brain-wide connectome inferences using functional connectivity MultiVariate Pattern Analyses (fc-MVPA)","volume":"18","author":[{"family":"Nieto-Castanon","given":"Alfonso"}],"editor":[{"family":"Marinazzo","given":"Daniele"}],"issued":{"date-parts":[["2022",11,15]]}}},{"id":933,"uris":["http://zotero.org/users/16246314/items/D4KN5I4M"],"itemData":{"id":933,"type":"article-journal","abstract":"Resting state functional connectivity reveals intrinsic, spontaneous networks that elucidate the functional architecture of the human brain. However, valid statistical analysis used to identify such networks must address sources of noise in order to avoid possible confounds such as spurious correlations based on non-neuronal sources. We have developed a functional connectivity toolbox Conn (www.nitrc.org/projects/conn) that implements the component-based noise correction method (CompCor) strategy for physiological and other noise source reduction, additional removal of movement, and temporal covariates, temporal filtering and windowing of the residual blood oxygen level-dependent (BOLD) contrast signal, first-level estimation of multiple standard functional connectivity magnetic resonance imaging (fcMRI) measures, and second-level random-effect analysis for resting state as well as task-related data. Compared to methods that rely on global signal regression, the CompCor noise reduction method allows for interpretation of anticorrelations as there is no regression of the global signal. The toolbox implements fcMRI measures, such as estimation of seed-to-voxel and region of interest (ROI)-to-ROI functional correlations, as well as semipartial correlation and bivariate/multivariate regression analysis for multiple ROI sources, graph theoretical analysis, and novel voxel-to-voxel analysis of functional connectivity. We describe the methods implemented in the Conn toolbox for the analysis of fcMRI data, together with examples of use and interscan reliability estimates of all the implemented fcMRI measures. The results indicate that the CompCor method increases the sensitivity and selectivity of fcMRI analysis, and show a high degree of interscan reliability for many fcMRI measures.","container-title":"Brain Connectivity","DOI":"10.1089/brain.2012.0073","ISSN":"2158-0014","issue":"3","note":"publisher: Mary Ann Liebert, Inc., publishers","page":"125-141","source":"liebertpub.com (Atypon)","title":"Conn: A Functional Connectivity Toolbox for Correlated and Anticorrelated Brain Networks","title-short":"Conn","volume":"2","author":[{"family":"Whitfield-Gabrieli","given":"Susan"},{"family":"Nieto-Castanon","given":"Alfonso"}],"issued":{"date-parts":[["2012",6]]}}}],"schema":"https://github.com/citation-style-language/schema/raw/master/csl-citation.json"} </w:instrText>
      </w:r>
      <w:r>
        <w:rPr>
          <w:rFonts w:ascii="Times New Roman" w:hAnsi="Times New Roman" w:cs="Times New Roman"/>
        </w:rPr>
        <w:fldChar w:fldCharType="separate"/>
      </w:r>
      <w:r>
        <w:rPr>
          <w:rFonts w:ascii="Times New Roman" w:hAnsi="Times New Roman" w:cs="Times New Roman"/>
          <w:noProof/>
        </w:rPr>
        <w:t>(Nieto-Castanon, 2022b; Whitfield-Gabrieli &amp; Nieto-Castanon, 2012)</w:t>
      </w:r>
      <w:r>
        <w:rPr>
          <w:rFonts w:ascii="Times New Roman" w:hAnsi="Times New Roman" w:cs="Times New Roman"/>
        </w:rPr>
        <w:fldChar w:fldCharType="end"/>
      </w:r>
      <w:r>
        <w:rPr>
          <w:rFonts w:ascii="Times New Roman" w:hAnsi="Times New Roman" w:cs="Times New Roman"/>
        </w:rPr>
        <w:t>.</w:t>
      </w:r>
    </w:p>
    <w:p w14:paraId="56554BF7" w14:textId="77777777" w:rsidR="003A0FDD" w:rsidRDefault="003A0FDD" w:rsidP="005B3013">
      <w:pPr>
        <w:rPr>
          <w:rFonts w:ascii="Times New Roman" w:hAnsi="Times New Roman" w:cs="Times New Roman"/>
        </w:rPr>
      </w:pPr>
    </w:p>
    <w:p w14:paraId="3CBF725A" w14:textId="77777777" w:rsidR="005B3013" w:rsidRDefault="005B3013" w:rsidP="005B3013">
      <w:pPr>
        <w:rPr>
          <w:rFonts w:ascii="Times New Roman" w:hAnsi="Times New Roman" w:cs="Times New Roman"/>
          <w:b/>
          <w:bCs/>
        </w:rPr>
      </w:pPr>
      <w:r>
        <w:rPr>
          <w:rFonts w:ascii="Times New Roman" w:hAnsi="Times New Roman" w:cs="Times New Roman"/>
          <w:b/>
          <w:bCs/>
        </w:rPr>
        <w:br w:type="page"/>
      </w:r>
    </w:p>
    <w:p w14:paraId="76D3D08D" w14:textId="55B285AF" w:rsidR="003A0FDD" w:rsidRPr="007F148A" w:rsidRDefault="003A0FDD" w:rsidP="00AE30C0">
      <w:pPr>
        <w:rPr>
          <w:rFonts w:ascii="Times New Roman" w:hAnsi="Times New Roman" w:cs="Times New Roman"/>
          <w:b/>
          <w:bCs/>
        </w:rPr>
      </w:pPr>
      <w:r w:rsidRPr="00212C3B">
        <w:rPr>
          <w:rFonts w:ascii="Times New Roman" w:hAnsi="Times New Roman" w:cs="Times New Roman"/>
          <w:b/>
          <w:bCs/>
        </w:rPr>
        <w:lastRenderedPageBreak/>
        <w:t xml:space="preserve">Table </w:t>
      </w:r>
      <w:r>
        <w:rPr>
          <w:rFonts w:ascii="Times New Roman" w:hAnsi="Times New Roman" w:cs="Times New Roman"/>
          <w:b/>
          <w:bCs/>
        </w:rPr>
        <w:t>S1</w:t>
      </w:r>
    </w:p>
    <w:p w14:paraId="36F49840" w14:textId="21428C09" w:rsidR="003A0FDD" w:rsidRPr="007F148A" w:rsidRDefault="003A0FDD" w:rsidP="00AE30C0">
      <w:pPr>
        <w:rPr>
          <w:rFonts w:ascii="Times New Roman" w:hAnsi="Times New Roman" w:cs="Times New Roman"/>
          <w:i/>
          <w:iCs/>
        </w:rPr>
      </w:pPr>
      <w:r w:rsidRPr="007F148A">
        <w:rPr>
          <w:rFonts w:ascii="Times New Roman" w:hAnsi="Times New Roman" w:cs="Times New Roman"/>
          <w:i/>
          <w:iCs/>
        </w:rPr>
        <w:t>Results from</w:t>
      </w:r>
      <w:r>
        <w:rPr>
          <w:rFonts w:ascii="Times New Roman" w:hAnsi="Times New Roman" w:cs="Times New Roman"/>
          <w:i/>
          <w:iCs/>
        </w:rPr>
        <w:t xml:space="preserve"> supplementary</w:t>
      </w:r>
      <w:r w:rsidRPr="007F148A">
        <w:rPr>
          <w:rFonts w:ascii="Times New Roman" w:hAnsi="Times New Roman" w:cs="Times New Roman"/>
          <w:i/>
          <w:iCs/>
        </w:rPr>
        <w:t xml:space="preserve"> fc-MVPA for the negative valence/high arousal stimulus</w:t>
      </w:r>
    </w:p>
    <w:tbl>
      <w:tblPr>
        <w:tblW w:w="4163" w:type="pct"/>
        <w:tblBorders>
          <w:top w:val="single" w:sz="4" w:space="0" w:color="auto"/>
          <w:bottom w:val="single" w:sz="4" w:space="0" w:color="auto"/>
        </w:tblBorders>
        <w:tblLayout w:type="fixed"/>
        <w:tblCellMar>
          <w:top w:w="55" w:type="dxa"/>
          <w:left w:w="55" w:type="dxa"/>
          <w:bottom w:w="55" w:type="dxa"/>
          <w:right w:w="55" w:type="dxa"/>
        </w:tblCellMar>
        <w:tblLook w:val="04A0" w:firstRow="1" w:lastRow="0" w:firstColumn="1" w:lastColumn="0" w:noHBand="0" w:noVBand="1"/>
      </w:tblPr>
      <w:tblGrid>
        <w:gridCol w:w="1845"/>
        <w:gridCol w:w="753"/>
        <w:gridCol w:w="754"/>
        <w:gridCol w:w="754"/>
        <w:gridCol w:w="6"/>
        <w:gridCol w:w="1128"/>
        <w:gridCol w:w="1280"/>
        <w:gridCol w:w="1273"/>
      </w:tblGrid>
      <w:tr w:rsidR="00E1758B" w:rsidRPr="007F148A" w14:paraId="5716339D" w14:textId="77777777" w:rsidTr="00AE30C0">
        <w:trPr>
          <w:trHeight w:val="396"/>
        </w:trPr>
        <w:tc>
          <w:tcPr>
            <w:tcW w:w="1183" w:type="pct"/>
            <w:tcBorders>
              <w:top w:val="single" w:sz="4" w:space="0" w:color="auto"/>
              <w:bottom w:val="single" w:sz="4" w:space="0" w:color="auto"/>
            </w:tcBorders>
          </w:tcPr>
          <w:p w14:paraId="60819FCC" w14:textId="77777777" w:rsidR="00E1758B" w:rsidRPr="007F148A" w:rsidRDefault="00E1758B" w:rsidP="005B3013">
            <w:pPr>
              <w:pStyle w:val="TableContents"/>
              <w:rPr>
                <w:rFonts w:ascii="Times New Roman" w:eastAsia="Noto Sans Mono CJK SC" w:hAnsi="Times New Roman" w:cs="Liberation Mono"/>
                <w:b/>
                <w:bCs/>
                <w:sz w:val="20"/>
                <w:szCs w:val="20"/>
              </w:rPr>
            </w:pPr>
            <w:r w:rsidRPr="007F148A">
              <w:rPr>
                <w:rFonts w:ascii="Times New Roman" w:eastAsia="Noto Sans Mono CJK SC" w:hAnsi="Times New Roman" w:cs="Liberation Mono"/>
                <w:b/>
                <w:bCs/>
                <w:sz w:val="20"/>
                <w:szCs w:val="20"/>
              </w:rPr>
              <w:t>Cluster Location</w:t>
            </w:r>
          </w:p>
        </w:tc>
        <w:tc>
          <w:tcPr>
            <w:tcW w:w="1455" w:type="pct"/>
            <w:gridSpan w:val="4"/>
            <w:tcBorders>
              <w:top w:val="single" w:sz="4" w:space="0" w:color="auto"/>
              <w:bottom w:val="single" w:sz="4" w:space="0" w:color="auto"/>
            </w:tcBorders>
          </w:tcPr>
          <w:p w14:paraId="0686007E" w14:textId="77777777" w:rsidR="00E1758B" w:rsidRPr="007F148A" w:rsidRDefault="00E1758B" w:rsidP="005B3013">
            <w:pPr>
              <w:pStyle w:val="TableContents"/>
              <w:jc w:val="center"/>
              <w:rPr>
                <w:rFonts w:ascii="Times New Roman" w:eastAsia="Noto Sans Mono CJK SC" w:hAnsi="Times New Roman" w:cs="Liberation Mono"/>
                <w:b/>
                <w:bCs/>
                <w:sz w:val="20"/>
                <w:szCs w:val="20"/>
              </w:rPr>
            </w:pPr>
            <w:r w:rsidRPr="007F148A">
              <w:rPr>
                <w:rFonts w:ascii="Times New Roman" w:eastAsia="Noto Sans Mono CJK SC" w:hAnsi="Times New Roman" w:cs="Liberation Mono"/>
                <w:b/>
                <w:bCs/>
                <w:sz w:val="20"/>
                <w:szCs w:val="20"/>
              </w:rPr>
              <w:t>Max Voxel Coordinates</w:t>
            </w:r>
          </w:p>
          <w:p w14:paraId="5DCDA7E8" w14:textId="77777777" w:rsidR="00E1758B" w:rsidRPr="007F148A" w:rsidRDefault="00E1758B" w:rsidP="005B3013">
            <w:pPr>
              <w:pStyle w:val="TableContents"/>
              <w:jc w:val="center"/>
              <w:rPr>
                <w:rFonts w:ascii="Times New Roman" w:eastAsia="Noto Sans Mono CJK SC" w:hAnsi="Times New Roman" w:cs="Liberation Mono"/>
                <w:b/>
                <w:bCs/>
                <w:sz w:val="20"/>
                <w:szCs w:val="20"/>
              </w:rPr>
            </w:pPr>
            <w:r w:rsidRPr="007F148A">
              <w:rPr>
                <w:rFonts w:ascii="Times New Roman" w:eastAsia="Noto Sans Mono CJK SC" w:hAnsi="Times New Roman" w:cs="Liberation Mono"/>
                <w:b/>
                <w:bCs/>
                <w:sz w:val="20"/>
                <w:szCs w:val="20"/>
              </w:rPr>
              <w:t>(x, y, z)</w:t>
            </w:r>
          </w:p>
        </w:tc>
        <w:tc>
          <w:tcPr>
            <w:tcW w:w="723" w:type="pct"/>
            <w:tcBorders>
              <w:top w:val="single" w:sz="4" w:space="0" w:color="auto"/>
              <w:bottom w:val="single" w:sz="4" w:space="0" w:color="auto"/>
            </w:tcBorders>
          </w:tcPr>
          <w:p w14:paraId="35AF49B8" w14:textId="77777777" w:rsidR="00E1758B" w:rsidRDefault="00E1758B" w:rsidP="005B3013">
            <w:pPr>
              <w:pStyle w:val="TableContents"/>
              <w:jc w:val="right"/>
              <w:rPr>
                <w:rFonts w:ascii="Times New Roman" w:eastAsia="Noto Sans Mono CJK SC" w:hAnsi="Times New Roman" w:cs="Liberation Mono"/>
                <w:b/>
                <w:bCs/>
                <w:sz w:val="20"/>
                <w:szCs w:val="20"/>
              </w:rPr>
            </w:pPr>
            <w:r w:rsidRPr="007F148A">
              <w:rPr>
                <w:rFonts w:ascii="Times New Roman" w:eastAsia="Noto Sans Mono CJK SC" w:hAnsi="Times New Roman" w:cs="Liberation Mono"/>
                <w:b/>
                <w:bCs/>
                <w:sz w:val="20"/>
                <w:szCs w:val="20"/>
              </w:rPr>
              <w:t>Cluster</w:t>
            </w:r>
          </w:p>
          <w:p w14:paraId="20ABFAE7" w14:textId="77777777" w:rsidR="00E1758B" w:rsidRPr="007F148A" w:rsidRDefault="00E1758B" w:rsidP="005B3013">
            <w:pPr>
              <w:pStyle w:val="TableContents"/>
              <w:jc w:val="right"/>
              <w:rPr>
                <w:rFonts w:ascii="Times New Roman" w:eastAsia="Noto Sans Mono CJK SC" w:hAnsi="Times New Roman" w:cs="Liberation Mono"/>
                <w:b/>
                <w:bCs/>
                <w:sz w:val="20"/>
                <w:szCs w:val="20"/>
              </w:rPr>
            </w:pPr>
            <w:r w:rsidRPr="007F148A">
              <w:rPr>
                <w:rFonts w:ascii="Times New Roman" w:eastAsia="Noto Sans Mono CJK SC" w:hAnsi="Times New Roman" w:cs="Liberation Mono"/>
                <w:b/>
                <w:bCs/>
                <w:sz w:val="20"/>
                <w:szCs w:val="20"/>
              </w:rPr>
              <w:t>size</w:t>
            </w:r>
          </w:p>
        </w:tc>
        <w:tc>
          <w:tcPr>
            <w:tcW w:w="821" w:type="pct"/>
            <w:tcBorders>
              <w:top w:val="single" w:sz="4" w:space="0" w:color="auto"/>
              <w:bottom w:val="single" w:sz="4" w:space="0" w:color="auto"/>
            </w:tcBorders>
          </w:tcPr>
          <w:p w14:paraId="00C52858" w14:textId="77777777" w:rsidR="00E1758B" w:rsidRPr="00836356" w:rsidRDefault="00E1758B" w:rsidP="005B3013">
            <w:pPr>
              <w:pStyle w:val="TableContents"/>
              <w:jc w:val="right"/>
              <w:rPr>
                <w:rFonts w:ascii="Times New Roman" w:eastAsia="Noto Sans Mono CJK SC" w:hAnsi="Times New Roman" w:cs="Liberation Mono"/>
                <w:b/>
                <w:bCs/>
                <w:sz w:val="20"/>
                <w:szCs w:val="20"/>
              </w:rPr>
            </w:pPr>
            <w:r w:rsidRPr="00836356">
              <w:rPr>
                <w:rFonts w:ascii="Times New Roman" w:eastAsia="Noto Sans Mono CJK SC" w:hAnsi="Times New Roman" w:cs="Liberation Mono"/>
                <w:b/>
                <w:bCs/>
                <w:sz w:val="20"/>
                <w:szCs w:val="20"/>
              </w:rPr>
              <w:t xml:space="preserve">Max Voxel Statistic, </w:t>
            </w:r>
          </w:p>
          <w:p w14:paraId="26A962D4" w14:textId="1F9A9E71" w:rsidR="00E1758B" w:rsidRDefault="00E1758B" w:rsidP="005B3013">
            <w:pPr>
              <w:pStyle w:val="TableContents"/>
              <w:jc w:val="right"/>
              <w:rPr>
                <w:rFonts w:ascii="Times New Roman" w:eastAsia="Noto Sans Mono CJK SC" w:hAnsi="Times New Roman" w:cs="Liberation Mono"/>
                <w:sz w:val="16"/>
                <w:szCs w:val="16"/>
              </w:rPr>
            </w:pPr>
            <w:proofErr w:type="gramStart"/>
            <w:r w:rsidRPr="00836356">
              <w:rPr>
                <w:rFonts w:ascii="Times New Roman" w:eastAsia="Noto Sans Mono CJK SC" w:hAnsi="Times New Roman" w:cs="Liberation Mono"/>
                <w:i/>
                <w:iCs/>
                <w:sz w:val="16"/>
                <w:szCs w:val="16"/>
              </w:rPr>
              <w:t>F</w:t>
            </w:r>
            <w:r w:rsidRPr="00836356">
              <w:rPr>
                <w:rFonts w:ascii="Times New Roman" w:eastAsia="Noto Sans Mono CJK SC" w:hAnsi="Times New Roman" w:cs="Liberation Mono"/>
                <w:sz w:val="16"/>
                <w:szCs w:val="16"/>
              </w:rPr>
              <w:t>(</w:t>
            </w:r>
            <w:proofErr w:type="gramEnd"/>
            <w:r w:rsidRPr="00836356">
              <w:rPr>
                <w:rFonts w:ascii="Times New Roman" w:eastAsia="Noto Sans Mono CJK SC" w:hAnsi="Times New Roman" w:cs="Liberation Mono"/>
                <w:sz w:val="16"/>
                <w:szCs w:val="16"/>
              </w:rPr>
              <w:t>4, 1</w:t>
            </w:r>
            <w:r>
              <w:rPr>
                <w:rFonts w:ascii="Times New Roman" w:eastAsia="Noto Sans Mono CJK SC" w:hAnsi="Times New Roman" w:cs="Liberation Mono"/>
                <w:sz w:val="16"/>
                <w:szCs w:val="16"/>
              </w:rPr>
              <w:t>56</w:t>
            </w:r>
            <w:r w:rsidRPr="00836356">
              <w:rPr>
                <w:rFonts w:ascii="Times New Roman" w:eastAsia="Noto Sans Mono CJK SC" w:hAnsi="Times New Roman" w:cs="Liberation Mono"/>
                <w:sz w:val="16"/>
                <w:szCs w:val="16"/>
              </w:rPr>
              <w:t>) &gt; 4.8</w:t>
            </w:r>
            <w:r>
              <w:rPr>
                <w:rFonts w:ascii="Times New Roman" w:eastAsia="Noto Sans Mono CJK SC" w:hAnsi="Times New Roman" w:cs="Liberation Mono"/>
                <w:sz w:val="16"/>
                <w:szCs w:val="16"/>
              </w:rPr>
              <w:t>7</w:t>
            </w:r>
            <w:r w:rsidRPr="00836356">
              <w:rPr>
                <w:rFonts w:ascii="Times New Roman" w:eastAsia="Noto Sans Mono CJK SC" w:hAnsi="Times New Roman" w:cs="Liberation Mono"/>
                <w:sz w:val="16"/>
                <w:szCs w:val="16"/>
              </w:rPr>
              <w:t>,</w:t>
            </w:r>
          </w:p>
          <w:p w14:paraId="4B4134F6" w14:textId="77777777" w:rsidR="00E1758B" w:rsidRPr="00836356" w:rsidRDefault="00E1758B" w:rsidP="005B3013">
            <w:pPr>
              <w:pStyle w:val="TableContents"/>
              <w:jc w:val="right"/>
              <w:rPr>
                <w:rFonts w:ascii="Times New Roman" w:eastAsia="Noto Sans Mono CJK SC" w:hAnsi="Times New Roman" w:cs="Liberation Mono"/>
                <w:sz w:val="20"/>
                <w:szCs w:val="20"/>
              </w:rPr>
            </w:pPr>
            <w:r w:rsidRPr="00836356">
              <w:rPr>
                <w:rFonts w:ascii="Times New Roman" w:eastAsia="Noto Sans Mono CJK SC" w:hAnsi="Times New Roman" w:cs="Liberation Mono"/>
                <w:i/>
                <w:iCs/>
                <w:sz w:val="16"/>
                <w:szCs w:val="16"/>
              </w:rPr>
              <w:t>k</w:t>
            </w:r>
            <w:r w:rsidRPr="00836356">
              <w:rPr>
                <w:rFonts w:ascii="Times New Roman" w:eastAsia="Noto Sans Mono CJK SC" w:hAnsi="Times New Roman" w:cs="Liberation Mono"/>
                <w:sz w:val="16"/>
                <w:szCs w:val="16"/>
              </w:rPr>
              <w:t xml:space="preserve"> </w:t>
            </w:r>
            <w:r>
              <w:rPr>
                <w:rFonts w:ascii="Times New Roman" w:eastAsia="Noto Sans Mono CJK SC" w:hAnsi="Times New Roman" w:cs="Liberation Mono"/>
                <w:sz w:val="16"/>
                <w:szCs w:val="16"/>
              </w:rPr>
              <w:t>≥</w:t>
            </w:r>
            <w:r w:rsidRPr="00836356">
              <w:rPr>
                <w:rFonts w:ascii="Times New Roman" w:eastAsia="Noto Sans Mono CJK SC" w:hAnsi="Times New Roman" w:cs="Liberation Mono"/>
                <w:sz w:val="16"/>
                <w:szCs w:val="16"/>
              </w:rPr>
              <w:t xml:space="preserve"> 11</w:t>
            </w:r>
          </w:p>
        </w:tc>
        <w:tc>
          <w:tcPr>
            <w:tcW w:w="818" w:type="pct"/>
            <w:tcBorders>
              <w:top w:val="single" w:sz="4" w:space="0" w:color="auto"/>
              <w:bottom w:val="single" w:sz="4" w:space="0" w:color="auto"/>
            </w:tcBorders>
          </w:tcPr>
          <w:p w14:paraId="1F998D76" w14:textId="77777777" w:rsidR="00E1758B" w:rsidRDefault="00E1758B" w:rsidP="005B3013">
            <w:pPr>
              <w:pStyle w:val="TableContents"/>
              <w:jc w:val="right"/>
              <w:rPr>
                <w:rFonts w:ascii="Times New Roman" w:eastAsia="Noto Sans Mono CJK SC" w:hAnsi="Times New Roman" w:cs="Liberation Mono"/>
                <w:b/>
                <w:bCs/>
                <w:sz w:val="20"/>
                <w:szCs w:val="20"/>
              </w:rPr>
            </w:pPr>
            <w:r>
              <w:rPr>
                <w:rFonts w:ascii="Times New Roman" w:eastAsia="Noto Sans Mono CJK SC" w:hAnsi="Times New Roman" w:cs="Liberation Mono"/>
                <w:b/>
                <w:bCs/>
                <w:sz w:val="20"/>
                <w:szCs w:val="20"/>
              </w:rPr>
              <w:t>Cluster-s</w:t>
            </w:r>
            <w:r w:rsidRPr="007F148A">
              <w:rPr>
                <w:rFonts w:ascii="Times New Roman" w:eastAsia="Noto Sans Mono CJK SC" w:hAnsi="Times New Roman" w:cs="Liberation Mono"/>
                <w:b/>
                <w:bCs/>
                <w:sz w:val="20"/>
                <w:szCs w:val="20"/>
              </w:rPr>
              <w:t>ize</w:t>
            </w:r>
          </w:p>
          <w:p w14:paraId="60D4999E" w14:textId="77777777" w:rsidR="00E1758B" w:rsidRPr="007F148A" w:rsidRDefault="00E1758B" w:rsidP="005B3013">
            <w:pPr>
              <w:pStyle w:val="TableContents"/>
              <w:jc w:val="right"/>
              <w:rPr>
                <w:rFonts w:ascii="Times New Roman" w:eastAsia="Noto Sans Mono CJK SC" w:hAnsi="Times New Roman" w:cs="Liberation Mono"/>
                <w:b/>
                <w:bCs/>
                <w:sz w:val="20"/>
                <w:szCs w:val="20"/>
              </w:rPr>
            </w:pPr>
            <w:r w:rsidRPr="007F148A">
              <w:rPr>
                <w:rFonts w:ascii="Times New Roman" w:eastAsia="Noto Sans Mono CJK SC" w:hAnsi="Times New Roman" w:cs="Liberation Mono"/>
                <w:b/>
                <w:bCs/>
                <w:i/>
                <w:iCs/>
                <w:sz w:val="20"/>
                <w:szCs w:val="20"/>
              </w:rPr>
              <w:t>p</w:t>
            </w:r>
            <w:r w:rsidRPr="007F148A">
              <w:rPr>
                <w:rFonts w:ascii="Times New Roman" w:eastAsia="Noto Sans Mono CJK SC" w:hAnsi="Times New Roman" w:cs="Liberation Mono"/>
                <w:b/>
                <w:bCs/>
                <w:sz w:val="20"/>
                <w:szCs w:val="20"/>
              </w:rPr>
              <w:t>-FWE</w:t>
            </w:r>
          </w:p>
        </w:tc>
      </w:tr>
      <w:tr w:rsidR="00E1758B" w:rsidRPr="007F148A" w14:paraId="6DFBED91" w14:textId="77777777" w:rsidTr="00AE30C0">
        <w:trPr>
          <w:trHeight w:val="293"/>
        </w:trPr>
        <w:tc>
          <w:tcPr>
            <w:tcW w:w="1183" w:type="pct"/>
            <w:tcBorders>
              <w:top w:val="single" w:sz="4" w:space="0" w:color="auto"/>
            </w:tcBorders>
            <w:vAlign w:val="center"/>
          </w:tcPr>
          <w:p w14:paraId="09C6F97C" w14:textId="0A60BE1C" w:rsidR="00E1758B" w:rsidRPr="007F148A" w:rsidRDefault="00E1758B" w:rsidP="005B3013">
            <w:pPr>
              <w:pStyle w:val="TableContents"/>
              <w:rPr>
                <w:rFonts w:ascii="Times New Roman" w:eastAsia="Noto Sans Mono CJK SC" w:hAnsi="Times New Roman" w:cs="Liberation Mono"/>
                <w:sz w:val="20"/>
                <w:szCs w:val="20"/>
              </w:rPr>
            </w:pPr>
            <w:r>
              <w:rPr>
                <w:rFonts w:ascii="Times New Roman" w:eastAsia="Noto Sans Mono CJK SC" w:hAnsi="Times New Roman" w:cs="Liberation Mono"/>
                <w:sz w:val="20"/>
                <w:szCs w:val="20"/>
              </w:rPr>
              <w:t>Right SLOC</w:t>
            </w:r>
          </w:p>
        </w:tc>
        <w:tc>
          <w:tcPr>
            <w:tcW w:w="483" w:type="pct"/>
            <w:tcBorders>
              <w:top w:val="single" w:sz="4" w:space="0" w:color="auto"/>
            </w:tcBorders>
            <w:vAlign w:val="center"/>
          </w:tcPr>
          <w:p w14:paraId="10E462A1" w14:textId="0C658CE5" w:rsidR="00E1758B" w:rsidRPr="007F148A" w:rsidRDefault="00E1758B" w:rsidP="005B3013">
            <w:pPr>
              <w:pStyle w:val="TableContents"/>
              <w:jc w:val="right"/>
              <w:rPr>
                <w:rFonts w:ascii="Times New Roman" w:hAnsi="Times New Roman"/>
                <w:sz w:val="20"/>
                <w:szCs w:val="20"/>
              </w:rPr>
            </w:pPr>
            <w:r>
              <w:rPr>
                <w:rFonts w:ascii="Times New Roman" w:hAnsi="Times New Roman"/>
                <w:sz w:val="20"/>
                <w:szCs w:val="20"/>
              </w:rPr>
              <w:t>+ 52</w:t>
            </w:r>
          </w:p>
        </w:tc>
        <w:tc>
          <w:tcPr>
            <w:tcW w:w="484" w:type="pct"/>
            <w:tcBorders>
              <w:top w:val="single" w:sz="4" w:space="0" w:color="auto"/>
            </w:tcBorders>
            <w:vAlign w:val="center"/>
          </w:tcPr>
          <w:p w14:paraId="24A8705D" w14:textId="628D5C9D" w:rsidR="00E1758B" w:rsidRPr="007F148A" w:rsidRDefault="00E1758B" w:rsidP="005B3013">
            <w:pPr>
              <w:pStyle w:val="TableContents"/>
              <w:jc w:val="right"/>
              <w:rPr>
                <w:rFonts w:ascii="Times New Roman" w:hAnsi="Times New Roman"/>
                <w:sz w:val="20"/>
                <w:szCs w:val="20"/>
              </w:rPr>
            </w:pPr>
            <w:r>
              <w:rPr>
                <w:rFonts w:ascii="Times New Roman" w:hAnsi="Times New Roman"/>
                <w:sz w:val="20"/>
                <w:szCs w:val="20"/>
              </w:rPr>
              <w:t>- 60</w:t>
            </w:r>
          </w:p>
        </w:tc>
        <w:tc>
          <w:tcPr>
            <w:tcW w:w="484" w:type="pct"/>
            <w:tcBorders>
              <w:top w:val="single" w:sz="4" w:space="0" w:color="auto"/>
            </w:tcBorders>
            <w:vAlign w:val="center"/>
          </w:tcPr>
          <w:p w14:paraId="6CEB6A43" w14:textId="5D524D6D" w:rsidR="00E1758B" w:rsidRPr="007F148A" w:rsidRDefault="00E1758B" w:rsidP="005B3013">
            <w:pPr>
              <w:pStyle w:val="TableContents"/>
              <w:jc w:val="right"/>
              <w:rPr>
                <w:rFonts w:ascii="Times New Roman" w:hAnsi="Times New Roman"/>
                <w:sz w:val="20"/>
                <w:szCs w:val="20"/>
              </w:rPr>
            </w:pPr>
            <w:r>
              <w:rPr>
                <w:rFonts w:ascii="Times New Roman" w:hAnsi="Times New Roman"/>
                <w:sz w:val="20"/>
                <w:szCs w:val="20"/>
              </w:rPr>
              <w:t>+ 24</w:t>
            </w:r>
          </w:p>
        </w:tc>
        <w:tc>
          <w:tcPr>
            <w:tcW w:w="728" w:type="pct"/>
            <w:gridSpan w:val="2"/>
            <w:tcBorders>
              <w:top w:val="single" w:sz="4" w:space="0" w:color="auto"/>
            </w:tcBorders>
            <w:vAlign w:val="center"/>
          </w:tcPr>
          <w:p w14:paraId="1E587B50" w14:textId="1364248C" w:rsidR="00E1758B" w:rsidRPr="007F148A" w:rsidRDefault="00E1758B" w:rsidP="005B3013">
            <w:pPr>
              <w:jc w:val="right"/>
              <w:rPr>
                <w:rFonts w:ascii="Times New Roman" w:eastAsia="Noto Sans Mono CJK SC" w:hAnsi="Times New Roman" w:cs="Times New Roman"/>
                <w:sz w:val="20"/>
                <w:szCs w:val="20"/>
              </w:rPr>
            </w:pPr>
            <w:r>
              <w:rPr>
                <w:rFonts w:ascii="Times New Roman" w:eastAsia="Noto Sans Mono CJK SC" w:hAnsi="Times New Roman" w:cs="Times New Roman"/>
                <w:sz w:val="20"/>
                <w:szCs w:val="20"/>
              </w:rPr>
              <w:t>29</w:t>
            </w:r>
          </w:p>
        </w:tc>
        <w:tc>
          <w:tcPr>
            <w:tcW w:w="821" w:type="pct"/>
            <w:tcBorders>
              <w:top w:val="single" w:sz="4" w:space="0" w:color="auto"/>
            </w:tcBorders>
            <w:vAlign w:val="center"/>
          </w:tcPr>
          <w:p w14:paraId="437F5FFD" w14:textId="75A7EF80" w:rsidR="00E1758B" w:rsidRPr="007F148A" w:rsidDel="005342F6" w:rsidRDefault="00E1758B" w:rsidP="005B3013">
            <w:pPr>
              <w:pStyle w:val="TableContents"/>
              <w:jc w:val="right"/>
              <w:rPr>
                <w:rFonts w:ascii="Times New Roman" w:hAnsi="Times New Roman" w:cs="Times New Roman"/>
                <w:sz w:val="20"/>
                <w:szCs w:val="20"/>
              </w:rPr>
            </w:pPr>
            <w:r>
              <w:rPr>
                <w:rFonts w:ascii="Times New Roman" w:hAnsi="Times New Roman" w:cs="Times New Roman"/>
                <w:sz w:val="20"/>
                <w:szCs w:val="20"/>
              </w:rPr>
              <w:t>9.50</w:t>
            </w:r>
          </w:p>
        </w:tc>
        <w:tc>
          <w:tcPr>
            <w:tcW w:w="818" w:type="pct"/>
            <w:tcBorders>
              <w:top w:val="single" w:sz="4" w:space="0" w:color="auto"/>
            </w:tcBorders>
            <w:vAlign w:val="center"/>
          </w:tcPr>
          <w:p w14:paraId="08924208" w14:textId="6BAF5313" w:rsidR="00E1758B" w:rsidRPr="007F148A" w:rsidRDefault="00E1758B" w:rsidP="005B3013">
            <w:pPr>
              <w:pStyle w:val="TableContents"/>
              <w:jc w:val="right"/>
              <w:rPr>
                <w:rFonts w:ascii="Times New Roman" w:eastAsia="Noto Sans Mono CJK SC" w:hAnsi="Times New Roman" w:cs="Times New Roman"/>
                <w:sz w:val="20"/>
                <w:szCs w:val="20"/>
              </w:rPr>
            </w:pPr>
            <w:r>
              <w:rPr>
                <w:rFonts w:ascii="Times New Roman" w:eastAsia="Noto Sans Mono CJK SC" w:hAnsi="Times New Roman" w:cs="Times New Roman"/>
                <w:sz w:val="20"/>
                <w:szCs w:val="20"/>
              </w:rPr>
              <w:t>.000004</w:t>
            </w:r>
          </w:p>
        </w:tc>
      </w:tr>
      <w:tr w:rsidR="00E1758B" w:rsidRPr="007F148A" w14:paraId="463602B5" w14:textId="77777777" w:rsidTr="00AE30C0">
        <w:trPr>
          <w:trHeight w:val="293"/>
        </w:trPr>
        <w:tc>
          <w:tcPr>
            <w:tcW w:w="1183" w:type="pct"/>
            <w:vAlign w:val="center"/>
          </w:tcPr>
          <w:p w14:paraId="74D5CA82" w14:textId="44E2F13A" w:rsidR="00E1758B" w:rsidRPr="007F148A" w:rsidRDefault="00E1758B" w:rsidP="005B3013">
            <w:pPr>
              <w:pStyle w:val="TableContents"/>
              <w:rPr>
                <w:rFonts w:ascii="Times New Roman" w:eastAsia="Noto Sans Mono CJK SC" w:hAnsi="Times New Roman" w:cs="Liberation Mono"/>
                <w:sz w:val="20"/>
                <w:szCs w:val="20"/>
              </w:rPr>
            </w:pPr>
            <w:r>
              <w:rPr>
                <w:rFonts w:ascii="Times New Roman" w:eastAsia="Noto Sans Mono CJK SC" w:hAnsi="Times New Roman" w:cs="Liberation Mono"/>
                <w:sz w:val="20"/>
                <w:szCs w:val="20"/>
              </w:rPr>
              <w:t>Right SMG</w:t>
            </w:r>
          </w:p>
        </w:tc>
        <w:tc>
          <w:tcPr>
            <w:tcW w:w="483" w:type="pct"/>
            <w:vAlign w:val="center"/>
          </w:tcPr>
          <w:p w14:paraId="1AA1B14E" w14:textId="5F645437" w:rsidR="00E1758B" w:rsidRPr="007F148A" w:rsidRDefault="00E1758B" w:rsidP="005B3013">
            <w:pPr>
              <w:pStyle w:val="TableContents"/>
              <w:jc w:val="right"/>
              <w:rPr>
                <w:rFonts w:ascii="Times New Roman" w:hAnsi="Times New Roman"/>
                <w:sz w:val="20"/>
                <w:szCs w:val="20"/>
              </w:rPr>
            </w:pPr>
            <w:r>
              <w:rPr>
                <w:rFonts w:ascii="Times New Roman" w:hAnsi="Times New Roman"/>
                <w:sz w:val="20"/>
                <w:szCs w:val="20"/>
              </w:rPr>
              <w:t>+ 62</w:t>
            </w:r>
          </w:p>
        </w:tc>
        <w:tc>
          <w:tcPr>
            <w:tcW w:w="484" w:type="pct"/>
            <w:vAlign w:val="center"/>
          </w:tcPr>
          <w:p w14:paraId="481BB190" w14:textId="1A9FB2E5" w:rsidR="00E1758B" w:rsidRPr="007F148A" w:rsidRDefault="00E1758B" w:rsidP="005B3013">
            <w:pPr>
              <w:pStyle w:val="TableContents"/>
              <w:jc w:val="right"/>
              <w:rPr>
                <w:rFonts w:ascii="Times New Roman" w:hAnsi="Times New Roman"/>
                <w:sz w:val="20"/>
                <w:szCs w:val="20"/>
              </w:rPr>
            </w:pPr>
            <w:r>
              <w:rPr>
                <w:rFonts w:ascii="Times New Roman" w:hAnsi="Times New Roman"/>
                <w:sz w:val="20"/>
                <w:szCs w:val="20"/>
              </w:rPr>
              <w:t>- 34</w:t>
            </w:r>
          </w:p>
        </w:tc>
        <w:tc>
          <w:tcPr>
            <w:tcW w:w="484" w:type="pct"/>
            <w:vAlign w:val="center"/>
          </w:tcPr>
          <w:p w14:paraId="6977ABF0" w14:textId="5886D980" w:rsidR="00E1758B" w:rsidRPr="007F148A" w:rsidRDefault="00E1758B" w:rsidP="005B3013">
            <w:pPr>
              <w:pStyle w:val="TableContents"/>
              <w:jc w:val="right"/>
              <w:rPr>
                <w:rFonts w:ascii="Times New Roman" w:hAnsi="Times New Roman"/>
                <w:sz w:val="20"/>
                <w:szCs w:val="20"/>
              </w:rPr>
            </w:pPr>
            <w:r>
              <w:rPr>
                <w:rFonts w:ascii="Times New Roman" w:hAnsi="Times New Roman"/>
                <w:sz w:val="20"/>
                <w:szCs w:val="20"/>
              </w:rPr>
              <w:t>+ 50</w:t>
            </w:r>
          </w:p>
        </w:tc>
        <w:tc>
          <w:tcPr>
            <w:tcW w:w="728" w:type="pct"/>
            <w:gridSpan w:val="2"/>
            <w:vAlign w:val="center"/>
          </w:tcPr>
          <w:p w14:paraId="2F0C1318" w14:textId="79A5BA20" w:rsidR="00E1758B" w:rsidRPr="007F148A" w:rsidRDefault="00E1758B" w:rsidP="005B3013">
            <w:pPr>
              <w:jc w:val="right"/>
              <w:rPr>
                <w:rFonts w:ascii="Times New Roman" w:eastAsia="Noto Sans Mono CJK SC" w:hAnsi="Times New Roman" w:cs="Times New Roman"/>
                <w:sz w:val="20"/>
                <w:szCs w:val="20"/>
              </w:rPr>
            </w:pPr>
            <w:r>
              <w:rPr>
                <w:rFonts w:ascii="Times New Roman" w:eastAsia="Noto Sans Mono CJK SC" w:hAnsi="Times New Roman" w:cs="Times New Roman"/>
                <w:sz w:val="20"/>
                <w:szCs w:val="20"/>
              </w:rPr>
              <w:t>12</w:t>
            </w:r>
          </w:p>
        </w:tc>
        <w:tc>
          <w:tcPr>
            <w:tcW w:w="821" w:type="pct"/>
            <w:vAlign w:val="center"/>
          </w:tcPr>
          <w:p w14:paraId="7D4551B0" w14:textId="68944F60" w:rsidR="00E1758B" w:rsidRPr="007F148A" w:rsidDel="005342F6" w:rsidRDefault="00E1758B" w:rsidP="005B3013">
            <w:pPr>
              <w:jc w:val="right"/>
              <w:rPr>
                <w:rFonts w:ascii="Times New Roman" w:eastAsia="Noto Sans Mono CJK SC" w:hAnsi="Times New Roman" w:cs="Times New Roman"/>
                <w:sz w:val="20"/>
                <w:szCs w:val="20"/>
              </w:rPr>
            </w:pPr>
            <w:r>
              <w:rPr>
                <w:rFonts w:ascii="Times New Roman" w:eastAsia="Noto Sans Mono CJK SC" w:hAnsi="Times New Roman" w:cs="Times New Roman"/>
                <w:sz w:val="20"/>
                <w:szCs w:val="20"/>
              </w:rPr>
              <w:t>8.30</w:t>
            </w:r>
          </w:p>
        </w:tc>
        <w:tc>
          <w:tcPr>
            <w:tcW w:w="818" w:type="pct"/>
            <w:vAlign w:val="center"/>
          </w:tcPr>
          <w:p w14:paraId="675BC233" w14:textId="321E3BCF" w:rsidR="00E1758B" w:rsidRPr="007F148A" w:rsidRDefault="00E1758B" w:rsidP="005B3013">
            <w:pPr>
              <w:jc w:val="right"/>
              <w:rPr>
                <w:rFonts w:ascii="Times New Roman" w:eastAsia="Noto Sans Mono CJK SC" w:hAnsi="Times New Roman" w:cs="Times New Roman"/>
                <w:sz w:val="20"/>
                <w:szCs w:val="20"/>
              </w:rPr>
            </w:pPr>
            <w:r>
              <w:rPr>
                <w:rFonts w:ascii="Times New Roman" w:eastAsia="Noto Sans Mono CJK SC" w:hAnsi="Times New Roman" w:cs="Times New Roman"/>
                <w:sz w:val="20"/>
                <w:szCs w:val="20"/>
              </w:rPr>
              <w:t>.015651</w:t>
            </w:r>
          </w:p>
        </w:tc>
      </w:tr>
      <w:tr w:rsidR="00E1758B" w:rsidRPr="007F148A" w14:paraId="2F083E30" w14:textId="77777777" w:rsidTr="00AE30C0">
        <w:trPr>
          <w:trHeight w:val="293"/>
        </w:trPr>
        <w:tc>
          <w:tcPr>
            <w:tcW w:w="1183" w:type="pct"/>
            <w:vAlign w:val="center"/>
          </w:tcPr>
          <w:p w14:paraId="2112ADFA" w14:textId="2201D41B" w:rsidR="00E1758B" w:rsidRPr="007F148A" w:rsidRDefault="00E1758B" w:rsidP="005B3013">
            <w:pPr>
              <w:pStyle w:val="TableContents"/>
              <w:rPr>
                <w:rFonts w:ascii="Times New Roman" w:eastAsia="Noto Sans Mono CJK SC" w:hAnsi="Times New Roman" w:cs="Liberation Mono"/>
                <w:sz w:val="20"/>
                <w:szCs w:val="20"/>
              </w:rPr>
            </w:pPr>
            <w:r>
              <w:rPr>
                <w:rFonts w:ascii="Times New Roman" w:eastAsia="Noto Sans Mono CJK SC" w:hAnsi="Times New Roman" w:cs="Liberation Mono"/>
                <w:sz w:val="20"/>
                <w:szCs w:val="20"/>
              </w:rPr>
              <w:t>Right ILOC</w:t>
            </w:r>
          </w:p>
        </w:tc>
        <w:tc>
          <w:tcPr>
            <w:tcW w:w="483" w:type="pct"/>
            <w:vAlign w:val="center"/>
          </w:tcPr>
          <w:p w14:paraId="46C5FE5C" w14:textId="7483A5CE" w:rsidR="00E1758B" w:rsidRPr="007F148A" w:rsidRDefault="00E1758B" w:rsidP="005B3013">
            <w:pPr>
              <w:pStyle w:val="TableContents"/>
              <w:jc w:val="right"/>
              <w:rPr>
                <w:rFonts w:ascii="Times New Roman" w:hAnsi="Times New Roman"/>
                <w:sz w:val="20"/>
                <w:szCs w:val="20"/>
              </w:rPr>
            </w:pPr>
            <w:r>
              <w:rPr>
                <w:rFonts w:ascii="Times New Roman" w:hAnsi="Times New Roman"/>
                <w:sz w:val="20"/>
                <w:szCs w:val="20"/>
              </w:rPr>
              <w:t>+ 52</w:t>
            </w:r>
          </w:p>
        </w:tc>
        <w:tc>
          <w:tcPr>
            <w:tcW w:w="484" w:type="pct"/>
            <w:vAlign w:val="center"/>
          </w:tcPr>
          <w:p w14:paraId="34BBFD1E" w14:textId="69E76540" w:rsidR="00E1758B" w:rsidRPr="007F148A" w:rsidRDefault="00E1758B" w:rsidP="005B3013">
            <w:pPr>
              <w:pStyle w:val="TableContents"/>
              <w:jc w:val="right"/>
              <w:rPr>
                <w:rFonts w:ascii="Times New Roman" w:hAnsi="Times New Roman"/>
                <w:sz w:val="20"/>
                <w:szCs w:val="20"/>
              </w:rPr>
            </w:pPr>
            <w:r>
              <w:rPr>
                <w:rFonts w:ascii="Times New Roman" w:hAnsi="Times New Roman"/>
                <w:sz w:val="20"/>
                <w:szCs w:val="20"/>
              </w:rPr>
              <w:t>- 72</w:t>
            </w:r>
          </w:p>
        </w:tc>
        <w:tc>
          <w:tcPr>
            <w:tcW w:w="484" w:type="pct"/>
            <w:vAlign w:val="center"/>
          </w:tcPr>
          <w:p w14:paraId="2AEA3EBE" w14:textId="22D70912" w:rsidR="00E1758B" w:rsidRPr="007F148A" w:rsidRDefault="00E1758B" w:rsidP="005B3013">
            <w:pPr>
              <w:pStyle w:val="TableContents"/>
              <w:jc w:val="right"/>
              <w:rPr>
                <w:rFonts w:ascii="Times New Roman" w:hAnsi="Times New Roman"/>
                <w:sz w:val="20"/>
                <w:szCs w:val="20"/>
              </w:rPr>
            </w:pPr>
            <w:r>
              <w:rPr>
                <w:rFonts w:ascii="Times New Roman" w:hAnsi="Times New Roman"/>
                <w:sz w:val="20"/>
                <w:szCs w:val="20"/>
              </w:rPr>
              <w:t>- 6</w:t>
            </w:r>
          </w:p>
        </w:tc>
        <w:tc>
          <w:tcPr>
            <w:tcW w:w="728" w:type="pct"/>
            <w:gridSpan w:val="2"/>
            <w:vAlign w:val="center"/>
          </w:tcPr>
          <w:p w14:paraId="7775C681" w14:textId="09CAFD2E" w:rsidR="00E1758B" w:rsidRPr="007F148A" w:rsidRDefault="00E1758B" w:rsidP="005B3013">
            <w:pPr>
              <w:jc w:val="right"/>
              <w:rPr>
                <w:rFonts w:ascii="Times New Roman" w:eastAsia="Noto Sans Mono CJK SC" w:hAnsi="Times New Roman" w:cs="Times New Roman"/>
                <w:sz w:val="20"/>
                <w:szCs w:val="20"/>
              </w:rPr>
            </w:pPr>
            <w:r>
              <w:rPr>
                <w:rFonts w:ascii="Times New Roman" w:eastAsia="Noto Sans Mono CJK SC" w:hAnsi="Times New Roman" w:cs="Times New Roman"/>
                <w:sz w:val="20"/>
                <w:szCs w:val="20"/>
              </w:rPr>
              <w:t>12</w:t>
            </w:r>
          </w:p>
        </w:tc>
        <w:tc>
          <w:tcPr>
            <w:tcW w:w="821" w:type="pct"/>
            <w:vAlign w:val="center"/>
          </w:tcPr>
          <w:p w14:paraId="7C4D27A3" w14:textId="0C947CE2" w:rsidR="00E1758B" w:rsidRPr="007F148A" w:rsidDel="005342F6" w:rsidRDefault="00E1758B" w:rsidP="005B3013">
            <w:pPr>
              <w:jc w:val="right"/>
              <w:rPr>
                <w:rFonts w:ascii="Times New Roman" w:eastAsia="Noto Sans Mono CJK SC" w:hAnsi="Times New Roman" w:cs="Times New Roman"/>
                <w:sz w:val="20"/>
                <w:szCs w:val="20"/>
              </w:rPr>
            </w:pPr>
            <w:r>
              <w:rPr>
                <w:rFonts w:ascii="Times New Roman" w:eastAsia="Noto Sans Mono CJK SC" w:hAnsi="Times New Roman" w:cs="Times New Roman"/>
                <w:sz w:val="20"/>
                <w:szCs w:val="20"/>
              </w:rPr>
              <w:t>7.83</w:t>
            </w:r>
          </w:p>
        </w:tc>
        <w:tc>
          <w:tcPr>
            <w:tcW w:w="818" w:type="pct"/>
            <w:vAlign w:val="center"/>
          </w:tcPr>
          <w:p w14:paraId="36F6A442" w14:textId="47933F1A" w:rsidR="00E1758B" w:rsidRPr="007F148A" w:rsidRDefault="00E1758B" w:rsidP="005B3013">
            <w:pPr>
              <w:jc w:val="right"/>
              <w:rPr>
                <w:rFonts w:ascii="Times New Roman" w:eastAsia="Noto Sans Mono CJK SC" w:hAnsi="Times New Roman" w:cs="Times New Roman"/>
                <w:sz w:val="20"/>
                <w:szCs w:val="20"/>
              </w:rPr>
            </w:pPr>
            <w:r>
              <w:rPr>
                <w:rFonts w:ascii="Times New Roman" w:eastAsia="Noto Sans Mono CJK SC" w:hAnsi="Times New Roman" w:cs="Times New Roman"/>
                <w:sz w:val="20"/>
                <w:szCs w:val="20"/>
              </w:rPr>
              <w:t>.015651</w:t>
            </w:r>
          </w:p>
        </w:tc>
      </w:tr>
      <w:tr w:rsidR="00E1758B" w:rsidRPr="007F148A" w14:paraId="4C8A1B2B" w14:textId="77777777" w:rsidTr="00AE30C0">
        <w:trPr>
          <w:trHeight w:val="293"/>
        </w:trPr>
        <w:tc>
          <w:tcPr>
            <w:tcW w:w="1183" w:type="pct"/>
            <w:vAlign w:val="center"/>
          </w:tcPr>
          <w:p w14:paraId="6A46727B" w14:textId="32FB48C9" w:rsidR="00E1758B" w:rsidRPr="007F148A" w:rsidRDefault="00E1758B" w:rsidP="005B3013">
            <w:pPr>
              <w:pStyle w:val="TableContents"/>
              <w:rPr>
                <w:rFonts w:ascii="Times New Roman" w:eastAsia="Noto Sans Mono CJK SC" w:hAnsi="Times New Roman" w:cs="Liberation Mono"/>
                <w:sz w:val="20"/>
                <w:szCs w:val="20"/>
              </w:rPr>
            </w:pPr>
            <w:r>
              <w:rPr>
                <w:rFonts w:ascii="Times New Roman" w:eastAsia="Noto Sans Mono CJK SC" w:hAnsi="Times New Roman" w:cs="Liberation Mono"/>
                <w:sz w:val="20"/>
                <w:szCs w:val="20"/>
              </w:rPr>
              <w:t>Left SFG</w:t>
            </w:r>
          </w:p>
        </w:tc>
        <w:tc>
          <w:tcPr>
            <w:tcW w:w="483" w:type="pct"/>
            <w:vAlign w:val="center"/>
          </w:tcPr>
          <w:p w14:paraId="1C6B078F" w14:textId="29762267" w:rsidR="00E1758B" w:rsidRPr="007F148A" w:rsidRDefault="00E1758B" w:rsidP="005B3013">
            <w:pPr>
              <w:pStyle w:val="TableContents"/>
              <w:jc w:val="right"/>
              <w:rPr>
                <w:rFonts w:ascii="Times New Roman" w:hAnsi="Times New Roman"/>
                <w:sz w:val="20"/>
                <w:szCs w:val="20"/>
              </w:rPr>
            </w:pPr>
            <w:r>
              <w:rPr>
                <w:rFonts w:ascii="Times New Roman" w:hAnsi="Times New Roman"/>
                <w:sz w:val="20"/>
                <w:szCs w:val="20"/>
              </w:rPr>
              <w:t>- 20</w:t>
            </w:r>
          </w:p>
        </w:tc>
        <w:tc>
          <w:tcPr>
            <w:tcW w:w="484" w:type="pct"/>
            <w:vAlign w:val="center"/>
          </w:tcPr>
          <w:p w14:paraId="510DC6A6" w14:textId="48DCCC26" w:rsidR="00E1758B" w:rsidRPr="007F148A" w:rsidRDefault="00E1758B" w:rsidP="005B3013">
            <w:pPr>
              <w:pStyle w:val="TableContents"/>
              <w:jc w:val="right"/>
              <w:rPr>
                <w:rFonts w:ascii="Times New Roman" w:hAnsi="Times New Roman"/>
                <w:sz w:val="20"/>
                <w:szCs w:val="20"/>
              </w:rPr>
            </w:pPr>
            <w:r>
              <w:rPr>
                <w:rFonts w:ascii="Times New Roman" w:hAnsi="Times New Roman"/>
                <w:sz w:val="20"/>
                <w:szCs w:val="20"/>
              </w:rPr>
              <w:t>+ 20</w:t>
            </w:r>
          </w:p>
        </w:tc>
        <w:tc>
          <w:tcPr>
            <w:tcW w:w="484" w:type="pct"/>
            <w:vAlign w:val="center"/>
          </w:tcPr>
          <w:p w14:paraId="188AB602" w14:textId="4A621CCA" w:rsidR="00E1758B" w:rsidRPr="007F148A" w:rsidRDefault="00E1758B" w:rsidP="005B3013">
            <w:pPr>
              <w:pStyle w:val="TableContents"/>
              <w:jc w:val="right"/>
              <w:rPr>
                <w:rFonts w:ascii="Times New Roman" w:hAnsi="Times New Roman"/>
                <w:sz w:val="20"/>
                <w:szCs w:val="20"/>
              </w:rPr>
            </w:pPr>
            <w:r>
              <w:rPr>
                <w:rFonts w:ascii="Times New Roman" w:hAnsi="Times New Roman"/>
                <w:sz w:val="20"/>
                <w:szCs w:val="20"/>
              </w:rPr>
              <w:t>+ 36</w:t>
            </w:r>
          </w:p>
        </w:tc>
        <w:tc>
          <w:tcPr>
            <w:tcW w:w="728" w:type="pct"/>
            <w:gridSpan w:val="2"/>
            <w:vAlign w:val="center"/>
          </w:tcPr>
          <w:p w14:paraId="1C752D31" w14:textId="52985CC5" w:rsidR="00E1758B" w:rsidRPr="007F148A" w:rsidRDefault="00E1758B" w:rsidP="005B3013">
            <w:pPr>
              <w:jc w:val="right"/>
              <w:rPr>
                <w:rFonts w:ascii="Times New Roman" w:eastAsia="Noto Sans Mono CJK SC" w:hAnsi="Times New Roman" w:cs="Times New Roman"/>
                <w:sz w:val="20"/>
                <w:szCs w:val="20"/>
              </w:rPr>
            </w:pPr>
            <w:r>
              <w:rPr>
                <w:rFonts w:ascii="Times New Roman" w:eastAsia="Noto Sans Mono CJK SC" w:hAnsi="Times New Roman" w:cs="Times New Roman"/>
                <w:sz w:val="20"/>
                <w:szCs w:val="20"/>
              </w:rPr>
              <w:t>11</w:t>
            </w:r>
          </w:p>
        </w:tc>
        <w:tc>
          <w:tcPr>
            <w:tcW w:w="821" w:type="pct"/>
            <w:vAlign w:val="center"/>
          </w:tcPr>
          <w:p w14:paraId="565368B2" w14:textId="55914606" w:rsidR="00E1758B" w:rsidRPr="007F148A" w:rsidDel="005342F6" w:rsidRDefault="00E1758B" w:rsidP="005B3013">
            <w:pPr>
              <w:jc w:val="right"/>
              <w:rPr>
                <w:rFonts w:ascii="Times New Roman" w:eastAsia="Noto Sans Mono CJK SC" w:hAnsi="Times New Roman" w:cs="Times New Roman"/>
                <w:sz w:val="20"/>
                <w:szCs w:val="20"/>
              </w:rPr>
            </w:pPr>
            <w:r>
              <w:rPr>
                <w:rFonts w:ascii="Times New Roman" w:eastAsia="Noto Sans Mono CJK SC" w:hAnsi="Times New Roman" w:cs="Times New Roman"/>
                <w:sz w:val="20"/>
                <w:szCs w:val="20"/>
              </w:rPr>
              <w:t>8.29</w:t>
            </w:r>
          </w:p>
        </w:tc>
        <w:tc>
          <w:tcPr>
            <w:tcW w:w="818" w:type="pct"/>
            <w:vAlign w:val="center"/>
          </w:tcPr>
          <w:p w14:paraId="58E461D5" w14:textId="72CB8E3D" w:rsidR="00E1758B" w:rsidRPr="007F148A" w:rsidRDefault="00E1758B" w:rsidP="005B3013">
            <w:pPr>
              <w:jc w:val="right"/>
              <w:rPr>
                <w:rFonts w:ascii="Times New Roman" w:eastAsia="Noto Sans Mono CJK SC" w:hAnsi="Times New Roman" w:cs="Times New Roman"/>
                <w:sz w:val="20"/>
                <w:szCs w:val="20"/>
              </w:rPr>
            </w:pPr>
            <w:r>
              <w:rPr>
                <w:rFonts w:ascii="Times New Roman" w:eastAsia="Noto Sans Mono CJK SC" w:hAnsi="Times New Roman" w:cs="Times New Roman"/>
                <w:sz w:val="20"/>
                <w:szCs w:val="20"/>
              </w:rPr>
              <w:t>.027903</w:t>
            </w:r>
          </w:p>
        </w:tc>
      </w:tr>
      <w:tr w:rsidR="00E1758B" w:rsidRPr="007F148A" w14:paraId="1A6BC51D" w14:textId="77777777" w:rsidTr="00AE30C0">
        <w:trPr>
          <w:trHeight w:val="293"/>
        </w:trPr>
        <w:tc>
          <w:tcPr>
            <w:tcW w:w="1183" w:type="pct"/>
            <w:vAlign w:val="center"/>
          </w:tcPr>
          <w:p w14:paraId="1D1B6CD2" w14:textId="334F9A64" w:rsidR="00E1758B" w:rsidRPr="007F148A" w:rsidRDefault="00E1758B" w:rsidP="005B3013">
            <w:pPr>
              <w:pStyle w:val="TableContents"/>
              <w:rPr>
                <w:rFonts w:ascii="Times New Roman" w:eastAsia="Noto Sans Mono CJK SC" w:hAnsi="Times New Roman" w:cs="Liberation Mono"/>
                <w:sz w:val="20"/>
                <w:szCs w:val="20"/>
              </w:rPr>
            </w:pPr>
            <w:r>
              <w:rPr>
                <w:rFonts w:ascii="Times New Roman" w:eastAsia="Noto Sans Mono CJK SC" w:hAnsi="Times New Roman" w:cs="Liberation Mono"/>
                <w:sz w:val="20"/>
                <w:szCs w:val="20"/>
              </w:rPr>
              <w:t>Right Occipital Pole</w:t>
            </w:r>
          </w:p>
        </w:tc>
        <w:tc>
          <w:tcPr>
            <w:tcW w:w="483" w:type="pct"/>
            <w:vAlign w:val="center"/>
          </w:tcPr>
          <w:p w14:paraId="3A70671C" w14:textId="04F09755" w:rsidR="00E1758B" w:rsidRPr="007F148A" w:rsidRDefault="00E1758B" w:rsidP="005B3013">
            <w:pPr>
              <w:pStyle w:val="TableContents"/>
              <w:jc w:val="right"/>
              <w:rPr>
                <w:rFonts w:ascii="Times New Roman" w:hAnsi="Times New Roman"/>
                <w:sz w:val="20"/>
                <w:szCs w:val="20"/>
              </w:rPr>
            </w:pPr>
            <w:r>
              <w:rPr>
                <w:rFonts w:ascii="Times New Roman" w:hAnsi="Times New Roman"/>
                <w:sz w:val="20"/>
                <w:szCs w:val="20"/>
              </w:rPr>
              <w:t>+ 30</w:t>
            </w:r>
          </w:p>
        </w:tc>
        <w:tc>
          <w:tcPr>
            <w:tcW w:w="484" w:type="pct"/>
            <w:vAlign w:val="center"/>
          </w:tcPr>
          <w:p w14:paraId="05307D29" w14:textId="5EE5AEB6" w:rsidR="00E1758B" w:rsidRPr="007F148A" w:rsidRDefault="00E1758B" w:rsidP="005B3013">
            <w:pPr>
              <w:pStyle w:val="TableContents"/>
              <w:jc w:val="right"/>
              <w:rPr>
                <w:rFonts w:ascii="Times New Roman" w:hAnsi="Times New Roman"/>
                <w:sz w:val="20"/>
                <w:szCs w:val="20"/>
              </w:rPr>
            </w:pPr>
            <w:r>
              <w:rPr>
                <w:rFonts w:ascii="Times New Roman" w:hAnsi="Times New Roman"/>
                <w:sz w:val="20"/>
                <w:szCs w:val="20"/>
              </w:rPr>
              <w:t>- 98</w:t>
            </w:r>
          </w:p>
        </w:tc>
        <w:tc>
          <w:tcPr>
            <w:tcW w:w="484" w:type="pct"/>
            <w:vAlign w:val="center"/>
          </w:tcPr>
          <w:p w14:paraId="303E3529" w14:textId="6F51C2B9" w:rsidR="00E1758B" w:rsidRPr="007F148A" w:rsidRDefault="00E1758B" w:rsidP="005B3013">
            <w:pPr>
              <w:pStyle w:val="TableContents"/>
              <w:jc w:val="right"/>
              <w:rPr>
                <w:rFonts w:ascii="Times New Roman" w:hAnsi="Times New Roman"/>
                <w:sz w:val="20"/>
                <w:szCs w:val="20"/>
              </w:rPr>
            </w:pPr>
            <w:r>
              <w:rPr>
                <w:rFonts w:ascii="Times New Roman" w:hAnsi="Times New Roman"/>
                <w:sz w:val="20"/>
                <w:szCs w:val="20"/>
              </w:rPr>
              <w:t>+ 6</w:t>
            </w:r>
          </w:p>
        </w:tc>
        <w:tc>
          <w:tcPr>
            <w:tcW w:w="728" w:type="pct"/>
            <w:gridSpan w:val="2"/>
            <w:vAlign w:val="center"/>
          </w:tcPr>
          <w:p w14:paraId="5D8A2043" w14:textId="18E7F1E6" w:rsidR="00E1758B" w:rsidRPr="007F148A" w:rsidRDefault="00E1758B" w:rsidP="005B3013">
            <w:pPr>
              <w:jc w:val="right"/>
              <w:rPr>
                <w:rFonts w:ascii="Times New Roman" w:hAnsi="Times New Roman" w:cs="Times New Roman"/>
                <w:color w:val="000000"/>
                <w:sz w:val="20"/>
                <w:szCs w:val="20"/>
              </w:rPr>
            </w:pPr>
            <w:r>
              <w:rPr>
                <w:rFonts w:ascii="Times New Roman" w:hAnsi="Times New Roman" w:cs="Times New Roman"/>
                <w:color w:val="000000"/>
                <w:sz w:val="20"/>
                <w:szCs w:val="20"/>
              </w:rPr>
              <w:t>11</w:t>
            </w:r>
          </w:p>
        </w:tc>
        <w:tc>
          <w:tcPr>
            <w:tcW w:w="821" w:type="pct"/>
            <w:vAlign w:val="center"/>
          </w:tcPr>
          <w:p w14:paraId="1704974A" w14:textId="2F6D0102" w:rsidR="00E1758B" w:rsidRPr="007F148A" w:rsidDel="005342F6" w:rsidRDefault="00E1758B" w:rsidP="005B3013">
            <w:pPr>
              <w:jc w:val="right"/>
              <w:rPr>
                <w:rFonts w:ascii="Times New Roman" w:eastAsia="Noto Sans Mono CJK SC" w:hAnsi="Times New Roman" w:cs="Times New Roman"/>
                <w:sz w:val="20"/>
                <w:szCs w:val="20"/>
              </w:rPr>
            </w:pPr>
            <w:r>
              <w:rPr>
                <w:rFonts w:ascii="Times New Roman" w:eastAsia="Noto Sans Mono CJK SC" w:hAnsi="Times New Roman" w:cs="Times New Roman"/>
                <w:sz w:val="20"/>
                <w:szCs w:val="20"/>
              </w:rPr>
              <w:t>8.17</w:t>
            </w:r>
          </w:p>
        </w:tc>
        <w:tc>
          <w:tcPr>
            <w:tcW w:w="818" w:type="pct"/>
            <w:vAlign w:val="center"/>
          </w:tcPr>
          <w:p w14:paraId="262CA968" w14:textId="56DA3317" w:rsidR="00E1758B" w:rsidRPr="007F148A" w:rsidRDefault="00E1758B" w:rsidP="005B3013">
            <w:pPr>
              <w:jc w:val="right"/>
              <w:rPr>
                <w:rFonts w:ascii="Times New Roman" w:eastAsia="Noto Sans Mono CJK SC" w:hAnsi="Times New Roman" w:cs="Times New Roman"/>
                <w:sz w:val="20"/>
                <w:szCs w:val="20"/>
              </w:rPr>
            </w:pPr>
            <w:r>
              <w:rPr>
                <w:rFonts w:ascii="Times New Roman" w:eastAsia="Noto Sans Mono CJK SC" w:hAnsi="Times New Roman" w:cs="Times New Roman"/>
                <w:sz w:val="20"/>
                <w:szCs w:val="20"/>
              </w:rPr>
              <w:t>.027903</w:t>
            </w:r>
          </w:p>
        </w:tc>
      </w:tr>
      <w:tr w:rsidR="00E1758B" w:rsidRPr="007F148A" w14:paraId="1D5E4EE8" w14:textId="77777777" w:rsidTr="00AE30C0">
        <w:trPr>
          <w:trHeight w:val="293"/>
        </w:trPr>
        <w:tc>
          <w:tcPr>
            <w:tcW w:w="1183" w:type="pct"/>
            <w:vAlign w:val="center"/>
          </w:tcPr>
          <w:p w14:paraId="3375A435" w14:textId="297DA1CC" w:rsidR="00E1758B" w:rsidRPr="007F148A" w:rsidDel="005342F6" w:rsidRDefault="00E1758B" w:rsidP="005B3013">
            <w:pPr>
              <w:pStyle w:val="TableContents"/>
              <w:rPr>
                <w:rFonts w:ascii="Times New Roman" w:eastAsia="Noto Sans Mono CJK SC" w:hAnsi="Times New Roman" w:cs="Liberation Mono"/>
                <w:sz w:val="20"/>
                <w:szCs w:val="20"/>
              </w:rPr>
            </w:pPr>
            <w:r>
              <w:rPr>
                <w:rFonts w:ascii="Times New Roman" w:eastAsia="Noto Sans Mono CJK SC" w:hAnsi="Times New Roman" w:cs="Liberation Mono"/>
                <w:sz w:val="20"/>
                <w:szCs w:val="20"/>
              </w:rPr>
              <w:t xml:space="preserve">Right Occipital </w:t>
            </w:r>
            <w:proofErr w:type="spellStart"/>
            <w:r>
              <w:rPr>
                <w:rFonts w:ascii="Times New Roman" w:eastAsia="Noto Sans Mono CJK SC" w:hAnsi="Times New Roman" w:cs="Liberation Mono"/>
                <w:sz w:val="20"/>
                <w:szCs w:val="20"/>
              </w:rPr>
              <w:t>FuG</w:t>
            </w:r>
            <w:proofErr w:type="spellEnd"/>
          </w:p>
        </w:tc>
        <w:tc>
          <w:tcPr>
            <w:tcW w:w="483" w:type="pct"/>
            <w:vAlign w:val="center"/>
          </w:tcPr>
          <w:p w14:paraId="20BCC0BC" w14:textId="2B63E2FE" w:rsidR="00E1758B" w:rsidRPr="007F148A" w:rsidDel="005342F6" w:rsidRDefault="00E1758B" w:rsidP="005B3013">
            <w:pPr>
              <w:pStyle w:val="TableContents"/>
              <w:jc w:val="right"/>
              <w:rPr>
                <w:rFonts w:ascii="Times New Roman" w:hAnsi="Times New Roman"/>
                <w:sz w:val="20"/>
                <w:szCs w:val="20"/>
              </w:rPr>
            </w:pPr>
            <w:r>
              <w:rPr>
                <w:rFonts w:ascii="Times New Roman" w:hAnsi="Times New Roman"/>
                <w:sz w:val="20"/>
                <w:szCs w:val="20"/>
              </w:rPr>
              <w:t>+ 26</w:t>
            </w:r>
          </w:p>
        </w:tc>
        <w:tc>
          <w:tcPr>
            <w:tcW w:w="484" w:type="pct"/>
            <w:vAlign w:val="center"/>
          </w:tcPr>
          <w:p w14:paraId="043AB821" w14:textId="01074F0F" w:rsidR="00E1758B" w:rsidRPr="007F148A" w:rsidDel="005342F6" w:rsidRDefault="00E1758B" w:rsidP="005B3013">
            <w:pPr>
              <w:pStyle w:val="TableContents"/>
              <w:jc w:val="right"/>
              <w:rPr>
                <w:rFonts w:ascii="Times New Roman" w:hAnsi="Times New Roman"/>
                <w:sz w:val="20"/>
                <w:szCs w:val="20"/>
              </w:rPr>
            </w:pPr>
            <w:r>
              <w:rPr>
                <w:rFonts w:ascii="Times New Roman" w:hAnsi="Times New Roman"/>
                <w:sz w:val="20"/>
                <w:szCs w:val="20"/>
              </w:rPr>
              <w:t>- 92</w:t>
            </w:r>
          </w:p>
        </w:tc>
        <w:tc>
          <w:tcPr>
            <w:tcW w:w="484" w:type="pct"/>
            <w:vAlign w:val="center"/>
          </w:tcPr>
          <w:p w14:paraId="5BB67692" w14:textId="012D5E8C" w:rsidR="00E1758B" w:rsidRPr="007F148A" w:rsidDel="005342F6" w:rsidRDefault="00E1758B" w:rsidP="005B3013">
            <w:pPr>
              <w:pStyle w:val="TableContents"/>
              <w:jc w:val="right"/>
              <w:rPr>
                <w:rFonts w:ascii="Times New Roman" w:hAnsi="Times New Roman"/>
                <w:sz w:val="20"/>
                <w:szCs w:val="20"/>
              </w:rPr>
            </w:pPr>
            <w:r>
              <w:rPr>
                <w:rFonts w:ascii="Times New Roman" w:hAnsi="Times New Roman"/>
                <w:sz w:val="20"/>
                <w:szCs w:val="20"/>
              </w:rPr>
              <w:t>- 14</w:t>
            </w:r>
          </w:p>
        </w:tc>
        <w:tc>
          <w:tcPr>
            <w:tcW w:w="728" w:type="pct"/>
            <w:gridSpan w:val="2"/>
            <w:vAlign w:val="center"/>
          </w:tcPr>
          <w:p w14:paraId="01EF9BCE" w14:textId="4178E467" w:rsidR="00E1758B" w:rsidRPr="007F148A" w:rsidDel="005342F6" w:rsidRDefault="00E1758B" w:rsidP="005B3013">
            <w:pPr>
              <w:jc w:val="right"/>
              <w:rPr>
                <w:rFonts w:ascii="Times New Roman" w:hAnsi="Times New Roman" w:cs="Times New Roman"/>
                <w:color w:val="000000"/>
                <w:sz w:val="20"/>
                <w:szCs w:val="20"/>
              </w:rPr>
            </w:pPr>
            <w:r>
              <w:rPr>
                <w:rFonts w:ascii="Times New Roman" w:hAnsi="Times New Roman" w:cs="Times New Roman"/>
                <w:color w:val="000000"/>
                <w:sz w:val="20"/>
                <w:szCs w:val="20"/>
              </w:rPr>
              <w:t>11</w:t>
            </w:r>
          </w:p>
        </w:tc>
        <w:tc>
          <w:tcPr>
            <w:tcW w:w="821" w:type="pct"/>
            <w:vAlign w:val="center"/>
          </w:tcPr>
          <w:p w14:paraId="6038DC5D" w14:textId="0CE2C80E" w:rsidR="00E1758B" w:rsidRPr="007F148A" w:rsidDel="005342F6" w:rsidRDefault="00E1758B" w:rsidP="005B3013">
            <w:pPr>
              <w:jc w:val="right"/>
              <w:rPr>
                <w:rFonts w:ascii="Times New Roman" w:eastAsia="Noto Sans Mono CJK SC" w:hAnsi="Times New Roman" w:cs="Times New Roman"/>
                <w:sz w:val="20"/>
                <w:szCs w:val="20"/>
              </w:rPr>
            </w:pPr>
            <w:r>
              <w:rPr>
                <w:rFonts w:ascii="Times New Roman" w:eastAsia="Noto Sans Mono CJK SC" w:hAnsi="Times New Roman" w:cs="Times New Roman"/>
                <w:sz w:val="20"/>
                <w:szCs w:val="20"/>
              </w:rPr>
              <w:t>7.14</w:t>
            </w:r>
          </w:p>
        </w:tc>
        <w:tc>
          <w:tcPr>
            <w:tcW w:w="818" w:type="pct"/>
            <w:vAlign w:val="center"/>
          </w:tcPr>
          <w:p w14:paraId="006AD447" w14:textId="3908EDAF" w:rsidR="00E1758B" w:rsidRPr="007F148A" w:rsidDel="005342F6" w:rsidRDefault="00E1758B" w:rsidP="005B3013">
            <w:pPr>
              <w:jc w:val="right"/>
              <w:rPr>
                <w:rFonts w:ascii="Times New Roman" w:eastAsia="Noto Sans Mono CJK SC" w:hAnsi="Times New Roman" w:cs="Times New Roman"/>
                <w:sz w:val="20"/>
                <w:szCs w:val="20"/>
              </w:rPr>
            </w:pPr>
            <w:r>
              <w:rPr>
                <w:rFonts w:ascii="Times New Roman" w:eastAsia="Noto Sans Mono CJK SC" w:hAnsi="Times New Roman" w:cs="Times New Roman"/>
                <w:sz w:val="20"/>
                <w:szCs w:val="20"/>
              </w:rPr>
              <w:t>.027903</w:t>
            </w:r>
          </w:p>
        </w:tc>
      </w:tr>
    </w:tbl>
    <w:p w14:paraId="27DA657B" w14:textId="77777777" w:rsidR="006F28A6" w:rsidRDefault="003A0FDD" w:rsidP="005B3013">
      <w:pPr>
        <w:rPr>
          <w:rFonts w:ascii="Times New Roman" w:hAnsi="Times New Roman" w:cs="Times New Roman"/>
        </w:rPr>
      </w:pPr>
      <w:r w:rsidRPr="00212C3B">
        <w:rPr>
          <w:rFonts w:ascii="Times New Roman" w:hAnsi="Times New Roman" w:cs="Times New Roman"/>
          <w:i/>
          <w:iCs/>
        </w:rPr>
        <w:t xml:space="preserve">Note. </w:t>
      </w:r>
      <w:r w:rsidRPr="00212C3B">
        <w:rPr>
          <w:rFonts w:ascii="Times New Roman" w:hAnsi="Times New Roman" w:cs="Times New Roman"/>
        </w:rPr>
        <w:t xml:space="preserve">Coordinates are in MNI space. The networks of the clusters were determined using custom Python code which quantified the percentage overlap between the cluster and each network of the Yeo-17 atlas </w:t>
      </w:r>
      <w:r w:rsidRPr="00212C3B">
        <w:rPr>
          <w:rFonts w:ascii="Times New Roman" w:hAnsi="Times New Roman" w:cs="Times New Roman"/>
        </w:rPr>
        <w:fldChar w:fldCharType="begin"/>
      </w:r>
      <w:r w:rsidRPr="00212C3B">
        <w:rPr>
          <w:rFonts w:ascii="Times New Roman" w:hAnsi="Times New Roman" w:cs="Times New Roman"/>
        </w:rPr>
        <w:instrText xml:space="preserve"> ADDIN ZOTERO_ITEM CSL_CITATION {"citationID":"UZfOjA12","properties":{"formattedCitation":"(Thomas Yeo et al., 2011)","plainCitation":"(Thomas Yeo et al., 2011)","noteIndex":0},"citationItems":[{"id":1226,"uris":["http://zotero.org/users/16246314/items/DFXGPSKU"],"itemData":{"id":1226,"type":"article-journal","abstract":"Information processing in the cerebral cortex involves interactions among distributed areas. Anatomical connectivity suggests that certain areas form local hierarchical relations such as within the visual system. Other connectivity patterns, particularly among association areas, suggest the presence of large-scale circuits without clear hierarchical relations. In this study the organization of networks in the human cerebrum was explored using resting-state functional connectivity MRI. Data from 1,000 subjects were registered using surface-based alignment. A clustering approach was employed to identify and replicate networks of functionally coupled regions across the cerebral cortex. The results revealed local networks confined to sensory and motor cortices as well as distributed networks of association regions. Within the sensory and motor cortices, functional connectivity followed topographic representations across adjacent areas. In association cortex, the connectivity patterns often showed abrupt transitions between network boundaries. Focused analyses were performed to better understand properties of network connectivity. A canonical sensory-motor pathway involving primary visual area, putative middle temporal area complex (MT+), lateral intraparietal area, and frontal eye field was analyzed to explore how interactions might arise within and between networks. Results showed that adjacent regions of the MT+ complex demonstrate differential connectivity consistent with a hierarchical pathway that spans networks. The functional connectivity of parietal and prefrontal association cortices was next explored. Distinct connectivity profiles of neighboring regions suggest they participate in distributed networks that, while showing evidence for interactions, are embedded within largely parallel, interdigitated circuits. We conclude by discussing the organization of these large-scale cerebral networks in relation to monkey anatomy and their potential evolutionary expansion in humans to support cognition.","container-title":"Journal of Neurophysiology","DOI":"10.1152/jn.00338.2011","ISSN":"0022-3077","issue":"3","note":"publisher: American Physiological Society","page":"1125-1165","source":"journals.physiology.org (Atypon)","title":"The organization of the human cerebral cortex estimated by intrinsic functional connectivity","volume":"106","author":[{"family":"Thomas Yeo","given":"B. T."},{"family":"Krienen","given":"Fenna M."},{"family":"Sepulcre","given":"Jorge"},{"family":"Sabuncu","given":"Mert R."},{"family":"Lashkari","given":"Danial"},{"family":"Hollinshead","given":"Marisa"},{"family":"Roffman","given":"Joshua L."},{"family":"Smoller","given":"Jordan W."},{"family":"Zöllei","given":"Lilla"},{"family":"Polimeni","given":"Jonathan R."},{"family":"Fischl","given":"Bruce"},{"family":"Liu","given":"Hesheng"},{"family":"Buckner","given":"Randy L."}],"issued":{"date-parts":[["2011",9]]}}}],"schema":"https://github.com/citation-style-language/schema/raw/master/csl-citation.json"} </w:instrText>
      </w:r>
      <w:r w:rsidRPr="00212C3B">
        <w:rPr>
          <w:rFonts w:ascii="Times New Roman" w:hAnsi="Times New Roman" w:cs="Times New Roman"/>
        </w:rPr>
        <w:fldChar w:fldCharType="separate"/>
      </w:r>
      <w:r w:rsidRPr="00212C3B">
        <w:rPr>
          <w:rFonts w:ascii="Times New Roman" w:hAnsi="Times New Roman" w:cs="Times New Roman"/>
          <w:kern w:val="0"/>
          <w:lang w:val="en-US"/>
        </w:rPr>
        <w:t>(Thomas Yeo et al., 2011)</w:t>
      </w:r>
      <w:r w:rsidRPr="00212C3B">
        <w:rPr>
          <w:rFonts w:ascii="Times New Roman" w:hAnsi="Times New Roman" w:cs="Times New Roman"/>
        </w:rPr>
        <w:fldChar w:fldCharType="end"/>
      </w:r>
      <w:r w:rsidRPr="00212C3B">
        <w:rPr>
          <w:rFonts w:ascii="Times New Roman" w:hAnsi="Times New Roman" w:cs="Times New Roman"/>
        </w:rPr>
        <w:t xml:space="preserve">. Abbreviations: ILOC=inferior lateral occipital cortex, </w:t>
      </w:r>
      <w:proofErr w:type="spellStart"/>
      <w:r w:rsidRPr="00212C3B">
        <w:rPr>
          <w:rFonts w:ascii="Times New Roman" w:hAnsi="Times New Roman" w:cs="Times New Roman"/>
        </w:rPr>
        <w:t>FuG</w:t>
      </w:r>
      <w:proofErr w:type="spellEnd"/>
      <w:r w:rsidRPr="00212C3B">
        <w:rPr>
          <w:rFonts w:ascii="Times New Roman" w:hAnsi="Times New Roman" w:cs="Times New Roman"/>
        </w:rPr>
        <w:t>=fusiform gyrus, SFG=superior frontal gyrus, SLOC=superior lateral occipital cortex, SMG=supramarginal gyrus.</w:t>
      </w:r>
    </w:p>
    <w:p w14:paraId="583E47A0" w14:textId="77777777" w:rsidR="006F28A6" w:rsidRDefault="006F28A6" w:rsidP="005B3013">
      <w:pPr>
        <w:rPr>
          <w:rFonts w:ascii="Times New Roman" w:hAnsi="Times New Roman" w:cs="Times New Roman"/>
        </w:rPr>
      </w:pPr>
    </w:p>
    <w:p w14:paraId="5A0BF0F8" w14:textId="77777777" w:rsidR="006F28A6" w:rsidRDefault="006F28A6" w:rsidP="005B3013">
      <w:pPr>
        <w:rPr>
          <w:rFonts w:ascii="Times New Roman" w:hAnsi="Times New Roman" w:cs="Times New Roman"/>
          <w:b/>
          <w:bCs/>
        </w:rPr>
      </w:pPr>
      <w:r>
        <w:rPr>
          <w:rFonts w:ascii="Times New Roman" w:hAnsi="Times New Roman" w:cs="Times New Roman"/>
          <w:b/>
          <w:bCs/>
        </w:rPr>
        <w:br w:type="page"/>
      </w:r>
    </w:p>
    <w:p w14:paraId="1FC2D7E6" w14:textId="28E8D039" w:rsidR="006F28A6" w:rsidRDefault="006F28A6" w:rsidP="005B3013">
      <w:pPr>
        <w:rPr>
          <w:rFonts w:ascii="Times New Roman" w:hAnsi="Times New Roman" w:cs="Times New Roman"/>
        </w:rPr>
      </w:pPr>
      <w:r>
        <w:rPr>
          <w:rFonts w:ascii="Times New Roman" w:hAnsi="Times New Roman" w:cs="Times New Roman"/>
          <w:b/>
          <w:bCs/>
        </w:rPr>
        <w:lastRenderedPageBreak/>
        <w:t>Additional fc-MVPA of Migraine Status by Film Interaction</w:t>
      </w:r>
    </w:p>
    <w:p w14:paraId="10E149B5" w14:textId="77777777" w:rsidR="006F28A6" w:rsidRDefault="006F28A6" w:rsidP="005B3013">
      <w:pPr>
        <w:rPr>
          <w:rFonts w:ascii="Times New Roman" w:hAnsi="Times New Roman" w:cs="Times New Roman"/>
        </w:rPr>
      </w:pPr>
    </w:p>
    <w:p w14:paraId="0CB56278" w14:textId="79FE3D3D" w:rsidR="00E1758B" w:rsidRDefault="006F28A6" w:rsidP="005B3013">
      <w:pPr>
        <w:ind w:firstLine="720"/>
        <w:rPr>
          <w:rFonts w:ascii="Times New Roman" w:hAnsi="Times New Roman" w:cs="Times New Roman"/>
        </w:rPr>
      </w:pPr>
      <w:r>
        <w:rPr>
          <w:rFonts w:ascii="Times New Roman" w:hAnsi="Times New Roman" w:cs="Times New Roman"/>
        </w:rPr>
        <w:t xml:space="preserve">We additionally ran the fc-MVPA as a 2 (Migraine Status: Migraine vs. Controls; between subjects) by 2 (Film: Negative vs. Positive) ANCOVA with sex as a covariate, </w:t>
      </w:r>
      <w:r w:rsidR="00E1758B">
        <w:rPr>
          <w:rFonts w:ascii="Times New Roman" w:hAnsi="Times New Roman" w:cs="Times New Roman"/>
        </w:rPr>
        <w:t xml:space="preserve">to provide another perspective on the roles of arousal and valence on migraine-related connectivity differences. </w:t>
      </w:r>
      <w:r w:rsidR="00E1758B" w:rsidRPr="00212C3B">
        <w:rPr>
          <w:rFonts w:ascii="Times New Roman" w:hAnsi="Times New Roman" w:cs="Times New Roman"/>
        </w:rPr>
        <w:t xml:space="preserve">Clusters were identified using a voxel-level threshold of </w:t>
      </w:r>
      <w:r w:rsidR="00E1758B" w:rsidRPr="00212C3B">
        <w:rPr>
          <w:rFonts w:ascii="Times New Roman" w:hAnsi="Times New Roman" w:cs="Times New Roman"/>
          <w:i/>
          <w:iCs/>
        </w:rPr>
        <w:t>p</w:t>
      </w:r>
      <w:r w:rsidR="00E1758B" w:rsidRPr="00212C3B">
        <w:rPr>
          <w:rFonts w:ascii="Times New Roman" w:hAnsi="Times New Roman" w:cs="Times New Roman"/>
        </w:rPr>
        <w:t xml:space="preserve"> &lt; 0.001 and a cluster-size</w:t>
      </w:r>
      <w:r w:rsidR="00E1758B">
        <w:rPr>
          <w:rFonts w:ascii="Times New Roman" w:hAnsi="Times New Roman" w:cs="Times New Roman"/>
        </w:rPr>
        <w:t xml:space="preserve"> family</w:t>
      </w:r>
      <w:r w:rsidR="00C336E3">
        <w:rPr>
          <w:rFonts w:ascii="Times New Roman" w:hAnsi="Times New Roman" w:cs="Times New Roman"/>
        </w:rPr>
        <w:t>-</w:t>
      </w:r>
      <w:r w:rsidR="00E1758B">
        <w:rPr>
          <w:rFonts w:ascii="Times New Roman" w:hAnsi="Times New Roman" w:cs="Times New Roman"/>
        </w:rPr>
        <w:t xml:space="preserve">wise error corrected threshold of </w:t>
      </w:r>
      <w:r w:rsidR="00E1758B" w:rsidRPr="008223BC">
        <w:rPr>
          <w:rFonts w:ascii="Times New Roman" w:hAnsi="Times New Roman" w:cs="Times New Roman"/>
          <w:i/>
          <w:iCs/>
        </w:rPr>
        <w:t>p</w:t>
      </w:r>
      <w:r w:rsidR="00E1758B">
        <w:rPr>
          <w:rFonts w:ascii="Times New Roman" w:hAnsi="Times New Roman" w:cs="Times New Roman"/>
        </w:rPr>
        <w:t xml:space="preserve">-FWE &lt; 0.05, based on parametric cluster-level </w:t>
      </w:r>
      <w:r w:rsidR="00E1758B" w:rsidRPr="00212C3B">
        <w:rPr>
          <w:rFonts w:ascii="Times New Roman" w:hAnsi="Times New Roman" w:cs="Times New Roman"/>
        </w:rPr>
        <w:t>inference</w:t>
      </w:r>
      <w:r w:rsidR="00E1758B">
        <w:rPr>
          <w:rFonts w:ascii="Times New Roman" w:hAnsi="Times New Roman" w:cs="Times New Roman"/>
        </w:rPr>
        <w:t xml:space="preserve">. </w:t>
      </w:r>
    </w:p>
    <w:p w14:paraId="637D33B1" w14:textId="06B1FB2D" w:rsidR="006F28A6" w:rsidRDefault="00E1758B" w:rsidP="00AE30C0">
      <w:pPr>
        <w:ind w:firstLine="720"/>
        <w:rPr>
          <w:rFonts w:ascii="Times New Roman" w:hAnsi="Times New Roman" w:cs="Times New Roman"/>
        </w:rPr>
      </w:pPr>
      <w:r>
        <w:rPr>
          <w:rFonts w:ascii="Times New Roman" w:hAnsi="Times New Roman" w:cs="Times New Roman"/>
        </w:rPr>
        <w:t>In this analysis, four clusters were identified in which whole</w:t>
      </w:r>
      <w:r w:rsidR="00C90D4E">
        <w:rPr>
          <w:rFonts w:ascii="Times New Roman" w:hAnsi="Times New Roman" w:cs="Times New Roman"/>
        </w:rPr>
        <w:t>-b</w:t>
      </w:r>
      <w:r>
        <w:rPr>
          <w:rFonts w:ascii="Times New Roman" w:hAnsi="Times New Roman" w:cs="Times New Roman"/>
        </w:rPr>
        <w:t xml:space="preserve">rain connectivity differences between the </w:t>
      </w:r>
      <w:r w:rsidR="00CE7284">
        <w:rPr>
          <w:rFonts w:ascii="Times New Roman" w:hAnsi="Times New Roman" w:cs="Times New Roman"/>
        </w:rPr>
        <w:t>negative</w:t>
      </w:r>
      <w:r>
        <w:rPr>
          <w:rFonts w:ascii="Times New Roman" w:hAnsi="Times New Roman" w:cs="Times New Roman"/>
        </w:rPr>
        <w:t xml:space="preserve"> and </w:t>
      </w:r>
      <w:r w:rsidR="00CE7284">
        <w:rPr>
          <w:rFonts w:ascii="Times New Roman" w:hAnsi="Times New Roman" w:cs="Times New Roman"/>
        </w:rPr>
        <w:t>positive</w:t>
      </w:r>
      <w:r>
        <w:rPr>
          <w:rFonts w:ascii="Times New Roman" w:hAnsi="Times New Roman" w:cs="Times New Roman"/>
        </w:rPr>
        <w:t xml:space="preserve"> film were larger for migraineurs than controls</w:t>
      </w:r>
      <w:r w:rsidR="00CE7284">
        <w:rPr>
          <w:rFonts w:ascii="Times New Roman" w:hAnsi="Times New Roman" w:cs="Times New Roman"/>
        </w:rPr>
        <w:t xml:space="preserve"> (see Figure S4, and Table S2)</w:t>
      </w:r>
      <w:r>
        <w:rPr>
          <w:rFonts w:ascii="Times New Roman" w:hAnsi="Times New Roman" w:cs="Times New Roman"/>
        </w:rPr>
        <w:t>.</w:t>
      </w:r>
      <w:r w:rsidR="00CE7284">
        <w:rPr>
          <w:rFonts w:ascii="Times New Roman" w:hAnsi="Times New Roman" w:cs="Times New Roman"/>
        </w:rPr>
        <w:t xml:space="preserve"> A similar ANCOVA contrasting the negative and neutral films revealed no significant differences. </w:t>
      </w:r>
      <w:r w:rsidR="006F28A6">
        <w:rPr>
          <w:rFonts w:ascii="Times New Roman" w:hAnsi="Times New Roman" w:cs="Times New Roman"/>
        </w:rPr>
        <w:t>This interaction</w:t>
      </w:r>
      <w:r w:rsidR="00CE7284">
        <w:rPr>
          <w:rFonts w:ascii="Times New Roman" w:hAnsi="Times New Roman" w:cs="Times New Roman"/>
        </w:rPr>
        <w:t xml:space="preserve"> between migraine status and film (negative vs. positive)</w:t>
      </w:r>
      <w:r w:rsidR="006F28A6">
        <w:rPr>
          <w:rFonts w:ascii="Times New Roman" w:hAnsi="Times New Roman" w:cs="Times New Roman"/>
        </w:rPr>
        <w:t xml:space="preserve">, </w:t>
      </w:r>
      <w:r w:rsidR="00CE7284">
        <w:rPr>
          <w:rFonts w:ascii="Times New Roman" w:hAnsi="Times New Roman" w:cs="Times New Roman"/>
        </w:rPr>
        <w:t>suggest</w:t>
      </w:r>
      <w:r w:rsidR="00C336E3">
        <w:rPr>
          <w:rFonts w:ascii="Times New Roman" w:hAnsi="Times New Roman" w:cs="Times New Roman"/>
        </w:rPr>
        <w:t>s</w:t>
      </w:r>
      <w:r w:rsidR="00CE7284">
        <w:rPr>
          <w:rFonts w:ascii="Times New Roman" w:hAnsi="Times New Roman" w:cs="Times New Roman"/>
        </w:rPr>
        <w:t xml:space="preserve"> that</w:t>
      </w:r>
      <w:r w:rsidR="00C336E3">
        <w:rPr>
          <w:rFonts w:ascii="Times New Roman" w:hAnsi="Times New Roman" w:cs="Times New Roman"/>
        </w:rPr>
        <w:t xml:space="preserve"> the</w:t>
      </w:r>
      <w:r w:rsidR="00CE7284">
        <w:rPr>
          <w:rFonts w:ascii="Times New Roman" w:hAnsi="Times New Roman" w:cs="Times New Roman"/>
        </w:rPr>
        <w:t xml:space="preserve"> valence</w:t>
      </w:r>
      <w:r w:rsidR="00C336E3">
        <w:rPr>
          <w:rFonts w:ascii="Times New Roman" w:hAnsi="Times New Roman" w:cs="Times New Roman"/>
        </w:rPr>
        <w:t xml:space="preserve"> of emotional stimuli</w:t>
      </w:r>
      <w:r w:rsidR="00CE7284">
        <w:rPr>
          <w:rFonts w:ascii="Times New Roman" w:hAnsi="Times New Roman" w:cs="Times New Roman"/>
        </w:rPr>
        <w:t xml:space="preserve"> does contribute to differential processing in migraineurs relative to controls, supporting our decision to analyse each film separately in the main analysis</w:t>
      </w:r>
      <w:r w:rsidR="006F28A6">
        <w:rPr>
          <w:rFonts w:ascii="Times New Roman" w:hAnsi="Times New Roman" w:cs="Times New Roman"/>
        </w:rPr>
        <w:t>.</w:t>
      </w:r>
      <w:r w:rsidR="00CE7284">
        <w:rPr>
          <w:rFonts w:ascii="Times New Roman" w:hAnsi="Times New Roman" w:cs="Times New Roman"/>
        </w:rPr>
        <w:t xml:space="preserve"> It is important to remember that the films were not matched on their audiovisual features, and thus </w:t>
      </w:r>
      <w:r w:rsidR="00A97BC8">
        <w:rPr>
          <w:rFonts w:ascii="Times New Roman" w:hAnsi="Times New Roman" w:cs="Times New Roman"/>
        </w:rPr>
        <w:t xml:space="preserve">this supplementary analysis is only intended to </w:t>
      </w:r>
      <w:r w:rsidR="00C336E3">
        <w:rPr>
          <w:rFonts w:ascii="Times New Roman" w:hAnsi="Times New Roman" w:cs="Times New Roman"/>
        </w:rPr>
        <w:t>validate</w:t>
      </w:r>
      <w:r w:rsidR="00A97BC8">
        <w:rPr>
          <w:rFonts w:ascii="Times New Roman" w:hAnsi="Times New Roman" w:cs="Times New Roman"/>
        </w:rPr>
        <w:t xml:space="preserve"> our decision to analyse the films separately. Future studies could design films which are matched on audiovisual features, yet differ on valence and arousal, to better assess how different types of emotions contribute to differential functional connectivity patterns in migraine.</w:t>
      </w:r>
    </w:p>
    <w:p w14:paraId="5534EC62" w14:textId="77777777" w:rsidR="006F28A6" w:rsidRDefault="006F28A6" w:rsidP="005B3013">
      <w:pPr>
        <w:rPr>
          <w:rFonts w:ascii="Times New Roman" w:hAnsi="Times New Roman" w:cs="Times New Roman"/>
        </w:rPr>
      </w:pPr>
    </w:p>
    <w:p w14:paraId="6A5D58B2" w14:textId="43465844" w:rsidR="006F28A6" w:rsidRDefault="006F28A6" w:rsidP="005B3013">
      <w:pPr>
        <w:rPr>
          <w:rFonts w:ascii="Times New Roman" w:hAnsi="Times New Roman" w:cs="Times New Roman"/>
        </w:rPr>
      </w:pPr>
      <w:r>
        <w:rPr>
          <w:rFonts w:ascii="Times New Roman" w:hAnsi="Times New Roman" w:cs="Times New Roman"/>
          <w:b/>
          <w:bCs/>
        </w:rPr>
        <w:t>Figure S</w:t>
      </w:r>
      <w:r w:rsidR="00E1758B">
        <w:rPr>
          <w:rFonts w:ascii="Times New Roman" w:hAnsi="Times New Roman" w:cs="Times New Roman"/>
          <w:b/>
          <w:bCs/>
        </w:rPr>
        <w:t>4</w:t>
      </w:r>
    </w:p>
    <w:p w14:paraId="1A20907D" w14:textId="565FE75D" w:rsidR="006F28A6" w:rsidRPr="00836356" w:rsidRDefault="00E1758B" w:rsidP="005B3013">
      <w:pPr>
        <w:rPr>
          <w:rFonts w:ascii="Times New Roman" w:hAnsi="Times New Roman" w:cs="Times New Roman"/>
          <w:i/>
          <w:iCs/>
        </w:rPr>
      </w:pPr>
      <w:r>
        <w:rPr>
          <w:rFonts w:ascii="Times New Roman" w:hAnsi="Times New Roman" w:cs="Times New Roman"/>
          <w:i/>
          <w:iCs/>
        </w:rPr>
        <w:t>Migraine Status by Film Type (Negative vs. Positive)</w:t>
      </w:r>
      <w:r w:rsidR="006F28A6">
        <w:rPr>
          <w:rFonts w:ascii="Times New Roman" w:hAnsi="Times New Roman" w:cs="Times New Roman"/>
          <w:i/>
          <w:iCs/>
        </w:rPr>
        <w:t xml:space="preserve"> fc-MVPA </w:t>
      </w:r>
      <w:r>
        <w:rPr>
          <w:rFonts w:ascii="Times New Roman" w:hAnsi="Times New Roman" w:cs="Times New Roman"/>
          <w:i/>
          <w:iCs/>
        </w:rPr>
        <w:t>Interaction</w:t>
      </w:r>
    </w:p>
    <w:p w14:paraId="6E53CD7F" w14:textId="77777777" w:rsidR="006F28A6" w:rsidRPr="003A0FDD" w:rsidRDefault="006F28A6" w:rsidP="005B3013">
      <w:pPr>
        <w:rPr>
          <w:rFonts w:ascii="Times New Roman" w:hAnsi="Times New Roman" w:cs="Times New Roman"/>
          <w:lang w:val="en-US"/>
        </w:rPr>
      </w:pPr>
      <w:r w:rsidRPr="003A0FDD">
        <w:rPr>
          <w:rFonts w:ascii="Times New Roman" w:hAnsi="Times New Roman" w:cs="Times New Roman"/>
          <w:noProof/>
          <w:lang w:val="en-US"/>
        </w:rPr>
        <w:drawing>
          <wp:inline distT="0" distB="0" distL="0" distR="0" wp14:anchorId="470C05C3" wp14:editId="74A54245">
            <wp:extent cx="3223983" cy="2355115"/>
            <wp:effectExtent l="0" t="0" r="0" b="7620"/>
            <wp:docPr id="84742654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426547"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3223983" cy="2355115"/>
                    </a:xfrm>
                    <a:prstGeom prst="rect">
                      <a:avLst/>
                    </a:prstGeom>
                    <a:noFill/>
                    <a:ln>
                      <a:noFill/>
                    </a:ln>
                  </pic:spPr>
                </pic:pic>
              </a:graphicData>
            </a:graphic>
          </wp:inline>
        </w:drawing>
      </w:r>
    </w:p>
    <w:p w14:paraId="1FFF62EC" w14:textId="01D38B23" w:rsidR="006F28A6" w:rsidRDefault="006F28A6" w:rsidP="005B3013">
      <w:pPr>
        <w:rPr>
          <w:rFonts w:ascii="Times New Roman" w:hAnsi="Times New Roman" w:cs="Times New Roman"/>
        </w:rPr>
      </w:pPr>
      <w:r w:rsidRPr="00212C3B">
        <w:rPr>
          <w:rFonts w:ascii="Times New Roman" w:hAnsi="Times New Roman" w:cs="Times New Roman"/>
          <w:i/>
          <w:iCs/>
        </w:rPr>
        <w:t xml:space="preserve">Note. </w:t>
      </w:r>
      <w:r w:rsidRPr="00836356">
        <w:rPr>
          <w:rFonts w:ascii="Times New Roman" w:hAnsi="Times New Roman" w:cs="Times New Roman"/>
        </w:rPr>
        <w:t xml:space="preserve">The fc-MVPA revealed </w:t>
      </w:r>
      <w:r w:rsidR="00E1758B">
        <w:rPr>
          <w:rFonts w:ascii="Times New Roman" w:hAnsi="Times New Roman" w:cs="Times New Roman"/>
        </w:rPr>
        <w:t>four</w:t>
      </w:r>
      <w:r w:rsidRPr="00836356">
        <w:rPr>
          <w:rFonts w:ascii="Times New Roman" w:hAnsi="Times New Roman" w:cs="Times New Roman"/>
        </w:rPr>
        <w:t xml:space="preserve"> clusters of whole brain differential functional connectivity </w:t>
      </w:r>
      <w:r w:rsidR="00CE7284">
        <w:rPr>
          <w:rFonts w:ascii="Times New Roman" w:hAnsi="Times New Roman" w:cs="Times New Roman"/>
        </w:rPr>
        <w:t>in which whole-brain connectivity differences between the negative and positive film were larger for migraineurs than controls</w:t>
      </w:r>
      <w:r w:rsidRPr="00836356">
        <w:rPr>
          <w:rFonts w:ascii="Times New Roman" w:hAnsi="Times New Roman" w:cs="Times New Roman"/>
        </w:rPr>
        <w:t xml:space="preserve">. </w:t>
      </w:r>
      <w:r w:rsidR="00CE7284">
        <w:rPr>
          <w:rFonts w:ascii="Times New Roman" w:hAnsi="Times New Roman" w:cs="Times New Roman"/>
        </w:rPr>
        <w:t>These clusters included the left superior parietal lobule (SPL), right angular gyrus (</w:t>
      </w:r>
      <w:proofErr w:type="spellStart"/>
      <w:r w:rsidR="00CE7284">
        <w:rPr>
          <w:rFonts w:ascii="Times New Roman" w:hAnsi="Times New Roman" w:cs="Times New Roman"/>
        </w:rPr>
        <w:t>AnG</w:t>
      </w:r>
      <w:proofErr w:type="spellEnd"/>
      <w:r w:rsidR="00CE7284">
        <w:rPr>
          <w:rFonts w:ascii="Times New Roman" w:hAnsi="Times New Roman" w:cs="Times New Roman"/>
        </w:rPr>
        <w:t xml:space="preserve">), left lateral occipital cortex (LOC) white matter, and brain stem; but note that the brain stem and LOC clusters are not visible on this surface. </w:t>
      </w:r>
      <w:r w:rsidRPr="00836356">
        <w:rPr>
          <w:rFonts w:ascii="Times New Roman" w:hAnsi="Times New Roman" w:cs="Times New Roman"/>
        </w:rPr>
        <w:t xml:space="preserve">The clusters were identified using an uncorrected voxel-level threshold of p &lt; .001 and a cluster-size family-wise error corrected threshold of p-FWE &lt; .05. Images in this figure were generated in CONN </w:t>
      </w:r>
      <w:r>
        <w:rPr>
          <w:rFonts w:ascii="Times New Roman" w:hAnsi="Times New Roman" w:cs="Times New Roman"/>
        </w:rPr>
        <w:fldChar w:fldCharType="begin"/>
      </w:r>
      <w:r>
        <w:rPr>
          <w:rFonts w:ascii="Times New Roman" w:hAnsi="Times New Roman" w:cs="Times New Roman"/>
        </w:rPr>
        <w:instrText xml:space="preserve"> ADDIN ZOTERO_ITEM CSL_CITATION {"citationID":"uocmWwWA","properties":{"formattedCitation":"(Nieto-Castanon, 2022b; Whitfield-Gabrieli &amp; Nieto-Castanon, 2012)","plainCitation":"(Nieto-Castanon, 2022b; Whitfield-Gabrieli &amp; Nieto-Castanon, 2012)","noteIndex":0},"citationItems":[{"id":553,"uris":["http://zotero.org/groups/5836808/items/JIHJCL4W"],"itemData":{"id":553,"type":"article-journal","abstract":"Current functional Magnetic Resonance Imaging technology is able to resolve billions of individual functional connections characterizing the human connectome. Classical statistical inferential procedures attempting to make valid inferences across this many measures from a reduced set of observations and from a limited number of subjects can be severely underpowered for any but the largest effect sizes. This manuscript discusses fc-MVPA (functional connectivity Multivariate Pattern Analysis), a novel method using multivariate pattern analysis techniques in the context of brain-wide connectome inferences. The theory behind fc-MVPA is presented, and several of its key concepts are illustrated through examples from a publicly available resting state dataset, including an analysis of gender differences across the entire functional connectome. Finally, Monte Carlo simulations are used to demonstrate the validity and sensitivity of this method. In addition to offering powerful whole-brain inferences, fc-MVPA also provides a meaningful characterization of the heterogeneity in functional connectivity across subjects.","container-title":"PLOS Computational Biology","DOI":"10.1371/journal.pcbi.1010634","ISSN":"1553-7358","issue":"11","journalAbbreviation":"PLoS Comput Biol","language":"en","page":"e1010634","source":"DOI.org (Crossref)","title":"Brain-wide connectome inferences using functional connectivity MultiVariate Pattern Analyses (fc-MVPA)","volume":"18","author":[{"family":"Nieto-Castanon","given":"Alfonso"}],"editor":[{"family":"Marinazzo","given":"Daniele"}],"issued":{"date-parts":[["2022",11,15]]}}},{"id":933,"uris":["http://zotero.org/users/16246314/items/D4KN5I4M"],"itemData":{"id":933,"type":"article-journal","abstract":"Resting state functional connectivity reveals intrinsic, spontaneous networks that elucidate the functional architecture of the human brain. However, valid statistical analysis used to identify such networks must address sources of noise in order to avoid possible confounds such as spurious correlations based on non-neuronal sources. We have developed a functional connectivity toolbox Conn (www.nitrc.org/projects/conn) that implements the component-based noise correction method (CompCor) strategy for physiological and other noise source reduction, additional removal of movement, and temporal covariates, temporal filtering and windowing of the residual blood oxygen level-dependent (BOLD) contrast signal, first-level estimation of multiple standard functional connectivity magnetic resonance imaging (fcMRI) measures, and second-level random-effect analysis for resting state as well as task-related data. Compared to methods that rely on global signal regression, the CompCor noise reduction method allows for interpretation of anticorrelations as there is no regression of the global signal. The toolbox implements fcMRI measures, such as estimation of seed-to-voxel and region of interest (ROI)-to-ROI functional correlations, as well as semipartial correlation and bivariate/multivariate regression analysis for multiple ROI sources, graph theoretical analysis, and novel voxel-to-voxel analysis of functional connectivity. We describe the methods implemented in the Conn toolbox for the analysis of fcMRI data, together with examples of use and interscan reliability estimates of all the implemented fcMRI measures. The results indicate that the CompCor method increases the sensitivity and selectivity of fcMRI analysis, and show a high degree of interscan reliability for many fcMRI measures.","container-title":"Brain Connectivity","DOI":"10.1089/brain.2012.0073","ISSN":"2158-0014","issue":"3","note":"publisher: Mary Ann Liebert, Inc., publishers","page":"125-141","source":"liebertpub.com (Atypon)","title":"Conn: A Functional Connectivity Toolbox for Correlated and Anticorrelated Brain Networks","title-short":"Conn","volume":"2","author":[{"family":"Whitfield-Gabrieli","given":"Susan"},{"family":"Nieto-Castanon","given":"Alfonso"}],"issued":{"date-parts":[["2012",6]]}}}],"schema":"https://github.com/citation-style-language/schema/raw/master/csl-citation.json"} </w:instrText>
      </w:r>
      <w:r>
        <w:rPr>
          <w:rFonts w:ascii="Times New Roman" w:hAnsi="Times New Roman" w:cs="Times New Roman"/>
        </w:rPr>
        <w:fldChar w:fldCharType="separate"/>
      </w:r>
      <w:r>
        <w:rPr>
          <w:rFonts w:ascii="Times New Roman" w:hAnsi="Times New Roman" w:cs="Times New Roman"/>
          <w:noProof/>
        </w:rPr>
        <w:t>(Nieto-Castanon, 2022b; Whitfield-Gabrieli &amp; Nieto-Castanon, 2012)</w:t>
      </w:r>
      <w:r>
        <w:rPr>
          <w:rFonts w:ascii="Times New Roman" w:hAnsi="Times New Roman" w:cs="Times New Roman"/>
        </w:rPr>
        <w:fldChar w:fldCharType="end"/>
      </w:r>
      <w:r>
        <w:rPr>
          <w:rFonts w:ascii="Times New Roman" w:hAnsi="Times New Roman" w:cs="Times New Roman"/>
        </w:rPr>
        <w:t>.</w:t>
      </w:r>
    </w:p>
    <w:p w14:paraId="2382ACDC" w14:textId="77777777" w:rsidR="006F28A6" w:rsidRDefault="006F28A6" w:rsidP="005B3013">
      <w:pPr>
        <w:rPr>
          <w:rFonts w:ascii="Times New Roman" w:hAnsi="Times New Roman" w:cs="Times New Roman"/>
        </w:rPr>
      </w:pPr>
    </w:p>
    <w:p w14:paraId="132BD1A6" w14:textId="77777777" w:rsidR="005B3013" w:rsidRDefault="005B3013" w:rsidP="005B3013">
      <w:pPr>
        <w:rPr>
          <w:rFonts w:ascii="Times New Roman" w:hAnsi="Times New Roman" w:cs="Times New Roman"/>
          <w:b/>
          <w:bCs/>
        </w:rPr>
      </w:pPr>
      <w:r>
        <w:rPr>
          <w:rFonts w:ascii="Times New Roman" w:hAnsi="Times New Roman" w:cs="Times New Roman"/>
          <w:b/>
          <w:bCs/>
        </w:rPr>
        <w:br w:type="page"/>
      </w:r>
    </w:p>
    <w:p w14:paraId="672E4571" w14:textId="462BA37D" w:rsidR="006F28A6" w:rsidRPr="007F148A" w:rsidRDefault="006F28A6" w:rsidP="00AE30C0">
      <w:pPr>
        <w:rPr>
          <w:rFonts w:ascii="Times New Roman" w:hAnsi="Times New Roman" w:cs="Times New Roman"/>
          <w:b/>
          <w:bCs/>
        </w:rPr>
      </w:pPr>
      <w:r w:rsidRPr="00212C3B">
        <w:rPr>
          <w:rFonts w:ascii="Times New Roman" w:hAnsi="Times New Roman" w:cs="Times New Roman"/>
          <w:b/>
          <w:bCs/>
        </w:rPr>
        <w:lastRenderedPageBreak/>
        <w:t xml:space="preserve">Table </w:t>
      </w:r>
      <w:r>
        <w:rPr>
          <w:rFonts w:ascii="Times New Roman" w:hAnsi="Times New Roman" w:cs="Times New Roman"/>
          <w:b/>
          <w:bCs/>
        </w:rPr>
        <w:t>S</w:t>
      </w:r>
      <w:r w:rsidR="00E1758B">
        <w:rPr>
          <w:rFonts w:ascii="Times New Roman" w:hAnsi="Times New Roman" w:cs="Times New Roman"/>
          <w:b/>
          <w:bCs/>
        </w:rPr>
        <w:t>2</w:t>
      </w:r>
    </w:p>
    <w:p w14:paraId="752AF1DD" w14:textId="77777777" w:rsidR="006F28A6" w:rsidRPr="007F148A" w:rsidRDefault="006F28A6" w:rsidP="00AE30C0">
      <w:pPr>
        <w:rPr>
          <w:rFonts w:ascii="Times New Roman" w:hAnsi="Times New Roman" w:cs="Times New Roman"/>
          <w:i/>
          <w:iCs/>
        </w:rPr>
      </w:pPr>
      <w:r w:rsidRPr="007F148A">
        <w:rPr>
          <w:rFonts w:ascii="Times New Roman" w:hAnsi="Times New Roman" w:cs="Times New Roman"/>
          <w:i/>
          <w:iCs/>
        </w:rPr>
        <w:t>Results from</w:t>
      </w:r>
      <w:r>
        <w:rPr>
          <w:rFonts w:ascii="Times New Roman" w:hAnsi="Times New Roman" w:cs="Times New Roman"/>
          <w:i/>
          <w:iCs/>
        </w:rPr>
        <w:t xml:space="preserve"> supplementary</w:t>
      </w:r>
      <w:r w:rsidRPr="007F148A">
        <w:rPr>
          <w:rFonts w:ascii="Times New Roman" w:hAnsi="Times New Roman" w:cs="Times New Roman"/>
          <w:i/>
          <w:iCs/>
        </w:rPr>
        <w:t xml:space="preserve"> fc-MVPA for the negative valence/high arousal stimulus</w:t>
      </w:r>
    </w:p>
    <w:tbl>
      <w:tblPr>
        <w:tblW w:w="4163" w:type="pct"/>
        <w:tblBorders>
          <w:top w:val="single" w:sz="4" w:space="0" w:color="auto"/>
          <w:bottom w:val="single" w:sz="4" w:space="0" w:color="auto"/>
        </w:tblBorders>
        <w:tblLayout w:type="fixed"/>
        <w:tblCellMar>
          <w:top w:w="55" w:type="dxa"/>
          <w:left w:w="55" w:type="dxa"/>
          <w:bottom w:w="55" w:type="dxa"/>
          <w:right w:w="55" w:type="dxa"/>
        </w:tblCellMar>
        <w:tblLook w:val="04A0" w:firstRow="1" w:lastRow="0" w:firstColumn="1" w:lastColumn="0" w:noHBand="0" w:noVBand="1"/>
      </w:tblPr>
      <w:tblGrid>
        <w:gridCol w:w="2127"/>
        <w:gridCol w:w="659"/>
        <w:gridCol w:w="659"/>
        <w:gridCol w:w="667"/>
        <w:gridCol w:w="1135"/>
        <w:gridCol w:w="1280"/>
        <w:gridCol w:w="1266"/>
      </w:tblGrid>
      <w:tr w:rsidR="00E1758B" w:rsidRPr="007F148A" w14:paraId="58027BAC" w14:textId="77777777" w:rsidTr="00AE30C0">
        <w:trPr>
          <w:trHeight w:val="396"/>
        </w:trPr>
        <w:tc>
          <w:tcPr>
            <w:tcW w:w="1365" w:type="pct"/>
            <w:tcBorders>
              <w:top w:val="single" w:sz="4" w:space="0" w:color="auto"/>
              <w:bottom w:val="single" w:sz="4" w:space="0" w:color="auto"/>
            </w:tcBorders>
          </w:tcPr>
          <w:p w14:paraId="0B8DA81F" w14:textId="77777777" w:rsidR="00E1758B" w:rsidRPr="007F148A" w:rsidRDefault="00E1758B" w:rsidP="005B3013">
            <w:pPr>
              <w:pStyle w:val="TableContents"/>
              <w:rPr>
                <w:rFonts w:ascii="Times New Roman" w:eastAsia="Noto Sans Mono CJK SC" w:hAnsi="Times New Roman" w:cs="Liberation Mono"/>
                <w:b/>
                <w:bCs/>
                <w:sz w:val="20"/>
                <w:szCs w:val="20"/>
              </w:rPr>
            </w:pPr>
            <w:r w:rsidRPr="007F148A">
              <w:rPr>
                <w:rFonts w:ascii="Times New Roman" w:eastAsia="Noto Sans Mono CJK SC" w:hAnsi="Times New Roman" w:cs="Liberation Mono"/>
                <w:b/>
                <w:bCs/>
                <w:sz w:val="20"/>
                <w:szCs w:val="20"/>
              </w:rPr>
              <w:t>Cluster Location</w:t>
            </w:r>
          </w:p>
        </w:tc>
        <w:tc>
          <w:tcPr>
            <w:tcW w:w="1274" w:type="pct"/>
            <w:gridSpan w:val="3"/>
            <w:tcBorders>
              <w:top w:val="single" w:sz="4" w:space="0" w:color="auto"/>
              <w:bottom w:val="single" w:sz="4" w:space="0" w:color="auto"/>
            </w:tcBorders>
          </w:tcPr>
          <w:p w14:paraId="00939DAF" w14:textId="77777777" w:rsidR="00E1758B" w:rsidRPr="007F148A" w:rsidRDefault="00E1758B" w:rsidP="005B3013">
            <w:pPr>
              <w:pStyle w:val="TableContents"/>
              <w:jc w:val="center"/>
              <w:rPr>
                <w:rFonts w:ascii="Times New Roman" w:eastAsia="Noto Sans Mono CJK SC" w:hAnsi="Times New Roman" w:cs="Liberation Mono"/>
                <w:b/>
                <w:bCs/>
                <w:sz w:val="20"/>
                <w:szCs w:val="20"/>
              </w:rPr>
            </w:pPr>
            <w:r w:rsidRPr="007F148A">
              <w:rPr>
                <w:rFonts w:ascii="Times New Roman" w:eastAsia="Noto Sans Mono CJK SC" w:hAnsi="Times New Roman" w:cs="Liberation Mono"/>
                <w:b/>
                <w:bCs/>
                <w:sz w:val="20"/>
                <w:szCs w:val="20"/>
              </w:rPr>
              <w:t>Max Voxel Coordinates</w:t>
            </w:r>
          </w:p>
          <w:p w14:paraId="3A14F7B3" w14:textId="77777777" w:rsidR="00E1758B" w:rsidRPr="007F148A" w:rsidRDefault="00E1758B" w:rsidP="005B3013">
            <w:pPr>
              <w:pStyle w:val="TableContents"/>
              <w:jc w:val="center"/>
              <w:rPr>
                <w:rFonts w:ascii="Times New Roman" w:eastAsia="Noto Sans Mono CJK SC" w:hAnsi="Times New Roman" w:cs="Liberation Mono"/>
                <w:b/>
                <w:bCs/>
                <w:sz w:val="20"/>
                <w:szCs w:val="20"/>
              </w:rPr>
            </w:pPr>
            <w:r w:rsidRPr="007F148A">
              <w:rPr>
                <w:rFonts w:ascii="Times New Roman" w:eastAsia="Noto Sans Mono CJK SC" w:hAnsi="Times New Roman" w:cs="Liberation Mono"/>
                <w:b/>
                <w:bCs/>
                <w:sz w:val="20"/>
                <w:szCs w:val="20"/>
              </w:rPr>
              <w:t>(x, y, z)</w:t>
            </w:r>
          </w:p>
        </w:tc>
        <w:tc>
          <w:tcPr>
            <w:tcW w:w="725" w:type="pct"/>
            <w:tcBorders>
              <w:top w:val="single" w:sz="4" w:space="0" w:color="auto"/>
              <w:bottom w:val="single" w:sz="4" w:space="0" w:color="auto"/>
            </w:tcBorders>
          </w:tcPr>
          <w:p w14:paraId="516F5F8D" w14:textId="77777777" w:rsidR="00E1758B" w:rsidRDefault="00E1758B" w:rsidP="005B3013">
            <w:pPr>
              <w:pStyle w:val="TableContents"/>
              <w:jc w:val="right"/>
              <w:rPr>
                <w:rFonts w:ascii="Times New Roman" w:eastAsia="Noto Sans Mono CJK SC" w:hAnsi="Times New Roman" w:cs="Liberation Mono"/>
                <w:b/>
                <w:bCs/>
                <w:sz w:val="20"/>
                <w:szCs w:val="20"/>
              </w:rPr>
            </w:pPr>
            <w:r w:rsidRPr="007F148A">
              <w:rPr>
                <w:rFonts w:ascii="Times New Roman" w:eastAsia="Noto Sans Mono CJK SC" w:hAnsi="Times New Roman" w:cs="Liberation Mono"/>
                <w:b/>
                <w:bCs/>
                <w:sz w:val="20"/>
                <w:szCs w:val="20"/>
              </w:rPr>
              <w:t>Cluster</w:t>
            </w:r>
          </w:p>
          <w:p w14:paraId="38B17B24" w14:textId="77777777" w:rsidR="00E1758B" w:rsidRPr="007F148A" w:rsidRDefault="00E1758B" w:rsidP="005B3013">
            <w:pPr>
              <w:pStyle w:val="TableContents"/>
              <w:jc w:val="right"/>
              <w:rPr>
                <w:rFonts w:ascii="Times New Roman" w:eastAsia="Noto Sans Mono CJK SC" w:hAnsi="Times New Roman" w:cs="Liberation Mono"/>
                <w:b/>
                <w:bCs/>
                <w:sz w:val="20"/>
                <w:szCs w:val="20"/>
              </w:rPr>
            </w:pPr>
            <w:r w:rsidRPr="007F148A">
              <w:rPr>
                <w:rFonts w:ascii="Times New Roman" w:eastAsia="Noto Sans Mono CJK SC" w:hAnsi="Times New Roman" w:cs="Liberation Mono"/>
                <w:b/>
                <w:bCs/>
                <w:sz w:val="20"/>
                <w:szCs w:val="20"/>
              </w:rPr>
              <w:t>size</w:t>
            </w:r>
          </w:p>
        </w:tc>
        <w:tc>
          <w:tcPr>
            <w:tcW w:w="821" w:type="pct"/>
            <w:tcBorders>
              <w:top w:val="single" w:sz="4" w:space="0" w:color="auto"/>
              <w:bottom w:val="single" w:sz="4" w:space="0" w:color="auto"/>
            </w:tcBorders>
          </w:tcPr>
          <w:p w14:paraId="0BCDE288" w14:textId="77777777" w:rsidR="00E1758B" w:rsidRPr="00836356" w:rsidRDefault="00E1758B" w:rsidP="005B3013">
            <w:pPr>
              <w:pStyle w:val="TableContents"/>
              <w:jc w:val="right"/>
              <w:rPr>
                <w:rFonts w:ascii="Times New Roman" w:eastAsia="Noto Sans Mono CJK SC" w:hAnsi="Times New Roman" w:cs="Liberation Mono"/>
                <w:b/>
                <w:bCs/>
                <w:sz w:val="20"/>
                <w:szCs w:val="20"/>
              </w:rPr>
            </w:pPr>
            <w:r w:rsidRPr="00836356">
              <w:rPr>
                <w:rFonts w:ascii="Times New Roman" w:eastAsia="Noto Sans Mono CJK SC" w:hAnsi="Times New Roman" w:cs="Liberation Mono"/>
                <w:b/>
                <w:bCs/>
                <w:sz w:val="20"/>
                <w:szCs w:val="20"/>
              </w:rPr>
              <w:t xml:space="preserve">Max Voxel Statistic, </w:t>
            </w:r>
          </w:p>
          <w:p w14:paraId="747835B3" w14:textId="1D2C3282" w:rsidR="00E1758B" w:rsidRDefault="00E1758B" w:rsidP="005B3013">
            <w:pPr>
              <w:pStyle w:val="TableContents"/>
              <w:jc w:val="right"/>
              <w:rPr>
                <w:rFonts w:ascii="Times New Roman" w:eastAsia="Noto Sans Mono CJK SC" w:hAnsi="Times New Roman" w:cs="Liberation Mono"/>
                <w:sz w:val="16"/>
                <w:szCs w:val="16"/>
              </w:rPr>
            </w:pPr>
            <w:proofErr w:type="gramStart"/>
            <w:r w:rsidRPr="00836356">
              <w:rPr>
                <w:rFonts w:ascii="Times New Roman" w:eastAsia="Noto Sans Mono CJK SC" w:hAnsi="Times New Roman" w:cs="Liberation Mono"/>
                <w:i/>
                <w:iCs/>
                <w:sz w:val="16"/>
                <w:szCs w:val="16"/>
              </w:rPr>
              <w:t>F</w:t>
            </w:r>
            <w:r w:rsidRPr="00836356">
              <w:rPr>
                <w:rFonts w:ascii="Times New Roman" w:eastAsia="Noto Sans Mono CJK SC" w:hAnsi="Times New Roman" w:cs="Liberation Mono"/>
                <w:sz w:val="16"/>
                <w:szCs w:val="16"/>
              </w:rPr>
              <w:t>(</w:t>
            </w:r>
            <w:proofErr w:type="gramEnd"/>
            <w:r w:rsidRPr="00836356">
              <w:rPr>
                <w:rFonts w:ascii="Times New Roman" w:eastAsia="Noto Sans Mono CJK SC" w:hAnsi="Times New Roman" w:cs="Liberation Mono"/>
                <w:sz w:val="16"/>
                <w:szCs w:val="16"/>
              </w:rPr>
              <w:t>4, 1</w:t>
            </w:r>
            <w:r>
              <w:rPr>
                <w:rFonts w:ascii="Times New Roman" w:eastAsia="Noto Sans Mono CJK SC" w:hAnsi="Times New Roman" w:cs="Liberation Mono"/>
                <w:sz w:val="16"/>
                <w:szCs w:val="16"/>
              </w:rPr>
              <w:t>60</w:t>
            </w:r>
            <w:r w:rsidRPr="00836356">
              <w:rPr>
                <w:rFonts w:ascii="Times New Roman" w:eastAsia="Noto Sans Mono CJK SC" w:hAnsi="Times New Roman" w:cs="Liberation Mono"/>
                <w:sz w:val="16"/>
                <w:szCs w:val="16"/>
              </w:rPr>
              <w:t>) &gt; 4.8</w:t>
            </w:r>
            <w:r>
              <w:rPr>
                <w:rFonts w:ascii="Times New Roman" w:eastAsia="Noto Sans Mono CJK SC" w:hAnsi="Times New Roman" w:cs="Liberation Mono"/>
                <w:sz w:val="16"/>
                <w:szCs w:val="16"/>
              </w:rPr>
              <w:t>6</w:t>
            </w:r>
            <w:r w:rsidRPr="00836356">
              <w:rPr>
                <w:rFonts w:ascii="Times New Roman" w:eastAsia="Noto Sans Mono CJK SC" w:hAnsi="Times New Roman" w:cs="Liberation Mono"/>
                <w:sz w:val="16"/>
                <w:szCs w:val="16"/>
              </w:rPr>
              <w:t>,</w:t>
            </w:r>
          </w:p>
          <w:p w14:paraId="42B0FA01" w14:textId="333A48D6" w:rsidR="00E1758B" w:rsidRPr="00836356" w:rsidRDefault="00E1758B" w:rsidP="005B3013">
            <w:pPr>
              <w:pStyle w:val="TableContents"/>
              <w:jc w:val="right"/>
              <w:rPr>
                <w:rFonts w:ascii="Times New Roman" w:eastAsia="Noto Sans Mono CJK SC" w:hAnsi="Times New Roman" w:cs="Liberation Mono"/>
                <w:sz w:val="20"/>
                <w:szCs w:val="20"/>
              </w:rPr>
            </w:pPr>
            <w:r w:rsidRPr="00836356">
              <w:rPr>
                <w:rFonts w:ascii="Times New Roman" w:eastAsia="Noto Sans Mono CJK SC" w:hAnsi="Times New Roman" w:cs="Liberation Mono"/>
                <w:i/>
                <w:iCs/>
                <w:sz w:val="16"/>
                <w:szCs w:val="16"/>
              </w:rPr>
              <w:t>k</w:t>
            </w:r>
            <w:r w:rsidRPr="00836356">
              <w:rPr>
                <w:rFonts w:ascii="Times New Roman" w:eastAsia="Noto Sans Mono CJK SC" w:hAnsi="Times New Roman" w:cs="Liberation Mono"/>
                <w:sz w:val="16"/>
                <w:szCs w:val="16"/>
              </w:rPr>
              <w:t xml:space="preserve"> </w:t>
            </w:r>
            <w:r>
              <w:rPr>
                <w:rFonts w:ascii="Times New Roman" w:eastAsia="Noto Sans Mono CJK SC" w:hAnsi="Times New Roman" w:cs="Liberation Mono"/>
                <w:sz w:val="16"/>
                <w:szCs w:val="16"/>
              </w:rPr>
              <w:t>≥</w:t>
            </w:r>
            <w:r w:rsidRPr="00836356">
              <w:rPr>
                <w:rFonts w:ascii="Times New Roman" w:eastAsia="Noto Sans Mono CJK SC" w:hAnsi="Times New Roman" w:cs="Liberation Mono"/>
                <w:sz w:val="16"/>
                <w:szCs w:val="16"/>
              </w:rPr>
              <w:t xml:space="preserve"> </w:t>
            </w:r>
            <w:r>
              <w:rPr>
                <w:rFonts w:ascii="Times New Roman" w:eastAsia="Noto Sans Mono CJK SC" w:hAnsi="Times New Roman" w:cs="Liberation Mono"/>
                <w:sz w:val="16"/>
                <w:szCs w:val="16"/>
              </w:rPr>
              <w:t>8</w:t>
            </w:r>
          </w:p>
        </w:tc>
        <w:tc>
          <w:tcPr>
            <w:tcW w:w="815" w:type="pct"/>
            <w:tcBorders>
              <w:top w:val="single" w:sz="4" w:space="0" w:color="auto"/>
              <w:bottom w:val="single" w:sz="4" w:space="0" w:color="auto"/>
            </w:tcBorders>
          </w:tcPr>
          <w:p w14:paraId="1A73DA72" w14:textId="77777777" w:rsidR="00E1758B" w:rsidRDefault="00E1758B" w:rsidP="005B3013">
            <w:pPr>
              <w:pStyle w:val="TableContents"/>
              <w:jc w:val="right"/>
              <w:rPr>
                <w:rFonts w:ascii="Times New Roman" w:eastAsia="Noto Sans Mono CJK SC" w:hAnsi="Times New Roman" w:cs="Liberation Mono"/>
                <w:b/>
                <w:bCs/>
                <w:sz w:val="20"/>
                <w:szCs w:val="20"/>
              </w:rPr>
            </w:pPr>
            <w:r>
              <w:rPr>
                <w:rFonts w:ascii="Times New Roman" w:eastAsia="Noto Sans Mono CJK SC" w:hAnsi="Times New Roman" w:cs="Liberation Mono"/>
                <w:b/>
                <w:bCs/>
                <w:sz w:val="20"/>
                <w:szCs w:val="20"/>
              </w:rPr>
              <w:t>Cluster-s</w:t>
            </w:r>
            <w:r w:rsidRPr="007F148A">
              <w:rPr>
                <w:rFonts w:ascii="Times New Roman" w:eastAsia="Noto Sans Mono CJK SC" w:hAnsi="Times New Roman" w:cs="Liberation Mono"/>
                <w:b/>
                <w:bCs/>
                <w:sz w:val="20"/>
                <w:szCs w:val="20"/>
              </w:rPr>
              <w:t>ize</w:t>
            </w:r>
          </w:p>
          <w:p w14:paraId="69901856" w14:textId="77777777" w:rsidR="00E1758B" w:rsidRPr="007F148A" w:rsidRDefault="00E1758B" w:rsidP="005B3013">
            <w:pPr>
              <w:pStyle w:val="TableContents"/>
              <w:jc w:val="right"/>
              <w:rPr>
                <w:rFonts w:ascii="Times New Roman" w:eastAsia="Noto Sans Mono CJK SC" w:hAnsi="Times New Roman" w:cs="Liberation Mono"/>
                <w:b/>
                <w:bCs/>
                <w:sz w:val="20"/>
                <w:szCs w:val="20"/>
              </w:rPr>
            </w:pPr>
            <w:r w:rsidRPr="007F148A">
              <w:rPr>
                <w:rFonts w:ascii="Times New Roman" w:eastAsia="Noto Sans Mono CJK SC" w:hAnsi="Times New Roman" w:cs="Liberation Mono"/>
                <w:b/>
                <w:bCs/>
                <w:i/>
                <w:iCs/>
                <w:sz w:val="20"/>
                <w:szCs w:val="20"/>
              </w:rPr>
              <w:t>p</w:t>
            </w:r>
            <w:r w:rsidRPr="007F148A">
              <w:rPr>
                <w:rFonts w:ascii="Times New Roman" w:eastAsia="Noto Sans Mono CJK SC" w:hAnsi="Times New Roman" w:cs="Liberation Mono"/>
                <w:b/>
                <w:bCs/>
                <w:sz w:val="20"/>
                <w:szCs w:val="20"/>
              </w:rPr>
              <w:t>-FWE</w:t>
            </w:r>
          </w:p>
        </w:tc>
      </w:tr>
      <w:tr w:rsidR="00E1758B" w:rsidRPr="007F148A" w14:paraId="388644D4" w14:textId="77777777" w:rsidTr="00AE30C0">
        <w:trPr>
          <w:trHeight w:val="293"/>
        </w:trPr>
        <w:tc>
          <w:tcPr>
            <w:tcW w:w="1365" w:type="pct"/>
            <w:tcBorders>
              <w:top w:val="single" w:sz="4" w:space="0" w:color="auto"/>
            </w:tcBorders>
            <w:vAlign w:val="center"/>
          </w:tcPr>
          <w:p w14:paraId="724F6CEB" w14:textId="1676B690" w:rsidR="00E1758B" w:rsidRPr="007F148A" w:rsidRDefault="006B2214" w:rsidP="005B3013">
            <w:pPr>
              <w:pStyle w:val="TableContents"/>
              <w:rPr>
                <w:rFonts w:ascii="Times New Roman" w:eastAsia="Noto Sans Mono CJK SC" w:hAnsi="Times New Roman" w:cs="Liberation Mono"/>
                <w:sz w:val="20"/>
                <w:szCs w:val="20"/>
              </w:rPr>
            </w:pPr>
            <w:r>
              <w:rPr>
                <w:rFonts w:ascii="Times New Roman" w:eastAsia="Noto Sans Mono CJK SC" w:hAnsi="Times New Roman" w:cs="Liberation Mono"/>
                <w:sz w:val="20"/>
                <w:szCs w:val="20"/>
              </w:rPr>
              <w:t>Left SPL</w:t>
            </w:r>
          </w:p>
        </w:tc>
        <w:tc>
          <w:tcPr>
            <w:tcW w:w="423" w:type="pct"/>
            <w:tcBorders>
              <w:top w:val="single" w:sz="4" w:space="0" w:color="auto"/>
            </w:tcBorders>
            <w:vAlign w:val="center"/>
          </w:tcPr>
          <w:p w14:paraId="183C7EEE" w14:textId="5A7A43FE" w:rsidR="00E1758B" w:rsidRPr="007F148A" w:rsidRDefault="00E1758B" w:rsidP="005B3013">
            <w:pPr>
              <w:pStyle w:val="TableContents"/>
              <w:jc w:val="right"/>
              <w:rPr>
                <w:rFonts w:ascii="Times New Roman" w:hAnsi="Times New Roman"/>
                <w:sz w:val="20"/>
                <w:szCs w:val="20"/>
              </w:rPr>
            </w:pPr>
            <w:r>
              <w:rPr>
                <w:rFonts w:ascii="Times New Roman" w:hAnsi="Times New Roman"/>
                <w:sz w:val="20"/>
                <w:szCs w:val="20"/>
              </w:rPr>
              <w:t>- 42</w:t>
            </w:r>
          </w:p>
        </w:tc>
        <w:tc>
          <w:tcPr>
            <w:tcW w:w="423" w:type="pct"/>
            <w:tcBorders>
              <w:top w:val="single" w:sz="4" w:space="0" w:color="auto"/>
            </w:tcBorders>
            <w:vAlign w:val="center"/>
          </w:tcPr>
          <w:p w14:paraId="63DE4042" w14:textId="4C99B9ED" w:rsidR="00E1758B" w:rsidRPr="007F148A" w:rsidRDefault="00E1758B" w:rsidP="005B3013">
            <w:pPr>
              <w:pStyle w:val="TableContents"/>
              <w:jc w:val="right"/>
              <w:rPr>
                <w:rFonts w:ascii="Times New Roman" w:hAnsi="Times New Roman"/>
                <w:sz w:val="20"/>
                <w:szCs w:val="20"/>
              </w:rPr>
            </w:pPr>
            <w:r>
              <w:rPr>
                <w:rFonts w:ascii="Times New Roman" w:hAnsi="Times New Roman"/>
                <w:sz w:val="20"/>
                <w:szCs w:val="20"/>
              </w:rPr>
              <w:t>- 46</w:t>
            </w:r>
          </w:p>
        </w:tc>
        <w:tc>
          <w:tcPr>
            <w:tcW w:w="423" w:type="pct"/>
            <w:tcBorders>
              <w:top w:val="single" w:sz="4" w:space="0" w:color="auto"/>
            </w:tcBorders>
            <w:vAlign w:val="center"/>
          </w:tcPr>
          <w:p w14:paraId="60540EF9" w14:textId="016C6799" w:rsidR="00E1758B" w:rsidRPr="007F148A" w:rsidRDefault="00E1758B" w:rsidP="005B3013">
            <w:pPr>
              <w:pStyle w:val="TableContents"/>
              <w:jc w:val="right"/>
              <w:rPr>
                <w:rFonts w:ascii="Times New Roman" w:hAnsi="Times New Roman"/>
                <w:sz w:val="20"/>
                <w:szCs w:val="20"/>
              </w:rPr>
            </w:pPr>
            <w:r>
              <w:rPr>
                <w:rFonts w:ascii="Times New Roman" w:hAnsi="Times New Roman"/>
                <w:sz w:val="20"/>
                <w:szCs w:val="20"/>
              </w:rPr>
              <w:t>+ 50</w:t>
            </w:r>
          </w:p>
        </w:tc>
        <w:tc>
          <w:tcPr>
            <w:tcW w:w="728" w:type="pct"/>
            <w:tcBorders>
              <w:top w:val="single" w:sz="4" w:space="0" w:color="auto"/>
            </w:tcBorders>
            <w:vAlign w:val="center"/>
          </w:tcPr>
          <w:p w14:paraId="13CF4EFC" w14:textId="11115C99" w:rsidR="00E1758B" w:rsidRPr="007F148A" w:rsidRDefault="00E1758B" w:rsidP="005B3013">
            <w:pPr>
              <w:jc w:val="right"/>
              <w:rPr>
                <w:rFonts w:ascii="Times New Roman" w:eastAsia="Noto Sans Mono CJK SC" w:hAnsi="Times New Roman" w:cs="Times New Roman"/>
                <w:sz w:val="20"/>
                <w:szCs w:val="20"/>
              </w:rPr>
            </w:pPr>
            <w:r>
              <w:rPr>
                <w:rFonts w:ascii="Times New Roman" w:eastAsia="Noto Sans Mono CJK SC" w:hAnsi="Times New Roman" w:cs="Times New Roman"/>
                <w:sz w:val="20"/>
                <w:szCs w:val="20"/>
              </w:rPr>
              <w:t>8</w:t>
            </w:r>
          </w:p>
        </w:tc>
        <w:tc>
          <w:tcPr>
            <w:tcW w:w="821" w:type="pct"/>
            <w:tcBorders>
              <w:top w:val="single" w:sz="4" w:space="0" w:color="auto"/>
            </w:tcBorders>
            <w:vAlign w:val="center"/>
          </w:tcPr>
          <w:p w14:paraId="1315DBF0" w14:textId="0592D61D" w:rsidR="00E1758B" w:rsidRPr="007F148A" w:rsidDel="005342F6" w:rsidRDefault="00E1758B" w:rsidP="005B3013">
            <w:pPr>
              <w:pStyle w:val="TableContents"/>
              <w:jc w:val="right"/>
              <w:rPr>
                <w:rFonts w:ascii="Times New Roman" w:hAnsi="Times New Roman" w:cs="Times New Roman"/>
                <w:sz w:val="20"/>
                <w:szCs w:val="20"/>
              </w:rPr>
            </w:pPr>
            <w:r>
              <w:rPr>
                <w:rFonts w:ascii="Times New Roman" w:hAnsi="Times New Roman" w:cs="Times New Roman"/>
                <w:sz w:val="20"/>
                <w:szCs w:val="20"/>
              </w:rPr>
              <w:t>7.24</w:t>
            </w:r>
          </w:p>
        </w:tc>
        <w:tc>
          <w:tcPr>
            <w:tcW w:w="815" w:type="pct"/>
            <w:tcBorders>
              <w:top w:val="single" w:sz="4" w:space="0" w:color="auto"/>
            </w:tcBorders>
            <w:vAlign w:val="center"/>
          </w:tcPr>
          <w:p w14:paraId="48A3371E" w14:textId="49BEBFF8" w:rsidR="00E1758B" w:rsidRPr="007F148A" w:rsidRDefault="00E1758B" w:rsidP="005B3013">
            <w:pPr>
              <w:pStyle w:val="TableContents"/>
              <w:jc w:val="right"/>
              <w:rPr>
                <w:rFonts w:ascii="Times New Roman" w:eastAsia="Noto Sans Mono CJK SC" w:hAnsi="Times New Roman" w:cs="Times New Roman"/>
                <w:sz w:val="20"/>
                <w:szCs w:val="20"/>
              </w:rPr>
            </w:pPr>
            <w:r>
              <w:rPr>
                <w:rFonts w:ascii="Times New Roman" w:eastAsia="Noto Sans Mono CJK SC" w:hAnsi="Times New Roman" w:cs="Times New Roman"/>
                <w:sz w:val="20"/>
                <w:szCs w:val="20"/>
              </w:rPr>
              <w:t>.049799</w:t>
            </w:r>
          </w:p>
        </w:tc>
      </w:tr>
      <w:tr w:rsidR="00E1758B" w:rsidRPr="007F148A" w14:paraId="01FD5124" w14:textId="77777777" w:rsidTr="00AE30C0">
        <w:trPr>
          <w:trHeight w:val="293"/>
        </w:trPr>
        <w:tc>
          <w:tcPr>
            <w:tcW w:w="1365" w:type="pct"/>
            <w:vAlign w:val="center"/>
          </w:tcPr>
          <w:p w14:paraId="120B4512" w14:textId="06DE8366" w:rsidR="00E1758B" w:rsidRPr="007F148A" w:rsidRDefault="006B2214" w:rsidP="005B3013">
            <w:pPr>
              <w:pStyle w:val="TableContents"/>
              <w:rPr>
                <w:rFonts w:ascii="Times New Roman" w:eastAsia="Noto Sans Mono CJK SC" w:hAnsi="Times New Roman" w:cs="Liberation Mono"/>
                <w:sz w:val="20"/>
                <w:szCs w:val="20"/>
              </w:rPr>
            </w:pPr>
            <w:r>
              <w:rPr>
                <w:rFonts w:ascii="Times New Roman" w:eastAsia="Noto Sans Mono CJK SC" w:hAnsi="Times New Roman" w:cs="Liberation Mono"/>
                <w:sz w:val="20"/>
                <w:szCs w:val="20"/>
              </w:rPr>
              <w:t xml:space="preserve">Right </w:t>
            </w:r>
            <w:proofErr w:type="spellStart"/>
            <w:r>
              <w:rPr>
                <w:rFonts w:ascii="Times New Roman" w:eastAsia="Noto Sans Mono CJK SC" w:hAnsi="Times New Roman" w:cs="Liberation Mono"/>
                <w:sz w:val="20"/>
                <w:szCs w:val="20"/>
              </w:rPr>
              <w:t>AnG</w:t>
            </w:r>
            <w:proofErr w:type="spellEnd"/>
          </w:p>
        </w:tc>
        <w:tc>
          <w:tcPr>
            <w:tcW w:w="423" w:type="pct"/>
            <w:vAlign w:val="center"/>
          </w:tcPr>
          <w:p w14:paraId="32AD2DF1" w14:textId="675DC1A4" w:rsidR="00E1758B" w:rsidRPr="007F148A" w:rsidRDefault="00E1758B" w:rsidP="005B3013">
            <w:pPr>
              <w:pStyle w:val="TableContents"/>
              <w:jc w:val="right"/>
              <w:rPr>
                <w:rFonts w:ascii="Times New Roman" w:hAnsi="Times New Roman"/>
                <w:sz w:val="20"/>
                <w:szCs w:val="20"/>
              </w:rPr>
            </w:pPr>
            <w:r>
              <w:rPr>
                <w:rFonts w:ascii="Times New Roman" w:hAnsi="Times New Roman"/>
                <w:sz w:val="20"/>
                <w:szCs w:val="20"/>
              </w:rPr>
              <w:t>+ 60</w:t>
            </w:r>
          </w:p>
        </w:tc>
        <w:tc>
          <w:tcPr>
            <w:tcW w:w="423" w:type="pct"/>
            <w:vAlign w:val="center"/>
          </w:tcPr>
          <w:p w14:paraId="38C84C92" w14:textId="1BB3F0D4" w:rsidR="00E1758B" w:rsidRPr="007F148A" w:rsidRDefault="00E1758B" w:rsidP="005B3013">
            <w:pPr>
              <w:pStyle w:val="TableContents"/>
              <w:jc w:val="right"/>
              <w:rPr>
                <w:rFonts w:ascii="Times New Roman" w:hAnsi="Times New Roman"/>
                <w:sz w:val="20"/>
                <w:szCs w:val="20"/>
              </w:rPr>
            </w:pPr>
            <w:r>
              <w:rPr>
                <w:rFonts w:ascii="Times New Roman" w:hAnsi="Times New Roman"/>
                <w:sz w:val="20"/>
                <w:szCs w:val="20"/>
              </w:rPr>
              <w:t>- 54</w:t>
            </w:r>
          </w:p>
        </w:tc>
        <w:tc>
          <w:tcPr>
            <w:tcW w:w="423" w:type="pct"/>
            <w:vAlign w:val="center"/>
          </w:tcPr>
          <w:p w14:paraId="772E4498" w14:textId="4C3B2CD5" w:rsidR="00E1758B" w:rsidRPr="007F148A" w:rsidRDefault="00E1758B" w:rsidP="005B3013">
            <w:pPr>
              <w:pStyle w:val="TableContents"/>
              <w:jc w:val="right"/>
              <w:rPr>
                <w:rFonts w:ascii="Times New Roman" w:hAnsi="Times New Roman"/>
                <w:sz w:val="20"/>
                <w:szCs w:val="20"/>
              </w:rPr>
            </w:pPr>
            <w:r>
              <w:rPr>
                <w:rFonts w:ascii="Times New Roman" w:hAnsi="Times New Roman"/>
                <w:sz w:val="20"/>
                <w:szCs w:val="20"/>
              </w:rPr>
              <w:t>+ 26</w:t>
            </w:r>
          </w:p>
        </w:tc>
        <w:tc>
          <w:tcPr>
            <w:tcW w:w="728" w:type="pct"/>
            <w:vAlign w:val="center"/>
          </w:tcPr>
          <w:p w14:paraId="450A66F7" w14:textId="19610BA9" w:rsidR="00E1758B" w:rsidRPr="007F148A" w:rsidRDefault="00E1758B" w:rsidP="005B3013">
            <w:pPr>
              <w:jc w:val="right"/>
              <w:rPr>
                <w:rFonts w:ascii="Times New Roman" w:eastAsia="Noto Sans Mono CJK SC" w:hAnsi="Times New Roman" w:cs="Times New Roman"/>
                <w:sz w:val="20"/>
                <w:szCs w:val="20"/>
              </w:rPr>
            </w:pPr>
            <w:r>
              <w:rPr>
                <w:rFonts w:ascii="Times New Roman" w:eastAsia="Noto Sans Mono CJK SC" w:hAnsi="Times New Roman" w:cs="Times New Roman"/>
                <w:sz w:val="20"/>
                <w:szCs w:val="20"/>
              </w:rPr>
              <w:t>8</w:t>
            </w:r>
          </w:p>
        </w:tc>
        <w:tc>
          <w:tcPr>
            <w:tcW w:w="821" w:type="pct"/>
            <w:vAlign w:val="center"/>
          </w:tcPr>
          <w:p w14:paraId="3B1CF35D" w14:textId="40827CE4" w:rsidR="00E1758B" w:rsidRPr="007F148A" w:rsidDel="005342F6" w:rsidRDefault="00E1758B" w:rsidP="005B3013">
            <w:pPr>
              <w:jc w:val="right"/>
              <w:rPr>
                <w:rFonts w:ascii="Times New Roman" w:eastAsia="Noto Sans Mono CJK SC" w:hAnsi="Times New Roman" w:cs="Times New Roman"/>
                <w:sz w:val="20"/>
                <w:szCs w:val="20"/>
              </w:rPr>
            </w:pPr>
            <w:r>
              <w:rPr>
                <w:rFonts w:ascii="Times New Roman" w:eastAsia="Noto Sans Mono CJK SC" w:hAnsi="Times New Roman" w:cs="Times New Roman"/>
                <w:sz w:val="20"/>
                <w:szCs w:val="20"/>
              </w:rPr>
              <w:t>6.19</w:t>
            </w:r>
          </w:p>
        </w:tc>
        <w:tc>
          <w:tcPr>
            <w:tcW w:w="815" w:type="pct"/>
            <w:vAlign w:val="center"/>
          </w:tcPr>
          <w:p w14:paraId="60B10442" w14:textId="10B5DF3B" w:rsidR="00E1758B" w:rsidRPr="007F148A" w:rsidRDefault="00E1758B" w:rsidP="005B3013">
            <w:pPr>
              <w:jc w:val="right"/>
              <w:rPr>
                <w:rFonts w:ascii="Times New Roman" w:eastAsia="Noto Sans Mono CJK SC" w:hAnsi="Times New Roman" w:cs="Times New Roman"/>
                <w:sz w:val="20"/>
                <w:szCs w:val="20"/>
              </w:rPr>
            </w:pPr>
            <w:r>
              <w:rPr>
                <w:rFonts w:ascii="Times New Roman" w:eastAsia="Noto Sans Mono CJK SC" w:hAnsi="Times New Roman" w:cs="Times New Roman"/>
                <w:sz w:val="20"/>
                <w:szCs w:val="20"/>
              </w:rPr>
              <w:t>.049799</w:t>
            </w:r>
          </w:p>
        </w:tc>
      </w:tr>
      <w:tr w:rsidR="00E1758B" w:rsidRPr="007F148A" w14:paraId="2CD7EDBD" w14:textId="77777777" w:rsidTr="00AE30C0">
        <w:trPr>
          <w:trHeight w:val="293"/>
        </w:trPr>
        <w:tc>
          <w:tcPr>
            <w:tcW w:w="1365" w:type="pct"/>
            <w:vAlign w:val="center"/>
          </w:tcPr>
          <w:p w14:paraId="6E1E7A89" w14:textId="415EA861" w:rsidR="00E1758B" w:rsidRPr="007F148A" w:rsidRDefault="006B2214" w:rsidP="005B3013">
            <w:pPr>
              <w:pStyle w:val="TableContents"/>
              <w:rPr>
                <w:rFonts w:ascii="Times New Roman" w:eastAsia="Noto Sans Mono CJK SC" w:hAnsi="Times New Roman" w:cs="Liberation Mono"/>
                <w:sz w:val="20"/>
                <w:szCs w:val="20"/>
              </w:rPr>
            </w:pPr>
            <w:r>
              <w:rPr>
                <w:rFonts w:ascii="Times New Roman" w:eastAsia="Noto Sans Mono CJK SC" w:hAnsi="Times New Roman" w:cs="Liberation Mono"/>
                <w:sz w:val="20"/>
                <w:szCs w:val="20"/>
              </w:rPr>
              <w:t>Left LOC white matter</w:t>
            </w:r>
          </w:p>
        </w:tc>
        <w:tc>
          <w:tcPr>
            <w:tcW w:w="423" w:type="pct"/>
            <w:vAlign w:val="center"/>
          </w:tcPr>
          <w:p w14:paraId="6CE88870" w14:textId="1359B6C0" w:rsidR="00E1758B" w:rsidRPr="007F148A" w:rsidRDefault="00E1758B" w:rsidP="005B3013">
            <w:pPr>
              <w:pStyle w:val="TableContents"/>
              <w:jc w:val="right"/>
              <w:rPr>
                <w:rFonts w:ascii="Times New Roman" w:hAnsi="Times New Roman"/>
                <w:sz w:val="20"/>
                <w:szCs w:val="20"/>
              </w:rPr>
            </w:pPr>
            <w:r>
              <w:rPr>
                <w:rFonts w:ascii="Times New Roman" w:hAnsi="Times New Roman"/>
                <w:sz w:val="20"/>
                <w:szCs w:val="20"/>
              </w:rPr>
              <w:t>- 30</w:t>
            </w:r>
          </w:p>
        </w:tc>
        <w:tc>
          <w:tcPr>
            <w:tcW w:w="423" w:type="pct"/>
            <w:vAlign w:val="center"/>
          </w:tcPr>
          <w:p w14:paraId="2FC731DD" w14:textId="51A94A98" w:rsidR="00E1758B" w:rsidRPr="007F148A" w:rsidRDefault="00E1758B" w:rsidP="005B3013">
            <w:pPr>
              <w:pStyle w:val="TableContents"/>
              <w:jc w:val="right"/>
              <w:rPr>
                <w:rFonts w:ascii="Times New Roman" w:hAnsi="Times New Roman"/>
                <w:sz w:val="20"/>
                <w:szCs w:val="20"/>
              </w:rPr>
            </w:pPr>
            <w:r>
              <w:rPr>
                <w:rFonts w:ascii="Times New Roman" w:hAnsi="Times New Roman"/>
                <w:sz w:val="20"/>
                <w:szCs w:val="20"/>
              </w:rPr>
              <w:t>- 68</w:t>
            </w:r>
          </w:p>
        </w:tc>
        <w:tc>
          <w:tcPr>
            <w:tcW w:w="423" w:type="pct"/>
            <w:vAlign w:val="center"/>
          </w:tcPr>
          <w:p w14:paraId="07D0CAD3" w14:textId="341AFBCA" w:rsidR="00E1758B" w:rsidRPr="007F148A" w:rsidRDefault="00E1758B" w:rsidP="005B3013">
            <w:pPr>
              <w:pStyle w:val="TableContents"/>
              <w:jc w:val="right"/>
              <w:rPr>
                <w:rFonts w:ascii="Times New Roman" w:hAnsi="Times New Roman"/>
                <w:sz w:val="20"/>
                <w:szCs w:val="20"/>
              </w:rPr>
            </w:pPr>
            <w:r>
              <w:rPr>
                <w:rFonts w:ascii="Times New Roman" w:hAnsi="Times New Roman"/>
                <w:sz w:val="20"/>
                <w:szCs w:val="20"/>
              </w:rPr>
              <w:t>+ 14</w:t>
            </w:r>
          </w:p>
        </w:tc>
        <w:tc>
          <w:tcPr>
            <w:tcW w:w="728" w:type="pct"/>
            <w:vAlign w:val="center"/>
          </w:tcPr>
          <w:p w14:paraId="7001A477" w14:textId="4D2080FB" w:rsidR="00E1758B" w:rsidRPr="007F148A" w:rsidRDefault="00E1758B" w:rsidP="005B3013">
            <w:pPr>
              <w:jc w:val="right"/>
              <w:rPr>
                <w:rFonts w:ascii="Times New Roman" w:eastAsia="Noto Sans Mono CJK SC" w:hAnsi="Times New Roman" w:cs="Times New Roman"/>
                <w:sz w:val="20"/>
                <w:szCs w:val="20"/>
              </w:rPr>
            </w:pPr>
            <w:r>
              <w:rPr>
                <w:rFonts w:ascii="Times New Roman" w:eastAsia="Noto Sans Mono CJK SC" w:hAnsi="Times New Roman" w:cs="Times New Roman"/>
                <w:sz w:val="20"/>
                <w:szCs w:val="20"/>
              </w:rPr>
              <w:t>8</w:t>
            </w:r>
          </w:p>
        </w:tc>
        <w:tc>
          <w:tcPr>
            <w:tcW w:w="821" w:type="pct"/>
            <w:vAlign w:val="center"/>
          </w:tcPr>
          <w:p w14:paraId="0A0F62B1" w14:textId="67EB0E74" w:rsidR="00E1758B" w:rsidRPr="007F148A" w:rsidDel="005342F6" w:rsidRDefault="00E1758B" w:rsidP="005B3013">
            <w:pPr>
              <w:jc w:val="right"/>
              <w:rPr>
                <w:rFonts w:ascii="Times New Roman" w:eastAsia="Noto Sans Mono CJK SC" w:hAnsi="Times New Roman" w:cs="Times New Roman"/>
                <w:sz w:val="20"/>
                <w:szCs w:val="20"/>
              </w:rPr>
            </w:pPr>
            <w:r>
              <w:rPr>
                <w:rFonts w:ascii="Times New Roman" w:eastAsia="Noto Sans Mono CJK SC" w:hAnsi="Times New Roman" w:cs="Times New Roman"/>
                <w:sz w:val="20"/>
                <w:szCs w:val="20"/>
              </w:rPr>
              <w:t>5.70</w:t>
            </w:r>
          </w:p>
        </w:tc>
        <w:tc>
          <w:tcPr>
            <w:tcW w:w="815" w:type="pct"/>
            <w:vAlign w:val="center"/>
          </w:tcPr>
          <w:p w14:paraId="0B49E4B7" w14:textId="1F2ACF81" w:rsidR="00E1758B" w:rsidRPr="007F148A" w:rsidRDefault="00E1758B" w:rsidP="005B3013">
            <w:pPr>
              <w:jc w:val="right"/>
              <w:rPr>
                <w:rFonts w:ascii="Times New Roman" w:eastAsia="Noto Sans Mono CJK SC" w:hAnsi="Times New Roman" w:cs="Times New Roman"/>
                <w:sz w:val="20"/>
                <w:szCs w:val="20"/>
              </w:rPr>
            </w:pPr>
            <w:r>
              <w:rPr>
                <w:rFonts w:ascii="Times New Roman" w:eastAsia="Noto Sans Mono CJK SC" w:hAnsi="Times New Roman" w:cs="Times New Roman"/>
                <w:sz w:val="20"/>
                <w:szCs w:val="20"/>
              </w:rPr>
              <w:t>.049799</w:t>
            </w:r>
          </w:p>
        </w:tc>
      </w:tr>
      <w:tr w:rsidR="00E1758B" w:rsidRPr="007F148A" w14:paraId="25E3705C" w14:textId="77777777" w:rsidTr="00AE30C0">
        <w:trPr>
          <w:trHeight w:val="293"/>
        </w:trPr>
        <w:tc>
          <w:tcPr>
            <w:tcW w:w="1365" w:type="pct"/>
            <w:vAlign w:val="center"/>
          </w:tcPr>
          <w:p w14:paraId="72C83A68" w14:textId="1BFDED63" w:rsidR="00E1758B" w:rsidRPr="007F148A" w:rsidRDefault="00E1758B" w:rsidP="005B3013">
            <w:pPr>
              <w:pStyle w:val="TableContents"/>
              <w:rPr>
                <w:rFonts w:ascii="Times New Roman" w:eastAsia="Noto Sans Mono CJK SC" w:hAnsi="Times New Roman" w:cs="Liberation Mono"/>
                <w:sz w:val="20"/>
                <w:szCs w:val="20"/>
              </w:rPr>
            </w:pPr>
            <w:r>
              <w:rPr>
                <w:rFonts w:ascii="Times New Roman" w:eastAsia="Noto Sans Mono CJK SC" w:hAnsi="Times New Roman" w:cs="Liberation Mono"/>
                <w:sz w:val="20"/>
                <w:szCs w:val="20"/>
              </w:rPr>
              <w:t xml:space="preserve">Brain </w:t>
            </w:r>
            <w:r w:rsidR="006B2214">
              <w:rPr>
                <w:rFonts w:ascii="Times New Roman" w:eastAsia="Noto Sans Mono CJK SC" w:hAnsi="Times New Roman" w:cs="Liberation Mono"/>
                <w:sz w:val="20"/>
                <w:szCs w:val="20"/>
              </w:rPr>
              <w:t>s</w:t>
            </w:r>
            <w:r>
              <w:rPr>
                <w:rFonts w:ascii="Times New Roman" w:eastAsia="Noto Sans Mono CJK SC" w:hAnsi="Times New Roman" w:cs="Liberation Mono"/>
                <w:sz w:val="20"/>
                <w:szCs w:val="20"/>
              </w:rPr>
              <w:t>tem</w:t>
            </w:r>
          </w:p>
        </w:tc>
        <w:tc>
          <w:tcPr>
            <w:tcW w:w="423" w:type="pct"/>
            <w:vAlign w:val="center"/>
          </w:tcPr>
          <w:p w14:paraId="6A2D66B4" w14:textId="402A403E" w:rsidR="00E1758B" w:rsidRPr="007F148A" w:rsidRDefault="00E1758B" w:rsidP="005B3013">
            <w:pPr>
              <w:pStyle w:val="TableContents"/>
              <w:jc w:val="right"/>
              <w:rPr>
                <w:rFonts w:ascii="Times New Roman" w:hAnsi="Times New Roman"/>
                <w:sz w:val="20"/>
                <w:szCs w:val="20"/>
              </w:rPr>
            </w:pPr>
            <w:r>
              <w:rPr>
                <w:rFonts w:ascii="Times New Roman" w:hAnsi="Times New Roman"/>
                <w:sz w:val="20"/>
                <w:szCs w:val="20"/>
              </w:rPr>
              <w:t>+ 4</w:t>
            </w:r>
          </w:p>
        </w:tc>
        <w:tc>
          <w:tcPr>
            <w:tcW w:w="423" w:type="pct"/>
            <w:vAlign w:val="center"/>
          </w:tcPr>
          <w:p w14:paraId="6AC9F8D4" w14:textId="2244F3B0" w:rsidR="00E1758B" w:rsidRPr="007F148A" w:rsidRDefault="00E1758B" w:rsidP="005B3013">
            <w:pPr>
              <w:pStyle w:val="TableContents"/>
              <w:jc w:val="right"/>
              <w:rPr>
                <w:rFonts w:ascii="Times New Roman" w:hAnsi="Times New Roman"/>
                <w:sz w:val="20"/>
                <w:szCs w:val="20"/>
              </w:rPr>
            </w:pPr>
            <w:r>
              <w:rPr>
                <w:rFonts w:ascii="Times New Roman" w:hAnsi="Times New Roman"/>
                <w:sz w:val="20"/>
                <w:szCs w:val="20"/>
              </w:rPr>
              <w:t>- 34</w:t>
            </w:r>
          </w:p>
        </w:tc>
        <w:tc>
          <w:tcPr>
            <w:tcW w:w="423" w:type="pct"/>
            <w:vAlign w:val="center"/>
          </w:tcPr>
          <w:p w14:paraId="615BDD5E" w14:textId="5EDBB60F" w:rsidR="00E1758B" w:rsidRPr="007F148A" w:rsidRDefault="00E1758B" w:rsidP="005B3013">
            <w:pPr>
              <w:pStyle w:val="TableContents"/>
              <w:jc w:val="right"/>
              <w:rPr>
                <w:rFonts w:ascii="Times New Roman" w:hAnsi="Times New Roman"/>
                <w:sz w:val="20"/>
                <w:szCs w:val="20"/>
              </w:rPr>
            </w:pPr>
            <w:r>
              <w:rPr>
                <w:rFonts w:ascii="Times New Roman" w:hAnsi="Times New Roman"/>
                <w:sz w:val="20"/>
                <w:szCs w:val="20"/>
              </w:rPr>
              <w:t>- 58</w:t>
            </w:r>
          </w:p>
        </w:tc>
        <w:tc>
          <w:tcPr>
            <w:tcW w:w="728" w:type="pct"/>
            <w:vAlign w:val="center"/>
          </w:tcPr>
          <w:p w14:paraId="1C483ED6" w14:textId="5D993E09" w:rsidR="00E1758B" w:rsidRPr="007F148A" w:rsidRDefault="00E1758B" w:rsidP="005B3013">
            <w:pPr>
              <w:jc w:val="right"/>
              <w:rPr>
                <w:rFonts w:ascii="Times New Roman" w:eastAsia="Noto Sans Mono CJK SC" w:hAnsi="Times New Roman" w:cs="Times New Roman"/>
                <w:sz w:val="20"/>
                <w:szCs w:val="20"/>
              </w:rPr>
            </w:pPr>
            <w:r>
              <w:rPr>
                <w:rFonts w:ascii="Times New Roman" w:eastAsia="Noto Sans Mono CJK SC" w:hAnsi="Times New Roman" w:cs="Times New Roman"/>
                <w:sz w:val="20"/>
                <w:szCs w:val="20"/>
              </w:rPr>
              <w:t>8</w:t>
            </w:r>
          </w:p>
        </w:tc>
        <w:tc>
          <w:tcPr>
            <w:tcW w:w="821" w:type="pct"/>
            <w:vAlign w:val="center"/>
          </w:tcPr>
          <w:p w14:paraId="1A9F497F" w14:textId="2CC94A0B" w:rsidR="00E1758B" w:rsidRPr="007F148A" w:rsidDel="005342F6" w:rsidRDefault="00E1758B" w:rsidP="005B3013">
            <w:pPr>
              <w:jc w:val="right"/>
              <w:rPr>
                <w:rFonts w:ascii="Times New Roman" w:eastAsia="Noto Sans Mono CJK SC" w:hAnsi="Times New Roman" w:cs="Times New Roman"/>
                <w:sz w:val="20"/>
                <w:szCs w:val="20"/>
              </w:rPr>
            </w:pPr>
            <w:r>
              <w:rPr>
                <w:rFonts w:ascii="Times New Roman" w:eastAsia="Noto Sans Mono CJK SC" w:hAnsi="Times New Roman" w:cs="Times New Roman"/>
                <w:sz w:val="20"/>
                <w:szCs w:val="20"/>
              </w:rPr>
              <w:t>5.18</w:t>
            </w:r>
          </w:p>
        </w:tc>
        <w:tc>
          <w:tcPr>
            <w:tcW w:w="815" w:type="pct"/>
            <w:vAlign w:val="center"/>
          </w:tcPr>
          <w:p w14:paraId="6BD357FD" w14:textId="115A7FD3" w:rsidR="00E1758B" w:rsidRPr="007F148A" w:rsidRDefault="00E1758B" w:rsidP="005B3013">
            <w:pPr>
              <w:jc w:val="right"/>
              <w:rPr>
                <w:rFonts w:ascii="Times New Roman" w:eastAsia="Noto Sans Mono CJK SC" w:hAnsi="Times New Roman" w:cs="Times New Roman"/>
                <w:sz w:val="20"/>
                <w:szCs w:val="20"/>
              </w:rPr>
            </w:pPr>
            <w:r>
              <w:rPr>
                <w:rFonts w:ascii="Times New Roman" w:eastAsia="Noto Sans Mono CJK SC" w:hAnsi="Times New Roman" w:cs="Times New Roman"/>
                <w:sz w:val="20"/>
                <w:szCs w:val="20"/>
              </w:rPr>
              <w:t>.049799</w:t>
            </w:r>
          </w:p>
        </w:tc>
      </w:tr>
    </w:tbl>
    <w:p w14:paraId="3DBA5033" w14:textId="48B18565" w:rsidR="003A0FDD" w:rsidRDefault="006F28A6" w:rsidP="005B3013">
      <w:pPr>
        <w:rPr>
          <w:rFonts w:ascii="Times New Roman" w:hAnsi="Times New Roman" w:cs="Times New Roman"/>
        </w:rPr>
      </w:pPr>
      <w:r w:rsidRPr="00212C3B">
        <w:rPr>
          <w:rFonts w:ascii="Times New Roman" w:hAnsi="Times New Roman" w:cs="Times New Roman"/>
          <w:i/>
          <w:iCs/>
        </w:rPr>
        <w:t xml:space="preserve">Note. </w:t>
      </w:r>
      <w:r w:rsidRPr="00212C3B">
        <w:rPr>
          <w:rFonts w:ascii="Times New Roman" w:hAnsi="Times New Roman" w:cs="Times New Roman"/>
        </w:rPr>
        <w:t xml:space="preserve">Coordinates are in MNI space. The networks of the clusters were determined using custom Python code which quantified the percentage overlap between the cluster and each network of the Yeo-17 atlas </w:t>
      </w:r>
      <w:r w:rsidRPr="00212C3B">
        <w:rPr>
          <w:rFonts w:ascii="Times New Roman" w:hAnsi="Times New Roman" w:cs="Times New Roman"/>
        </w:rPr>
        <w:fldChar w:fldCharType="begin"/>
      </w:r>
      <w:r w:rsidRPr="00212C3B">
        <w:rPr>
          <w:rFonts w:ascii="Times New Roman" w:hAnsi="Times New Roman" w:cs="Times New Roman"/>
        </w:rPr>
        <w:instrText xml:space="preserve"> ADDIN ZOTERO_ITEM CSL_CITATION {"citationID":"UZfOjA12","properties":{"formattedCitation":"(Thomas Yeo et al., 2011)","plainCitation":"(Thomas Yeo et al., 2011)","noteIndex":0},"citationItems":[{"id":1226,"uris":["http://zotero.org/users/16246314/items/DFXGPSKU"],"itemData":{"id":1226,"type":"article-journal","abstract":"Information processing in the cerebral cortex involves interactions among distributed areas. Anatomical connectivity suggests that certain areas form local hierarchical relations such as within the visual system. Other connectivity patterns, particularly among association areas, suggest the presence of large-scale circuits without clear hierarchical relations. In this study the organization of networks in the human cerebrum was explored using resting-state functional connectivity MRI. Data from 1,000 subjects were registered using surface-based alignment. A clustering approach was employed to identify and replicate networks of functionally coupled regions across the cerebral cortex. The results revealed local networks confined to sensory and motor cortices as well as distributed networks of association regions. Within the sensory and motor cortices, functional connectivity followed topographic representations across adjacent areas. In association cortex, the connectivity patterns often showed abrupt transitions between network boundaries. Focused analyses were performed to better understand properties of network connectivity. A canonical sensory-motor pathway involving primary visual area, putative middle temporal area complex (MT+), lateral intraparietal area, and frontal eye field was analyzed to explore how interactions might arise within and between networks. Results showed that adjacent regions of the MT+ complex demonstrate differential connectivity consistent with a hierarchical pathway that spans networks. The functional connectivity of parietal and prefrontal association cortices was next explored. Distinct connectivity profiles of neighboring regions suggest they participate in distributed networks that, while showing evidence for interactions, are embedded within largely parallel, interdigitated circuits. We conclude by discussing the organization of these large-scale cerebral networks in relation to monkey anatomy and their potential evolutionary expansion in humans to support cognition.","container-title":"Journal of Neurophysiology","DOI":"10.1152/jn.00338.2011","ISSN":"0022-3077","issue":"3","note":"publisher: American Physiological Society","page":"1125-1165","source":"journals.physiology.org (Atypon)","title":"The organization of the human cerebral cortex estimated by intrinsic functional connectivity","volume":"106","author":[{"family":"Thomas Yeo","given":"B. T."},{"family":"Krienen","given":"Fenna M."},{"family":"Sepulcre","given":"Jorge"},{"family":"Sabuncu","given":"Mert R."},{"family":"Lashkari","given":"Danial"},{"family":"Hollinshead","given":"Marisa"},{"family":"Roffman","given":"Joshua L."},{"family":"Smoller","given":"Jordan W."},{"family":"Zöllei","given":"Lilla"},{"family":"Polimeni","given":"Jonathan R."},{"family":"Fischl","given":"Bruce"},{"family":"Liu","given":"Hesheng"},{"family":"Buckner","given":"Randy L."}],"issued":{"date-parts":[["2011",9]]}}}],"schema":"https://github.com/citation-style-language/schema/raw/master/csl-citation.json"} </w:instrText>
      </w:r>
      <w:r w:rsidRPr="00212C3B">
        <w:rPr>
          <w:rFonts w:ascii="Times New Roman" w:hAnsi="Times New Roman" w:cs="Times New Roman"/>
        </w:rPr>
        <w:fldChar w:fldCharType="separate"/>
      </w:r>
      <w:r w:rsidRPr="00212C3B">
        <w:rPr>
          <w:rFonts w:ascii="Times New Roman" w:hAnsi="Times New Roman" w:cs="Times New Roman"/>
          <w:kern w:val="0"/>
          <w:lang w:val="en-US"/>
        </w:rPr>
        <w:t>(Thomas Yeo et al., 2011)</w:t>
      </w:r>
      <w:r w:rsidRPr="00212C3B">
        <w:rPr>
          <w:rFonts w:ascii="Times New Roman" w:hAnsi="Times New Roman" w:cs="Times New Roman"/>
        </w:rPr>
        <w:fldChar w:fldCharType="end"/>
      </w:r>
      <w:r w:rsidRPr="00212C3B">
        <w:rPr>
          <w:rFonts w:ascii="Times New Roman" w:hAnsi="Times New Roman" w:cs="Times New Roman"/>
        </w:rPr>
        <w:t xml:space="preserve">. Abbreviations: </w:t>
      </w:r>
      <w:proofErr w:type="spellStart"/>
      <w:r w:rsidR="006B2214">
        <w:rPr>
          <w:rFonts w:ascii="Times New Roman" w:hAnsi="Times New Roman" w:cs="Times New Roman"/>
        </w:rPr>
        <w:t>AnG</w:t>
      </w:r>
      <w:proofErr w:type="spellEnd"/>
      <w:r w:rsidRPr="00212C3B">
        <w:rPr>
          <w:rFonts w:ascii="Times New Roman" w:hAnsi="Times New Roman" w:cs="Times New Roman"/>
        </w:rPr>
        <w:t>=</w:t>
      </w:r>
      <w:r w:rsidR="006B2214">
        <w:rPr>
          <w:rFonts w:ascii="Times New Roman" w:hAnsi="Times New Roman" w:cs="Times New Roman"/>
        </w:rPr>
        <w:t>angular gyrus</w:t>
      </w:r>
      <w:r w:rsidRPr="00212C3B">
        <w:rPr>
          <w:rFonts w:ascii="Times New Roman" w:hAnsi="Times New Roman" w:cs="Times New Roman"/>
        </w:rPr>
        <w:t>,</w:t>
      </w:r>
      <w:r w:rsidR="006B2214">
        <w:rPr>
          <w:rFonts w:ascii="Times New Roman" w:hAnsi="Times New Roman" w:cs="Times New Roman"/>
        </w:rPr>
        <w:t xml:space="preserve"> LOC=lateral occipital cortex, SPL=superior parietal lobule</w:t>
      </w:r>
      <w:r w:rsidRPr="00212C3B">
        <w:rPr>
          <w:rFonts w:ascii="Times New Roman" w:hAnsi="Times New Roman" w:cs="Times New Roman"/>
        </w:rPr>
        <w:t>.</w:t>
      </w:r>
      <w:r w:rsidR="003A0FDD">
        <w:rPr>
          <w:rFonts w:ascii="Times New Roman" w:hAnsi="Times New Roman" w:cs="Times New Roman"/>
        </w:rPr>
        <w:br w:type="page"/>
      </w:r>
    </w:p>
    <w:p w14:paraId="65DBCF1D" w14:textId="77777777" w:rsidR="00AC6D73" w:rsidRDefault="00AC6D73" w:rsidP="005B3013">
      <w:pPr>
        <w:rPr>
          <w:rFonts w:ascii="Times New Roman" w:hAnsi="Times New Roman" w:cs="Times New Roman"/>
        </w:rPr>
      </w:pPr>
    </w:p>
    <w:p w14:paraId="5C626683" w14:textId="2ADB64E4" w:rsidR="00F274CA" w:rsidRPr="00AC6D73" w:rsidRDefault="00BF5689" w:rsidP="00AE30C0">
      <w:pPr>
        <w:jc w:val="center"/>
        <w:rPr>
          <w:rFonts w:ascii="Times New Roman" w:eastAsia="Calibri" w:hAnsi="Times New Roman" w:cs="Times New Roman"/>
          <w:kern w:val="0"/>
          <w:szCs w:val="22"/>
          <w:lang w:eastAsia="en-CA"/>
          <w14:ligatures w14:val="none"/>
        </w:rPr>
      </w:pPr>
      <w:r w:rsidRPr="00AC6D73">
        <w:rPr>
          <w:rFonts w:ascii="Times New Roman" w:hAnsi="Times New Roman" w:cs="Times New Roman"/>
          <w:b/>
          <w:bCs/>
        </w:rPr>
        <w:t>References</w:t>
      </w:r>
    </w:p>
    <w:p w14:paraId="20A68595" w14:textId="77777777" w:rsidR="00154EBA" w:rsidRPr="00154EBA" w:rsidRDefault="007C5A4B" w:rsidP="00AE30C0">
      <w:pPr>
        <w:pStyle w:val="Bibliography"/>
        <w:spacing w:line="240" w:lineRule="auto"/>
        <w:rPr>
          <w:rFonts w:ascii="Times New Roman" w:hAnsi="Times New Roman" w:cs="Times New Roman"/>
          <w:lang w:val="en-US"/>
        </w:rPr>
      </w:pPr>
      <w:r>
        <w:fldChar w:fldCharType="begin"/>
      </w:r>
      <w:r w:rsidR="00154EBA">
        <w:instrText xml:space="preserve"> ADDIN ZOTERO_BIBL {"uncited":[],"omitted":[],"custom":[]} CSL_BIBLIOGRAPHY </w:instrText>
      </w:r>
      <w:r>
        <w:fldChar w:fldCharType="separate"/>
      </w:r>
      <w:r w:rsidR="00154EBA" w:rsidRPr="00154EBA">
        <w:rPr>
          <w:rFonts w:ascii="Times New Roman" w:hAnsi="Times New Roman" w:cs="Times New Roman"/>
          <w:lang w:val="en-US"/>
        </w:rPr>
        <w:t xml:space="preserve">Avants, B. B., Epstein, C. L., Grossman, M., &amp; Gee, J. C. (2008). Symmetric diffeomorphic image registration with cross-correlation: Evaluating automated labeling of elderly and neurodegenerative brain. </w:t>
      </w:r>
      <w:r w:rsidR="00154EBA" w:rsidRPr="00154EBA">
        <w:rPr>
          <w:rFonts w:ascii="Times New Roman" w:hAnsi="Times New Roman" w:cs="Times New Roman"/>
          <w:i/>
          <w:iCs/>
          <w:lang w:val="en-US"/>
        </w:rPr>
        <w:t>Medical Image Analysis</w:t>
      </w:r>
      <w:r w:rsidR="00154EBA" w:rsidRPr="00154EBA">
        <w:rPr>
          <w:rFonts w:ascii="Times New Roman" w:hAnsi="Times New Roman" w:cs="Times New Roman"/>
          <w:lang w:val="en-US"/>
        </w:rPr>
        <w:t xml:space="preserve">, </w:t>
      </w:r>
      <w:r w:rsidR="00154EBA" w:rsidRPr="00154EBA">
        <w:rPr>
          <w:rFonts w:ascii="Times New Roman" w:hAnsi="Times New Roman" w:cs="Times New Roman"/>
          <w:i/>
          <w:iCs/>
          <w:lang w:val="en-US"/>
        </w:rPr>
        <w:t>12</w:t>
      </w:r>
      <w:r w:rsidR="00154EBA" w:rsidRPr="00154EBA">
        <w:rPr>
          <w:rFonts w:ascii="Times New Roman" w:hAnsi="Times New Roman" w:cs="Times New Roman"/>
          <w:lang w:val="en-US"/>
        </w:rPr>
        <w:t>(1), 26–41. https://doi.org/10.1016/j.media.2007.06.004</w:t>
      </w:r>
    </w:p>
    <w:p w14:paraId="3609EB82" w14:textId="49B723E7" w:rsidR="005E2C2B" w:rsidRDefault="00154EBA" w:rsidP="00AE30C0">
      <w:pPr>
        <w:pStyle w:val="Bibliography"/>
        <w:spacing w:line="240" w:lineRule="auto"/>
        <w:ind w:left="709" w:hanging="709"/>
        <w:rPr>
          <w:rFonts w:ascii="Times New Roman" w:hAnsi="Times New Roman" w:cs="Times New Roman"/>
        </w:rPr>
      </w:pPr>
      <w:r w:rsidRPr="00154EBA">
        <w:rPr>
          <w:rFonts w:ascii="Times New Roman" w:hAnsi="Times New Roman" w:cs="Times New Roman"/>
          <w:lang w:val="en-US"/>
        </w:rPr>
        <w:t xml:space="preserve">Behzadi, Y., Restom, K., Liau, J., &amp; Liu, T. T. (2007). A Component Based Noise Correction Method (CompCor) for BOLD and Perfusion Based fMRI. </w:t>
      </w:r>
      <w:r w:rsidRPr="00154EBA">
        <w:rPr>
          <w:rFonts w:ascii="Times New Roman" w:hAnsi="Times New Roman" w:cs="Times New Roman"/>
          <w:i/>
          <w:iCs/>
          <w:lang w:val="en-US"/>
        </w:rPr>
        <w:t>NeuroImage</w:t>
      </w:r>
      <w:r w:rsidRPr="00154EBA">
        <w:rPr>
          <w:rFonts w:ascii="Times New Roman" w:hAnsi="Times New Roman" w:cs="Times New Roman"/>
          <w:lang w:val="en-US"/>
        </w:rPr>
        <w:t xml:space="preserve">, </w:t>
      </w:r>
      <w:r w:rsidRPr="00154EBA">
        <w:rPr>
          <w:rFonts w:ascii="Times New Roman" w:hAnsi="Times New Roman" w:cs="Times New Roman"/>
          <w:i/>
          <w:iCs/>
          <w:lang w:val="en-US"/>
        </w:rPr>
        <w:t>37</w:t>
      </w:r>
      <w:r w:rsidRPr="00154EBA">
        <w:rPr>
          <w:rFonts w:ascii="Times New Roman" w:hAnsi="Times New Roman" w:cs="Times New Roman"/>
          <w:lang w:val="en-US"/>
        </w:rPr>
        <w:t>(1), 90–101. https://doi.org/10.1016/j.neuroimage.2007.04.042</w:t>
      </w:r>
    </w:p>
    <w:p w14:paraId="46410A65" w14:textId="6EA8841E" w:rsidR="005E2C2B" w:rsidRPr="00AE30C0" w:rsidRDefault="005E2C2B" w:rsidP="00AE30C0">
      <w:pPr>
        <w:pStyle w:val="Bibliography"/>
        <w:spacing w:line="240" w:lineRule="auto"/>
        <w:ind w:left="709" w:hanging="709"/>
        <w:rPr>
          <w:lang w:val="en-US"/>
        </w:rPr>
      </w:pPr>
      <w:r w:rsidRPr="005E2C2B">
        <w:rPr>
          <w:rFonts w:ascii="Times New Roman" w:hAnsi="Times New Roman" w:cs="Times New Roman"/>
        </w:rPr>
        <w:t xml:space="preserve">Chai, X. J., Nieto-Castanon, A., Ongur, D., &amp; Whitfield-Gabrieli, S. (2012). Anticorrelations in resting state networks without global signal regression. </w:t>
      </w:r>
      <w:r w:rsidRPr="00AE30C0">
        <w:rPr>
          <w:rFonts w:ascii="Times New Roman" w:hAnsi="Times New Roman" w:cs="Times New Roman"/>
          <w:i/>
          <w:iCs/>
        </w:rPr>
        <w:t>Neuroimage</w:t>
      </w:r>
      <w:r w:rsidRPr="005E2C2B">
        <w:rPr>
          <w:rFonts w:ascii="Times New Roman" w:hAnsi="Times New Roman" w:cs="Times New Roman"/>
        </w:rPr>
        <w:t>, 59(2), 1420-1428.</w:t>
      </w:r>
    </w:p>
    <w:p w14:paraId="74919B75" w14:textId="77777777" w:rsidR="00154EBA" w:rsidRPr="00154EBA" w:rsidRDefault="00154EBA" w:rsidP="00AE30C0">
      <w:pPr>
        <w:pStyle w:val="Bibliography"/>
        <w:spacing w:line="240" w:lineRule="auto"/>
        <w:rPr>
          <w:rFonts w:ascii="Times New Roman" w:hAnsi="Times New Roman" w:cs="Times New Roman"/>
          <w:lang w:val="en-US"/>
        </w:rPr>
      </w:pPr>
      <w:r w:rsidRPr="00154EBA">
        <w:rPr>
          <w:rFonts w:ascii="Times New Roman" w:hAnsi="Times New Roman" w:cs="Times New Roman"/>
          <w:lang w:val="en-US"/>
        </w:rPr>
        <w:t xml:space="preserve">Cox, R. W. (1996). AFNI: Software for analysis and visualization of functional magnetic resonance neuroimages. </w:t>
      </w:r>
      <w:r w:rsidRPr="00154EBA">
        <w:rPr>
          <w:rFonts w:ascii="Times New Roman" w:hAnsi="Times New Roman" w:cs="Times New Roman"/>
          <w:i/>
          <w:iCs/>
          <w:lang w:val="en-US"/>
        </w:rPr>
        <w:t>Computers and Biomedical Research, an International Journal</w:t>
      </w:r>
      <w:r w:rsidRPr="00154EBA">
        <w:rPr>
          <w:rFonts w:ascii="Times New Roman" w:hAnsi="Times New Roman" w:cs="Times New Roman"/>
          <w:lang w:val="en-US"/>
        </w:rPr>
        <w:t xml:space="preserve">, </w:t>
      </w:r>
      <w:r w:rsidRPr="00154EBA">
        <w:rPr>
          <w:rFonts w:ascii="Times New Roman" w:hAnsi="Times New Roman" w:cs="Times New Roman"/>
          <w:i/>
          <w:iCs/>
          <w:lang w:val="en-US"/>
        </w:rPr>
        <w:t>29</w:t>
      </w:r>
      <w:r w:rsidRPr="00154EBA">
        <w:rPr>
          <w:rFonts w:ascii="Times New Roman" w:hAnsi="Times New Roman" w:cs="Times New Roman"/>
          <w:lang w:val="en-US"/>
        </w:rPr>
        <w:t>(3), 162–173. https://doi.org/10.1006/cbmr.1996.0014</w:t>
      </w:r>
    </w:p>
    <w:p w14:paraId="1105CDF8" w14:textId="77777777" w:rsidR="00154EBA" w:rsidRPr="00154EBA" w:rsidRDefault="00154EBA" w:rsidP="00AE30C0">
      <w:pPr>
        <w:pStyle w:val="Bibliography"/>
        <w:spacing w:line="240" w:lineRule="auto"/>
        <w:rPr>
          <w:rFonts w:ascii="Times New Roman" w:hAnsi="Times New Roman" w:cs="Times New Roman"/>
          <w:lang w:val="en-US"/>
        </w:rPr>
      </w:pPr>
      <w:r w:rsidRPr="00154EBA">
        <w:rPr>
          <w:rFonts w:ascii="Times New Roman" w:hAnsi="Times New Roman" w:cs="Times New Roman"/>
          <w:lang w:val="en-US"/>
        </w:rPr>
        <w:t xml:space="preserve">Esteban, O., Markiewicz, C. J., Blair, R. W., Moodie, C. A., Isik, A. I., Erramuzpe, A., Kent, J. D., Goncalves, M., DuPre, E., Snyder, M., Oya, H., Ghosh, S. S., Wright, J., Durnez, J., Poldrack, R. A., &amp; Gorgolewski, K. J. (2019). fMRIPrep: A robust preprocessing pipeline for functional MRI. </w:t>
      </w:r>
      <w:r w:rsidRPr="00154EBA">
        <w:rPr>
          <w:rFonts w:ascii="Times New Roman" w:hAnsi="Times New Roman" w:cs="Times New Roman"/>
          <w:i/>
          <w:iCs/>
          <w:lang w:val="en-US"/>
        </w:rPr>
        <w:t>Nature Methods</w:t>
      </w:r>
      <w:r w:rsidRPr="00154EBA">
        <w:rPr>
          <w:rFonts w:ascii="Times New Roman" w:hAnsi="Times New Roman" w:cs="Times New Roman"/>
          <w:lang w:val="en-US"/>
        </w:rPr>
        <w:t xml:space="preserve">, </w:t>
      </w:r>
      <w:r w:rsidRPr="00154EBA">
        <w:rPr>
          <w:rFonts w:ascii="Times New Roman" w:hAnsi="Times New Roman" w:cs="Times New Roman"/>
          <w:i/>
          <w:iCs/>
          <w:lang w:val="en-US"/>
        </w:rPr>
        <w:t>16</w:t>
      </w:r>
      <w:r w:rsidRPr="00154EBA">
        <w:rPr>
          <w:rFonts w:ascii="Times New Roman" w:hAnsi="Times New Roman" w:cs="Times New Roman"/>
          <w:lang w:val="en-US"/>
        </w:rPr>
        <w:t>(1), 111–116. https://doi.org/10.1038/s41592-018-0235-4</w:t>
      </w:r>
    </w:p>
    <w:p w14:paraId="26BB5D51" w14:textId="77777777" w:rsidR="00154EBA" w:rsidRPr="00154EBA" w:rsidRDefault="00154EBA" w:rsidP="00AE30C0">
      <w:pPr>
        <w:pStyle w:val="Bibliography"/>
        <w:spacing w:line="240" w:lineRule="auto"/>
        <w:rPr>
          <w:rFonts w:ascii="Times New Roman" w:hAnsi="Times New Roman" w:cs="Times New Roman"/>
          <w:lang w:val="en-US"/>
        </w:rPr>
      </w:pPr>
      <w:r w:rsidRPr="00154EBA">
        <w:rPr>
          <w:rFonts w:ascii="Times New Roman" w:hAnsi="Times New Roman" w:cs="Times New Roman"/>
          <w:lang w:val="en-US"/>
        </w:rPr>
        <w:t xml:space="preserve">Friston, K. J., Williams, S., Howard, R., Frackowiak, R. S., &amp; Turner, R. (1996). Movement-related effects in fMRI time-series. </w:t>
      </w:r>
      <w:r w:rsidRPr="00154EBA">
        <w:rPr>
          <w:rFonts w:ascii="Times New Roman" w:hAnsi="Times New Roman" w:cs="Times New Roman"/>
          <w:i/>
          <w:iCs/>
          <w:lang w:val="en-US"/>
        </w:rPr>
        <w:t>Magnetic Resonance in Medicine</w:t>
      </w:r>
      <w:r w:rsidRPr="00154EBA">
        <w:rPr>
          <w:rFonts w:ascii="Times New Roman" w:hAnsi="Times New Roman" w:cs="Times New Roman"/>
          <w:lang w:val="en-US"/>
        </w:rPr>
        <w:t xml:space="preserve">, </w:t>
      </w:r>
      <w:r w:rsidRPr="00154EBA">
        <w:rPr>
          <w:rFonts w:ascii="Times New Roman" w:hAnsi="Times New Roman" w:cs="Times New Roman"/>
          <w:i/>
          <w:iCs/>
          <w:lang w:val="en-US"/>
        </w:rPr>
        <w:t>35</w:t>
      </w:r>
      <w:r w:rsidRPr="00154EBA">
        <w:rPr>
          <w:rFonts w:ascii="Times New Roman" w:hAnsi="Times New Roman" w:cs="Times New Roman"/>
          <w:lang w:val="en-US"/>
        </w:rPr>
        <w:t>(3), 346–355. https://doi.org/10.1002/mrm.1910350312</w:t>
      </w:r>
    </w:p>
    <w:p w14:paraId="7CF7A511" w14:textId="77777777" w:rsidR="00154EBA" w:rsidRPr="00154EBA" w:rsidRDefault="00154EBA" w:rsidP="00AE30C0">
      <w:pPr>
        <w:pStyle w:val="Bibliography"/>
        <w:spacing w:line="240" w:lineRule="auto"/>
        <w:rPr>
          <w:rFonts w:ascii="Times New Roman" w:hAnsi="Times New Roman" w:cs="Times New Roman"/>
          <w:lang w:val="en-US"/>
        </w:rPr>
      </w:pPr>
      <w:r w:rsidRPr="00154EBA">
        <w:rPr>
          <w:rFonts w:ascii="Times New Roman" w:hAnsi="Times New Roman" w:cs="Times New Roman"/>
          <w:lang w:val="en-US"/>
        </w:rPr>
        <w:t xml:space="preserve">Gorgolewski, K., Burns, C. D., Madison, C., Clark, D., Halchenko, Y. O., Waskom, M. L., &amp; Ghosh, S. S. (2011). Nipype: A flexible, lightweight and extensible neuroimaging data processing framework in python. </w:t>
      </w:r>
      <w:r w:rsidRPr="00154EBA">
        <w:rPr>
          <w:rFonts w:ascii="Times New Roman" w:hAnsi="Times New Roman" w:cs="Times New Roman"/>
          <w:i/>
          <w:iCs/>
          <w:lang w:val="en-US"/>
        </w:rPr>
        <w:t>Frontiers in Neuroinformatics</w:t>
      </w:r>
      <w:r w:rsidRPr="00154EBA">
        <w:rPr>
          <w:rFonts w:ascii="Times New Roman" w:hAnsi="Times New Roman" w:cs="Times New Roman"/>
          <w:lang w:val="en-US"/>
        </w:rPr>
        <w:t xml:space="preserve">, </w:t>
      </w:r>
      <w:r w:rsidRPr="00154EBA">
        <w:rPr>
          <w:rFonts w:ascii="Times New Roman" w:hAnsi="Times New Roman" w:cs="Times New Roman"/>
          <w:i/>
          <w:iCs/>
          <w:lang w:val="en-US"/>
        </w:rPr>
        <w:t>5</w:t>
      </w:r>
      <w:r w:rsidRPr="00154EBA">
        <w:rPr>
          <w:rFonts w:ascii="Times New Roman" w:hAnsi="Times New Roman" w:cs="Times New Roman"/>
          <w:lang w:val="en-US"/>
        </w:rPr>
        <w:t>, 13. https://doi.org/10.3389/fninf.2011.00013</w:t>
      </w:r>
    </w:p>
    <w:p w14:paraId="438489AB" w14:textId="77777777" w:rsidR="00154EBA" w:rsidRPr="00154EBA" w:rsidRDefault="00154EBA" w:rsidP="00AE30C0">
      <w:pPr>
        <w:pStyle w:val="Bibliography"/>
        <w:spacing w:line="240" w:lineRule="auto"/>
        <w:rPr>
          <w:rFonts w:ascii="Times New Roman" w:hAnsi="Times New Roman" w:cs="Times New Roman"/>
          <w:lang w:val="en-US"/>
        </w:rPr>
      </w:pPr>
      <w:r w:rsidRPr="00154EBA">
        <w:rPr>
          <w:rFonts w:ascii="Times New Roman" w:hAnsi="Times New Roman" w:cs="Times New Roman"/>
          <w:lang w:val="en-US"/>
        </w:rPr>
        <w:t xml:space="preserve">Greve, D. N., &amp; Fischl, B. (2009). Accurate and robust brain image alignment using boundary-based registration. </w:t>
      </w:r>
      <w:r w:rsidRPr="00154EBA">
        <w:rPr>
          <w:rFonts w:ascii="Times New Roman" w:hAnsi="Times New Roman" w:cs="Times New Roman"/>
          <w:i/>
          <w:iCs/>
          <w:lang w:val="en-US"/>
        </w:rPr>
        <w:t>NeuroImage</w:t>
      </w:r>
      <w:r w:rsidRPr="00154EBA">
        <w:rPr>
          <w:rFonts w:ascii="Times New Roman" w:hAnsi="Times New Roman" w:cs="Times New Roman"/>
          <w:lang w:val="en-US"/>
        </w:rPr>
        <w:t xml:space="preserve">, </w:t>
      </w:r>
      <w:r w:rsidRPr="00154EBA">
        <w:rPr>
          <w:rFonts w:ascii="Times New Roman" w:hAnsi="Times New Roman" w:cs="Times New Roman"/>
          <w:i/>
          <w:iCs/>
          <w:lang w:val="en-US"/>
        </w:rPr>
        <w:t>48</w:t>
      </w:r>
      <w:r w:rsidRPr="00154EBA">
        <w:rPr>
          <w:rFonts w:ascii="Times New Roman" w:hAnsi="Times New Roman" w:cs="Times New Roman"/>
          <w:lang w:val="en-US"/>
        </w:rPr>
        <w:t>(1), 63–72. https://doi.org/10.1016/j.neuroimage.2009.06.060</w:t>
      </w:r>
    </w:p>
    <w:p w14:paraId="4EA22EC6" w14:textId="77777777" w:rsidR="00154EBA" w:rsidRPr="00154EBA" w:rsidRDefault="00154EBA" w:rsidP="00AE30C0">
      <w:pPr>
        <w:pStyle w:val="Bibliography"/>
        <w:spacing w:line="240" w:lineRule="auto"/>
        <w:rPr>
          <w:rFonts w:ascii="Times New Roman" w:hAnsi="Times New Roman" w:cs="Times New Roman"/>
          <w:lang w:val="en-US"/>
        </w:rPr>
      </w:pPr>
      <w:r w:rsidRPr="00154EBA">
        <w:rPr>
          <w:rFonts w:ascii="Times New Roman" w:hAnsi="Times New Roman" w:cs="Times New Roman"/>
          <w:lang w:val="en-US"/>
        </w:rPr>
        <w:t xml:space="preserve">Hallquist, M. N., Hwang, K., &amp; Luna, B. (2013). The nuisance of nuisance regression: Spectral misspecification in a common approach to resting-state fMRI preprocessing reintroduces noise and obscures functional connectivity. </w:t>
      </w:r>
      <w:r w:rsidRPr="00154EBA">
        <w:rPr>
          <w:rFonts w:ascii="Times New Roman" w:hAnsi="Times New Roman" w:cs="Times New Roman"/>
          <w:i/>
          <w:iCs/>
          <w:lang w:val="en-US"/>
        </w:rPr>
        <w:t>NeuroImage</w:t>
      </w:r>
      <w:r w:rsidRPr="00154EBA">
        <w:rPr>
          <w:rFonts w:ascii="Times New Roman" w:hAnsi="Times New Roman" w:cs="Times New Roman"/>
          <w:lang w:val="en-US"/>
        </w:rPr>
        <w:t xml:space="preserve">, </w:t>
      </w:r>
      <w:r w:rsidRPr="00154EBA">
        <w:rPr>
          <w:rFonts w:ascii="Times New Roman" w:hAnsi="Times New Roman" w:cs="Times New Roman"/>
          <w:i/>
          <w:iCs/>
          <w:lang w:val="en-US"/>
        </w:rPr>
        <w:t>82</w:t>
      </w:r>
      <w:r w:rsidRPr="00154EBA">
        <w:rPr>
          <w:rFonts w:ascii="Times New Roman" w:hAnsi="Times New Roman" w:cs="Times New Roman"/>
          <w:lang w:val="en-US"/>
        </w:rPr>
        <w:t>, 208–225. https://doi.org/10.1016/j.neuroimage.2013.05.116</w:t>
      </w:r>
    </w:p>
    <w:p w14:paraId="3EE950F9" w14:textId="77777777" w:rsidR="00154EBA" w:rsidRPr="00154EBA" w:rsidRDefault="00154EBA" w:rsidP="00AE30C0">
      <w:pPr>
        <w:pStyle w:val="Bibliography"/>
        <w:spacing w:line="240" w:lineRule="auto"/>
        <w:rPr>
          <w:rFonts w:ascii="Times New Roman" w:hAnsi="Times New Roman" w:cs="Times New Roman"/>
          <w:lang w:val="en-US"/>
        </w:rPr>
      </w:pPr>
      <w:r w:rsidRPr="00154EBA">
        <w:rPr>
          <w:rFonts w:ascii="Times New Roman" w:hAnsi="Times New Roman" w:cs="Times New Roman"/>
          <w:lang w:val="en-US"/>
        </w:rPr>
        <w:t xml:space="preserve">Headache Classification Committee of the International Headache Society (IHS). (2013). The International Classification of Headache Disorders, 3rd edition (beta version). </w:t>
      </w:r>
      <w:r w:rsidRPr="00154EBA">
        <w:rPr>
          <w:rFonts w:ascii="Times New Roman" w:hAnsi="Times New Roman" w:cs="Times New Roman"/>
          <w:i/>
          <w:iCs/>
          <w:lang w:val="en-US"/>
        </w:rPr>
        <w:t>Cephalalgia</w:t>
      </w:r>
      <w:r w:rsidRPr="00154EBA">
        <w:rPr>
          <w:rFonts w:ascii="Times New Roman" w:hAnsi="Times New Roman" w:cs="Times New Roman"/>
          <w:lang w:val="en-US"/>
        </w:rPr>
        <w:t xml:space="preserve">, </w:t>
      </w:r>
      <w:r w:rsidRPr="00154EBA">
        <w:rPr>
          <w:rFonts w:ascii="Times New Roman" w:hAnsi="Times New Roman" w:cs="Times New Roman"/>
          <w:i/>
          <w:iCs/>
          <w:lang w:val="en-US"/>
        </w:rPr>
        <w:t>33</w:t>
      </w:r>
      <w:r w:rsidRPr="00154EBA">
        <w:rPr>
          <w:rFonts w:ascii="Times New Roman" w:hAnsi="Times New Roman" w:cs="Times New Roman"/>
          <w:lang w:val="en-US"/>
        </w:rPr>
        <w:t>(9), 629–808. https://doi.org/10.1177/0333102413485658</w:t>
      </w:r>
    </w:p>
    <w:p w14:paraId="17D441A4" w14:textId="77777777" w:rsidR="00154EBA" w:rsidRPr="00154EBA" w:rsidRDefault="00154EBA" w:rsidP="00AE30C0">
      <w:pPr>
        <w:pStyle w:val="Bibliography"/>
        <w:spacing w:line="240" w:lineRule="auto"/>
        <w:rPr>
          <w:rFonts w:ascii="Times New Roman" w:hAnsi="Times New Roman" w:cs="Times New Roman"/>
          <w:lang w:val="en-US"/>
        </w:rPr>
      </w:pPr>
      <w:r w:rsidRPr="00154EBA">
        <w:rPr>
          <w:rFonts w:ascii="Times New Roman" w:hAnsi="Times New Roman" w:cs="Times New Roman"/>
          <w:lang w:val="en-US"/>
        </w:rPr>
        <w:t xml:space="preserve">Jenkinson, M., Bannister, P., Brady, M., &amp; Smith, S. (2002). Improved Optimization for the Robust and Accurate Linear Registration and Motion Correction of Brain Images. </w:t>
      </w:r>
      <w:r w:rsidRPr="00154EBA">
        <w:rPr>
          <w:rFonts w:ascii="Times New Roman" w:hAnsi="Times New Roman" w:cs="Times New Roman"/>
          <w:i/>
          <w:iCs/>
          <w:lang w:val="en-US"/>
        </w:rPr>
        <w:t>NeuroImage</w:t>
      </w:r>
      <w:r w:rsidRPr="00154EBA">
        <w:rPr>
          <w:rFonts w:ascii="Times New Roman" w:hAnsi="Times New Roman" w:cs="Times New Roman"/>
          <w:lang w:val="en-US"/>
        </w:rPr>
        <w:t xml:space="preserve">, </w:t>
      </w:r>
      <w:r w:rsidRPr="00154EBA">
        <w:rPr>
          <w:rFonts w:ascii="Times New Roman" w:hAnsi="Times New Roman" w:cs="Times New Roman"/>
          <w:i/>
          <w:iCs/>
          <w:lang w:val="en-US"/>
        </w:rPr>
        <w:t>17</w:t>
      </w:r>
      <w:r w:rsidRPr="00154EBA">
        <w:rPr>
          <w:rFonts w:ascii="Times New Roman" w:hAnsi="Times New Roman" w:cs="Times New Roman"/>
          <w:lang w:val="en-US"/>
        </w:rPr>
        <w:t>(2), 825–841. https://doi.org/10.1006/nimg.2002.1132</w:t>
      </w:r>
    </w:p>
    <w:p w14:paraId="44E6FA9B" w14:textId="77777777" w:rsidR="00154EBA" w:rsidRPr="00154EBA" w:rsidRDefault="00154EBA" w:rsidP="00AE30C0">
      <w:pPr>
        <w:pStyle w:val="Bibliography"/>
        <w:spacing w:line="240" w:lineRule="auto"/>
        <w:rPr>
          <w:rFonts w:ascii="Times New Roman" w:hAnsi="Times New Roman" w:cs="Times New Roman"/>
          <w:lang w:val="en-US"/>
        </w:rPr>
      </w:pPr>
      <w:r w:rsidRPr="00154EBA">
        <w:rPr>
          <w:rFonts w:ascii="Times New Roman" w:hAnsi="Times New Roman" w:cs="Times New Roman"/>
          <w:lang w:val="en-US"/>
        </w:rPr>
        <w:t xml:space="preserve">Mickleborough, M. J. S., Ekstrand, C., Gould, L., Lorentz, E. J., Ellchuk, T., Babyn, P., &amp; Borowsky, R. (2016). Attentional Network Differences Between Migraineurs and Non-migraine Controls: fMRI Evidence. </w:t>
      </w:r>
      <w:r w:rsidRPr="00154EBA">
        <w:rPr>
          <w:rFonts w:ascii="Times New Roman" w:hAnsi="Times New Roman" w:cs="Times New Roman"/>
          <w:i/>
          <w:iCs/>
          <w:lang w:val="en-US"/>
        </w:rPr>
        <w:t>Brain Topography</w:t>
      </w:r>
      <w:r w:rsidRPr="00154EBA">
        <w:rPr>
          <w:rFonts w:ascii="Times New Roman" w:hAnsi="Times New Roman" w:cs="Times New Roman"/>
          <w:lang w:val="en-US"/>
        </w:rPr>
        <w:t xml:space="preserve">, </w:t>
      </w:r>
      <w:r w:rsidRPr="00154EBA">
        <w:rPr>
          <w:rFonts w:ascii="Times New Roman" w:hAnsi="Times New Roman" w:cs="Times New Roman"/>
          <w:i/>
          <w:iCs/>
          <w:lang w:val="en-US"/>
        </w:rPr>
        <w:t>29</w:t>
      </w:r>
      <w:r w:rsidRPr="00154EBA">
        <w:rPr>
          <w:rFonts w:ascii="Times New Roman" w:hAnsi="Times New Roman" w:cs="Times New Roman"/>
          <w:lang w:val="en-US"/>
        </w:rPr>
        <w:t>(3), 419–428. https://doi.org/10.1007/s10548-015-0459-x</w:t>
      </w:r>
    </w:p>
    <w:p w14:paraId="6C28F7D4" w14:textId="77777777" w:rsidR="00154EBA" w:rsidRPr="00154EBA" w:rsidRDefault="00154EBA" w:rsidP="00AE30C0">
      <w:pPr>
        <w:pStyle w:val="Bibliography"/>
        <w:spacing w:line="240" w:lineRule="auto"/>
        <w:rPr>
          <w:rFonts w:ascii="Times New Roman" w:hAnsi="Times New Roman" w:cs="Times New Roman"/>
          <w:lang w:val="en-US"/>
        </w:rPr>
      </w:pPr>
      <w:r w:rsidRPr="00154EBA">
        <w:rPr>
          <w:rFonts w:ascii="Times New Roman" w:hAnsi="Times New Roman" w:cs="Times New Roman"/>
          <w:lang w:val="en-US"/>
        </w:rPr>
        <w:t xml:space="preserve">Nieto-Castanon, A. (2022). Brain-wide connectome inferences using functional connectivity MultiVariate Pattern Analyses (fc-MVPA). </w:t>
      </w:r>
      <w:r w:rsidRPr="00154EBA">
        <w:rPr>
          <w:rFonts w:ascii="Times New Roman" w:hAnsi="Times New Roman" w:cs="Times New Roman"/>
          <w:i/>
          <w:iCs/>
          <w:lang w:val="en-US"/>
        </w:rPr>
        <w:t>PLOS Computational Biology</w:t>
      </w:r>
      <w:r w:rsidRPr="00154EBA">
        <w:rPr>
          <w:rFonts w:ascii="Times New Roman" w:hAnsi="Times New Roman" w:cs="Times New Roman"/>
          <w:lang w:val="en-US"/>
        </w:rPr>
        <w:t xml:space="preserve">, </w:t>
      </w:r>
      <w:r w:rsidRPr="00154EBA">
        <w:rPr>
          <w:rFonts w:ascii="Times New Roman" w:hAnsi="Times New Roman" w:cs="Times New Roman"/>
          <w:i/>
          <w:iCs/>
          <w:lang w:val="en-US"/>
        </w:rPr>
        <w:t>18</w:t>
      </w:r>
      <w:r w:rsidRPr="00154EBA">
        <w:rPr>
          <w:rFonts w:ascii="Times New Roman" w:hAnsi="Times New Roman" w:cs="Times New Roman"/>
          <w:lang w:val="en-US"/>
        </w:rPr>
        <w:t>(11), e1010634. https://doi.org/10.1371/journal.pcbi.1010634</w:t>
      </w:r>
    </w:p>
    <w:p w14:paraId="7AB872F4" w14:textId="77777777" w:rsidR="00154EBA" w:rsidRPr="00154EBA" w:rsidRDefault="00154EBA" w:rsidP="00AE30C0">
      <w:pPr>
        <w:pStyle w:val="Bibliography"/>
        <w:spacing w:line="240" w:lineRule="auto"/>
        <w:rPr>
          <w:rFonts w:ascii="Times New Roman" w:hAnsi="Times New Roman" w:cs="Times New Roman"/>
          <w:lang w:val="en-US"/>
        </w:rPr>
      </w:pPr>
      <w:r w:rsidRPr="00154EBA">
        <w:rPr>
          <w:rFonts w:ascii="Times New Roman" w:hAnsi="Times New Roman" w:cs="Times New Roman"/>
          <w:lang w:val="en-US"/>
        </w:rPr>
        <w:lastRenderedPageBreak/>
        <w:t xml:space="preserve">Power, J. D., Mitra, A., Laumann, T. O., Snyder, A. Z., Schlaggar, B. L., &amp; Petersen, S. E. (2014). Methods to detect, characterize, and remove motion artifact in resting state fMRI. </w:t>
      </w:r>
      <w:r w:rsidRPr="00154EBA">
        <w:rPr>
          <w:rFonts w:ascii="Times New Roman" w:hAnsi="Times New Roman" w:cs="Times New Roman"/>
          <w:i/>
          <w:iCs/>
          <w:lang w:val="en-US"/>
        </w:rPr>
        <w:t>NeuroImage</w:t>
      </w:r>
      <w:r w:rsidRPr="00154EBA">
        <w:rPr>
          <w:rFonts w:ascii="Times New Roman" w:hAnsi="Times New Roman" w:cs="Times New Roman"/>
          <w:lang w:val="en-US"/>
        </w:rPr>
        <w:t xml:space="preserve">, </w:t>
      </w:r>
      <w:r w:rsidRPr="00154EBA">
        <w:rPr>
          <w:rFonts w:ascii="Times New Roman" w:hAnsi="Times New Roman" w:cs="Times New Roman"/>
          <w:i/>
          <w:iCs/>
          <w:lang w:val="en-US"/>
        </w:rPr>
        <w:t>84</w:t>
      </w:r>
      <w:r w:rsidRPr="00154EBA">
        <w:rPr>
          <w:rFonts w:ascii="Times New Roman" w:hAnsi="Times New Roman" w:cs="Times New Roman"/>
          <w:lang w:val="en-US"/>
        </w:rPr>
        <w:t>, 320–341. https://doi.org/10.1016/j.neuroimage.2013.08.048</w:t>
      </w:r>
    </w:p>
    <w:p w14:paraId="111EECE9" w14:textId="77777777" w:rsidR="00154EBA" w:rsidRPr="00154EBA" w:rsidRDefault="00154EBA" w:rsidP="00AE30C0">
      <w:pPr>
        <w:pStyle w:val="Bibliography"/>
        <w:spacing w:line="240" w:lineRule="auto"/>
        <w:rPr>
          <w:rFonts w:ascii="Times New Roman" w:hAnsi="Times New Roman" w:cs="Times New Roman"/>
          <w:lang w:val="en-US"/>
        </w:rPr>
      </w:pPr>
      <w:r w:rsidRPr="00154EBA">
        <w:rPr>
          <w:rFonts w:ascii="Times New Roman" w:hAnsi="Times New Roman" w:cs="Times New Roman"/>
          <w:lang w:val="en-US"/>
        </w:rPr>
        <w:t xml:space="preserve">Satterthwaite, T. D., Wolf, D. H., Ruparel, K., Erus, G., Elliott, M. A., Eickhoff, S. B., Gennatas, E. D., Jackson, C., Prabhakaran, K., Smith, A., Hakonarson, H., Verma, R., Davatzikos, C., Gur, R. E., &amp; Gur, R. C. (2013). Heterogeneous Impact of Motion on Fundamental Patterns of Developmental Changes in Functional Connectivity During Youth. </w:t>
      </w:r>
      <w:r w:rsidRPr="00154EBA">
        <w:rPr>
          <w:rFonts w:ascii="Times New Roman" w:hAnsi="Times New Roman" w:cs="Times New Roman"/>
          <w:i/>
          <w:iCs/>
          <w:lang w:val="en-US"/>
        </w:rPr>
        <w:t>NeuroImage</w:t>
      </w:r>
      <w:r w:rsidRPr="00154EBA">
        <w:rPr>
          <w:rFonts w:ascii="Times New Roman" w:hAnsi="Times New Roman" w:cs="Times New Roman"/>
          <w:lang w:val="en-US"/>
        </w:rPr>
        <w:t xml:space="preserve">, </w:t>
      </w:r>
      <w:r w:rsidRPr="00154EBA">
        <w:rPr>
          <w:rFonts w:ascii="Times New Roman" w:hAnsi="Times New Roman" w:cs="Times New Roman"/>
          <w:i/>
          <w:iCs/>
          <w:lang w:val="en-US"/>
        </w:rPr>
        <w:t>83</w:t>
      </w:r>
      <w:r w:rsidRPr="00154EBA">
        <w:rPr>
          <w:rFonts w:ascii="Times New Roman" w:hAnsi="Times New Roman" w:cs="Times New Roman"/>
          <w:lang w:val="en-US"/>
        </w:rPr>
        <w:t>, 10.1016/j.neuroimage.2013.06.045. https://doi.org/10.1016/j.neuroimage.2013.06.045</w:t>
      </w:r>
    </w:p>
    <w:p w14:paraId="6A735A45" w14:textId="77777777" w:rsidR="00154EBA" w:rsidRPr="00154EBA" w:rsidRDefault="00154EBA" w:rsidP="00AE30C0">
      <w:pPr>
        <w:pStyle w:val="Bibliography"/>
        <w:spacing w:line="240" w:lineRule="auto"/>
        <w:rPr>
          <w:rFonts w:ascii="Times New Roman" w:hAnsi="Times New Roman" w:cs="Times New Roman"/>
          <w:lang w:val="en-US"/>
        </w:rPr>
      </w:pPr>
      <w:r w:rsidRPr="00154EBA">
        <w:rPr>
          <w:rFonts w:ascii="Times New Roman" w:hAnsi="Times New Roman" w:cs="Times New Roman"/>
          <w:lang w:val="en-US"/>
        </w:rPr>
        <w:t xml:space="preserve">Tustison, N. J., Avants, B. B., Cook, P. A., Zheng, Y., Egan, A., Yushkevich, P. A., &amp; Gee, J. C. (2010). N4ITK: Improved N3 bias correction. </w:t>
      </w:r>
      <w:r w:rsidRPr="00154EBA">
        <w:rPr>
          <w:rFonts w:ascii="Times New Roman" w:hAnsi="Times New Roman" w:cs="Times New Roman"/>
          <w:i/>
          <w:iCs/>
          <w:lang w:val="en-US"/>
        </w:rPr>
        <w:t>IEEE Transactions on Medical Imaging</w:t>
      </w:r>
      <w:r w:rsidRPr="00154EBA">
        <w:rPr>
          <w:rFonts w:ascii="Times New Roman" w:hAnsi="Times New Roman" w:cs="Times New Roman"/>
          <w:lang w:val="en-US"/>
        </w:rPr>
        <w:t xml:space="preserve">, </w:t>
      </w:r>
      <w:r w:rsidRPr="00154EBA">
        <w:rPr>
          <w:rFonts w:ascii="Times New Roman" w:hAnsi="Times New Roman" w:cs="Times New Roman"/>
          <w:i/>
          <w:iCs/>
          <w:lang w:val="en-US"/>
        </w:rPr>
        <w:t>29</w:t>
      </w:r>
      <w:r w:rsidRPr="00154EBA">
        <w:rPr>
          <w:rFonts w:ascii="Times New Roman" w:hAnsi="Times New Roman" w:cs="Times New Roman"/>
          <w:lang w:val="en-US"/>
        </w:rPr>
        <w:t>(6), 1310–1320. https://doi.org/10.1109/TMI.2010.2046908</w:t>
      </w:r>
    </w:p>
    <w:p w14:paraId="665AE8AC" w14:textId="77777777" w:rsidR="00154EBA" w:rsidRPr="00154EBA" w:rsidRDefault="00154EBA" w:rsidP="00AE30C0">
      <w:pPr>
        <w:pStyle w:val="Bibliography"/>
        <w:spacing w:line="240" w:lineRule="auto"/>
        <w:rPr>
          <w:rFonts w:ascii="Times New Roman" w:hAnsi="Times New Roman" w:cs="Times New Roman"/>
          <w:lang w:val="en-US"/>
        </w:rPr>
      </w:pPr>
      <w:r w:rsidRPr="00154EBA">
        <w:rPr>
          <w:rFonts w:ascii="Times New Roman" w:hAnsi="Times New Roman" w:cs="Times New Roman"/>
          <w:lang w:val="en-US"/>
        </w:rPr>
        <w:t xml:space="preserve">Whitfield-Gabrieli, S., &amp; Nieto-Castanon, A. (2012). Conn: A Functional Connectivity Toolbox for Correlated and Anticorrelated Brain Networks. </w:t>
      </w:r>
      <w:r w:rsidRPr="00154EBA">
        <w:rPr>
          <w:rFonts w:ascii="Times New Roman" w:hAnsi="Times New Roman" w:cs="Times New Roman"/>
          <w:i/>
          <w:iCs/>
          <w:lang w:val="en-US"/>
        </w:rPr>
        <w:t>Brain Connectivity</w:t>
      </w:r>
      <w:r w:rsidRPr="00154EBA">
        <w:rPr>
          <w:rFonts w:ascii="Times New Roman" w:hAnsi="Times New Roman" w:cs="Times New Roman"/>
          <w:lang w:val="en-US"/>
        </w:rPr>
        <w:t xml:space="preserve">, </w:t>
      </w:r>
      <w:r w:rsidRPr="00154EBA">
        <w:rPr>
          <w:rFonts w:ascii="Times New Roman" w:hAnsi="Times New Roman" w:cs="Times New Roman"/>
          <w:i/>
          <w:iCs/>
          <w:lang w:val="en-US"/>
        </w:rPr>
        <w:t>2</w:t>
      </w:r>
      <w:r w:rsidRPr="00154EBA">
        <w:rPr>
          <w:rFonts w:ascii="Times New Roman" w:hAnsi="Times New Roman" w:cs="Times New Roman"/>
          <w:lang w:val="en-US"/>
        </w:rPr>
        <w:t>(3), 125–141. https://doi.org/10.1089/brain.2012.0073</w:t>
      </w:r>
    </w:p>
    <w:p w14:paraId="489D05FF" w14:textId="77777777" w:rsidR="00154EBA" w:rsidRPr="00154EBA" w:rsidRDefault="00154EBA" w:rsidP="00AE30C0">
      <w:pPr>
        <w:pStyle w:val="Bibliography"/>
        <w:spacing w:line="240" w:lineRule="auto"/>
        <w:rPr>
          <w:rFonts w:ascii="Times New Roman" w:hAnsi="Times New Roman" w:cs="Times New Roman"/>
          <w:lang w:val="en-US"/>
        </w:rPr>
      </w:pPr>
      <w:r w:rsidRPr="00154EBA">
        <w:rPr>
          <w:rFonts w:ascii="Times New Roman" w:hAnsi="Times New Roman" w:cs="Times New Roman"/>
          <w:lang w:val="en-US"/>
        </w:rPr>
        <w:t xml:space="preserve">Worsley, K. J., Marrett, S., Neelin, P., Vandal, A. C., Friston, K. J., &amp; Evans, A. C. (1996). A unified statistical approach for determining significant signals in images of cerebral activation. </w:t>
      </w:r>
      <w:r w:rsidRPr="00154EBA">
        <w:rPr>
          <w:rFonts w:ascii="Times New Roman" w:hAnsi="Times New Roman" w:cs="Times New Roman"/>
          <w:i/>
          <w:iCs/>
          <w:lang w:val="en-US"/>
        </w:rPr>
        <w:t>Human Brain Mapping</w:t>
      </w:r>
      <w:r w:rsidRPr="00154EBA">
        <w:rPr>
          <w:rFonts w:ascii="Times New Roman" w:hAnsi="Times New Roman" w:cs="Times New Roman"/>
          <w:lang w:val="en-US"/>
        </w:rPr>
        <w:t xml:space="preserve">, </w:t>
      </w:r>
      <w:r w:rsidRPr="00154EBA">
        <w:rPr>
          <w:rFonts w:ascii="Times New Roman" w:hAnsi="Times New Roman" w:cs="Times New Roman"/>
          <w:i/>
          <w:iCs/>
          <w:lang w:val="en-US"/>
        </w:rPr>
        <w:t>4</w:t>
      </w:r>
      <w:r w:rsidRPr="00154EBA">
        <w:rPr>
          <w:rFonts w:ascii="Times New Roman" w:hAnsi="Times New Roman" w:cs="Times New Roman"/>
          <w:lang w:val="en-US"/>
        </w:rPr>
        <w:t>(1), 58–73. https://doi.org/10.1002/(SICI)1097-0193(1996)4:1&lt;58::AID-HBM4&gt;3.0.CO;2-O</w:t>
      </w:r>
    </w:p>
    <w:p w14:paraId="559EC8C8" w14:textId="4AD57CCB" w:rsidR="007C5A4B" w:rsidRPr="007C5A4B" w:rsidRDefault="007C5A4B" w:rsidP="00AE30C0">
      <w:pPr>
        <w:pStyle w:val="NormalWeb"/>
        <w:ind w:firstLine="720"/>
        <w:jc w:val="center"/>
      </w:pPr>
      <w:r>
        <w:fldChar w:fldCharType="end"/>
      </w:r>
    </w:p>
    <w:p w14:paraId="1A616D45" w14:textId="34100A8D" w:rsidR="00BF5689" w:rsidRPr="00BF5689" w:rsidRDefault="00BF5689" w:rsidP="00AE30C0">
      <w:pPr>
        <w:ind w:left="720" w:hanging="720"/>
        <w:rPr>
          <w:rFonts w:ascii="Times New Roman" w:hAnsi="Times New Roman" w:cs="Times New Roman"/>
        </w:rPr>
      </w:pPr>
    </w:p>
    <w:sectPr w:rsidR="00BF5689" w:rsidRPr="00BF568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erif CJK SC">
    <w:altName w:val="Cambria"/>
    <w:panose1 w:val="020B0604020202020204"/>
    <w:charset w:val="00"/>
    <w:family w:val="roman"/>
    <w:notTrueType/>
    <w:pitch w:val="default"/>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Liberation Serif">
    <w:altName w:val="Times New Roman"/>
    <w:panose1 w:val="020B0604020202020204"/>
    <w:charset w:val="01"/>
    <w:family w:val="roman"/>
    <w:pitch w:val="variable"/>
  </w:font>
  <w:font w:name="Noto Sans Arabic UI">
    <w:altName w:val="Cambria"/>
    <w:panose1 w:val="020B0604020202020204"/>
    <w:charset w:val="00"/>
    <w:family w:val="roman"/>
    <w:notTrueType/>
    <w:pitch w:val="default"/>
  </w:font>
  <w:font w:name="Noto Sans Mono CJK SC">
    <w:panose1 w:val="020B0604020202020204"/>
    <w:charset w:val="00"/>
    <w:family w:val="roman"/>
    <w:notTrueType/>
    <w:pitch w:val="default"/>
  </w:font>
  <w:font w:name="Liberation Mono">
    <w:altName w:val="Courier New"/>
    <w:panose1 w:val="020B0604020202020204"/>
    <w:charset w:val="01"/>
    <w:family w:val="modern"/>
    <w:pitch w:val="fixed"/>
  </w:font>
  <w:font w:name="Calibri">
    <w:panose1 w:val="020F0502020204030204"/>
    <w:charset w:val="00"/>
    <w:family w:val="swiss"/>
    <w:pitch w:val="variable"/>
    <w:sig w:usb0="E0002AFF" w:usb1="C000ACF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AC646DE"/>
    <w:multiLevelType w:val="hybridMultilevel"/>
    <w:tmpl w:val="A97A5D8C"/>
    <w:lvl w:ilvl="0" w:tplc="8520B30E">
      <w:start w:val="16"/>
      <w:numFmt w:val="bullet"/>
      <w:lvlText w:val="-"/>
      <w:lvlJc w:val="left"/>
      <w:pPr>
        <w:ind w:left="720" w:hanging="360"/>
      </w:pPr>
      <w:rPr>
        <w:rFonts w:ascii="Times New Roman" w:eastAsia="Noto Serif CJK SC"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E1240C7"/>
    <w:multiLevelType w:val="hybridMultilevel"/>
    <w:tmpl w:val="6548E136"/>
    <w:lvl w:ilvl="0" w:tplc="2E56F2DC">
      <w:start w:val="16"/>
      <w:numFmt w:val="bullet"/>
      <w:lvlText w:val="-"/>
      <w:lvlJc w:val="left"/>
      <w:pPr>
        <w:ind w:left="720" w:hanging="360"/>
      </w:pPr>
      <w:rPr>
        <w:rFonts w:ascii="Times New Roman" w:eastAsia="Noto Serif CJK SC"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788621">
    <w:abstractNumId w:val="0"/>
  </w:num>
  <w:num w:numId="2" w16cid:durableId="1192840117">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3"/>
  <w:hideSpellingErrors/>
  <w:hideGrammaticalErrors/>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47DC"/>
    <w:rsid w:val="00091236"/>
    <w:rsid w:val="000B7707"/>
    <w:rsid w:val="00154EBA"/>
    <w:rsid w:val="0017045B"/>
    <w:rsid w:val="00174F47"/>
    <w:rsid w:val="00197440"/>
    <w:rsid w:val="001B7817"/>
    <w:rsid w:val="00256A8B"/>
    <w:rsid w:val="00321252"/>
    <w:rsid w:val="00341D84"/>
    <w:rsid w:val="00371414"/>
    <w:rsid w:val="003850D5"/>
    <w:rsid w:val="003A0FDD"/>
    <w:rsid w:val="003E2DD7"/>
    <w:rsid w:val="004D0F6E"/>
    <w:rsid w:val="00520D62"/>
    <w:rsid w:val="00533422"/>
    <w:rsid w:val="005B3013"/>
    <w:rsid w:val="005C6A94"/>
    <w:rsid w:val="005E2C2B"/>
    <w:rsid w:val="006109B9"/>
    <w:rsid w:val="006630A3"/>
    <w:rsid w:val="006B2214"/>
    <w:rsid w:val="006C3978"/>
    <w:rsid w:val="006F28A6"/>
    <w:rsid w:val="00777F94"/>
    <w:rsid w:val="007C5A4B"/>
    <w:rsid w:val="0082659F"/>
    <w:rsid w:val="008347DC"/>
    <w:rsid w:val="00892901"/>
    <w:rsid w:val="008B59BA"/>
    <w:rsid w:val="00941D79"/>
    <w:rsid w:val="00A4428C"/>
    <w:rsid w:val="00A8012E"/>
    <w:rsid w:val="00A97BC8"/>
    <w:rsid w:val="00AC6D73"/>
    <w:rsid w:val="00AE30C0"/>
    <w:rsid w:val="00BE3879"/>
    <w:rsid w:val="00BF5689"/>
    <w:rsid w:val="00C336E3"/>
    <w:rsid w:val="00C414C2"/>
    <w:rsid w:val="00C70A8D"/>
    <w:rsid w:val="00C90D4E"/>
    <w:rsid w:val="00CA701E"/>
    <w:rsid w:val="00CB43F3"/>
    <w:rsid w:val="00CE7284"/>
    <w:rsid w:val="00D048CE"/>
    <w:rsid w:val="00D4037E"/>
    <w:rsid w:val="00D85637"/>
    <w:rsid w:val="00E1758B"/>
    <w:rsid w:val="00E541F7"/>
    <w:rsid w:val="00F1551D"/>
    <w:rsid w:val="00F274CA"/>
    <w:rsid w:val="00F35C95"/>
    <w:rsid w:val="00FA6854"/>
    <w:rsid w:val="00FB630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FDB27D"/>
  <w15:chartTrackingRefBased/>
  <w15:docId w15:val="{3566543B-D7D4-484A-A19E-23EADC762D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47DC"/>
  </w:style>
  <w:style w:type="paragraph" w:styleId="Heading1">
    <w:name w:val="heading 1"/>
    <w:basedOn w:val="Normal"/>
    <w:next w:val="Normal"/>
    <w:link w:val="Heading1Char"/>
    <w:uiPriority w:val="9"/>
    <w:qFormat/>
    <w:rsid w:val="008347D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347D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347D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347D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347D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347D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347D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347D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347D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47D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347D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347D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347D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347D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347D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347D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347D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347DC"/>
    <w:rPr>
      <w:rFonts w:eastAsiaTheme="majorEastAsia" w:cstheme="majorBidi"/>
      <w:color w:val="272727" w:themeColor="text1" w:themeTint="D8"/>
    </w:rPr>
  </w:style>
  <w:style w:type="paragraph" w:styleId="Title">
    <w:name w:val="Title"/>
    <w:basedOn w:val="Normal"/>
    <w:next w:val="Normal"/>
    <w:link w:val="TitleChar"/>
    <w:uiPriority w:val="10"/>
    <w:qFormat/>
    <w:rsid w:val="008347D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347D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347DC"/>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347D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347D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347DC"/>
    <w:rPr>
      <w:i/>
      <w:iCs/>
      <w:color w:val="404040" w:themeColor="text1" w:themeTint="BF"/>
    </w:rPr>
  </w:style>
  <w:style w:type="paragraph" w:styleId="ListParagraph">
    <w:name w:val="List Paragraph"/>
    <w:basedOn w:val="Normal"/>
    <w:uiPriority w:val="34"/>
    <w:qFormat/>
    <w:rsid w:val="008347DC"/>
    <w:pPr>
      <w:ind w:left="720"/>
      <w:contextualSpacing/>
    </w:pPr>
  </w:style>
  <w:style w:type="character" w:styleId="IntenseEmphasis">
    <w:name w:val="Intense Emphasis"/>
    <w:basedOn w:val="DefaultParagraphFont"/>
    <w:uiPriority w:val="21"/>
    <w:qFormat/>
    <w:rsid w:val="008347DC"/>
    <w:rPr>
      <w:i/>
      <w:iCs/>
      <w:color w:val="0F4761" w:themeColor="accent1" w:themeShade="BF"/>
    </w:rPr>
  </w:style>
  <w:style w:type="paragraph" w:styleId="IntenseQuote">
    <w:name w:val="Intense Quote"/>
    <w:basedOn w:val="Normal"/>
    <w:next w:val="Normal"/>
    <w:link w:val="IntenseQuoteChar"/>
    <w:uiPriority w:val="30"/>
    <w:qFormat/>
    <w:rsid w:val="008347D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347DC"/>
    <w:rPr>
      <w:i/>
      <w:iCs/>
      <w:color w:val="0F4761" w:themeColor="accent1" w:themeShade="BF"/>
    </w:rPr>
  </w:style>
  <w:style w:type="character" w:styleId="IntenseReference">
    <w:name w:val="Intense Reference"/>
    <w:basedOn w:val="DefaultParagraphFont"/>
    <w:uiPriority w:val="32"/>
    <w:qFormat/>
    <w:rsid w:val="008347DC"/>
    <w:rPr>
      <w:b/>
      <w:bCs/>
      <w:smallCaps/>
      <w:color w:val="0F4761" w:themeColor="accent1" w:themeShade="BF"/>
      <w:spacing w:val="5"/>
    </w:rPr>
  </w:style>
  <w:style w:type="character" w:styleId="CommentReference">
    <w:name w:val="annotation reference"/>
    <w:basedOn w:val="DefaultParagraphFont"/>
    <w:uiPriority w:val="99"/>
    <w:semiHidden/>
    <w:unhideWhenUsed/>
    <w:rsid w:val="00777F94"/>
    <w:rPr>
      <w:sz w:val="16"/>
      <w:szCs w:val="16"/>
    </w:rPr>
  </w:style>
  <w:style w:type="paragraph" w:styleId="CommentText">
    <w:name w:val="annotation text"/>
    <w:basedOn w:val="Normal"/>
    <w:link w:val="CommentTextChar"/>
    <w:uiPriority w:val="99"/>
    <w:unhideWhenUsed/>
    <w:rsid w:val="00777F94"/>
    <w:rPr>
      <w:sz w:val="20"/>
      <w:szCs w:val="20"/>
    </w:rPr>
  </w:style>
  <w:style w:type="character" w:customStyle="1" w:styleId="CommentTextChar">
    <w:name w:val="Comment Text Char"/>
    <w:basedOn w:val="DefaultParagraphFont"/>
    <w:link w:val="CommentText"/>
    <w:uiPriority w:val="99"/>
    <w:rsid w:val="00777F94"/>
    <w:rPr>
      <w:sz w:val="20"/>
      <w:szCs w:val="20"/>
    </w:rPr>
  </w:style>
  <w:style w:type="paragraph" w:styleId="CommentSubject">
    <w:name w:val="annotation subject"/>
    <w:basedOn w:val="CommentText"/>
    <w:next w:val="CommentText"/>
    <w:link w:val="CommentSubjectChar"/>
    <w:uiPriority w:val="99"/>
    <w:semiHidden/>
    <w:unhideWhenUsed/>
    <w:rsid w:val="00777F94"/>
    <w:rPr>
      <w:b/>
      <w:bCs/>
    </w:rPr>
  </w:style>
  <w:style w:type="character" w:customStyle="1" w:styleId="CommentSubjectChar">
    <w:name w:val="Comment Subject Char"/>
    <w:basedOn w:val="CommentTextChar"/>
    <w:link w:val="CommentSubject"/>
    <w:uiPriority w:val="99"/>
    <w:semiHidden/>
    <w:rsid w:val="00777F94"/>
    <w:rPr>
      <w:b/>
      <w:bCs/>
      <w:sz w:val="20"/>
      <w:szCs w:val="20"/>
    </w:rPr>
  </w:style>
  <w:style w:type="paragraph" w:styleId="Revision">
    <w:name w:val="Revision"/>
    <w:hidden/>
    <w:uiPriority w:val="99"/>
    <w:semiHidden/>
    <w:rsid w:val="00777F94"/>
  </w:style>
  <w:style w:type="paragraph" w:styleId="NormalWeb">
    <w:name w:val="Normal (Web)"/>
    <w:basedOn w:val="Normal"/>
    <w:uiPriority w:val="99"/>
    <w:unhideWhenUsed/>
    <w:rsid w:val="00BF5689"/>
    <w:pPr>
      <w:spacing w:before="100" w:beforeAutospacing="1" w:after="100" w:afterAutospacing="1"/>
    </w:pPr>
    <w:rPr>
      <w:rFonts w:ascii="Times New Roman" w:eastAsia="Times New Roman" w:hAnsi="Times New Roman" w:cs="Times New Roman"/>
      <w:kern w:val="0"/>
      <w14:ligatures w14:val="none"/>
    </w:rPr>
  </w:style>
  <w:style w:type="paragraph" w:styleId="Bibliography">
    <w:name w:val="Bibliography"/>
    <w:basedOn w:val="Normal"/>
    <w:next w:val="Normal"/>
    <w:uiPriority w:val="37"/>
    <w:unhideWhenUsed/>
    <w:rsid w:val="007C5A4B"/>
    <w:pPr>
      <w:tabs>
        <w:tab w:val="left" w:pos="380"/>
      </w:tabs>
      <w:spacing w:line="480" w:lineRule="auto"/>
      <w:ind w:left="720" w:hanging="720"/>
    </w:pPr>
  </w:style>
  <w:style w:type="paragraph" w:customStyle="1" w:styleId="TableContents">
    <w:name w:val="Table Contents"/>
    <w:basedOn w:val="Normal"/>
    <w:qFormat/>
    <w:rsid w:val="003A0FDD"/>
    <w:pPr>
      <w:widowControl w:val="0"/>
      <w:suppressLineNumbers/>
      <w:suppressAutoHyphens/>
    </w:pPr>
    <w:rPr>
      <w:rFonts w:ascii="Liberation Serif" w:eastAsia="Noto Serif CJK SC" w:hAnsi="Liberation Serif" w:cs="Noto Sans Arabic UI"/>
      <w:kern w:val="0"/>
      <w:lang w:val="en-US"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37743606">
      <w:bodyDiv w:val="1"/>
      <w:marLeft w:val="0"/>
      <w:marRight w:val="0"/>
      <w:marTop w:val="0"/>
      <w:marBottom w:val="0"/>
      <w:divBdr>
        <w:top w:val="none" w:sz="0" w:space="0" w:color="auto"/>
        <w:left w:val="none" w:sz="0" w:space="0" w:color="auto"/>
        <w:bottom w:val="none" w:sz="0" w:space="0" w:color="auto"/>
        <w:right w:val="none" w:sz="0" w:space="0" w:color="auto"/>
      </w:divBdr>
    </w:div>
    <w:div w:id="1118641401">
      <w:bodyDiv w:val="1"/>
      <w:marLeft w:val="0"/>
      <w:marRight w:val="0"/>
      <w:marTop w:val="0"/>
      <w:marBottom w:val="0"/>
      <w:divBdr>
        <w:top w:val="none" w:sz="0" w:space="0" w:color="auto"/>
        <w:left w:val="none" w:sz="0" w:space="0" w:color="auto"/>
        <w:bottom w:val="none" w:sz="0" w:space="0" w:color="auto"/>
        <w:right w:val="none" w:sz="0" w:space="0" w:color="auto"/>
      </w:divBdr>
    </w:div>
    <w:div w:id="1847866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hart" Target="charts/chart1.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png"/></Relationships>
</file>

<file path=word/charts/_rels/chart1.xml.rels><?xml version="1.0" encoding="UTF-8" standalone="yes"?>
<Relationships xmlns="http://schemas.openxmlformats.org/package/2006/relationships"><Relationship Id="rId3" Type="http://schemas.openxmlformats.org/officeDocument/2006/relationships/oleObject" Target="file:////Users\kevaklamer\Desktop\Manuscripts\Migraine%20Emotion%20ISC\Sex%20Differences\Revisions-%20Probable%20migraine\ProbableMigraineVSControls_BehaviouralFigures.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US" b="1">
                <a:solidFill>
                  <a:schemeClr val="tx1"/>
                </a:solidFill>
                <a:latin typeface="Arial" panose="020B0604020202020204" pitchFamily="34" charset="0"/>
                <a:cs typeface="Arial" panose="020B0604020202020204" pitchFamily="34" charset="0"/>
              </a:rPr>
              <a:t>Arousal Scores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col"/>
        <c:grouping val="clustered"/>
        <c:varyColors val="0"/>
        <c:ser>
          <c:idx val="0"/>
          <c:order val="0"/>
          <c:tx>
            <c:strRef>
              <c:f>Sheet1!$B$12</c:f>
              <c:strCache>
                <c:ptCount val="1"/>
                <c:pt idx="0">
                  <c:v>Negative- Migraine</c:v>
                </c:pt>
              </c:strCache>
            </c:strRef>
          </c:tx>
          <c:spPr>
            <a:solidFill>
              <a:schemeClr val="accent2">
                <a:lumMod val="50000"/>
              </a:schemeClr>
            </a:solidFill>
            <a:ln>
              <a:noFill/>
            </a:ln>
            <a:effectLst/>
          </c:spPr>
          <c:invertIfNegative val="0"/>
          <c:errBars>
            <c:errBarType val="both"/>
            <c:errValType val="cust"/>
            <c:noEndCap val="0"/>
            <c:plus>
              <c:numRef>
                <c:f>Sheet1!$B$11</c:f>
                <c:numCache>
                  <c:formatCode>General</c:formatCode>
                  <c:ptCount val="1"/>
                  <c:pt idx="0">
                    <c:v>1.6755199999999999</c:v>
                  </c:pt>
                </c:numCache>
              </c:numRef>
            </c:plus>
            <c:minus>
              <c:numRef>
                <c:f>Sheet1!$B$11</c:f>
                <c:numCache>
                  <c:formatCode>General</c:formatCode>
                  <c:ptCount val="1"/>
                  <c:pt idx="0">
                    <c:v>1.6755199999999999</c:v>
                  </c:pt>
                </c:numCache>
              </c:numRef>
            </c:minus>
            <c:spPr>
              <a:noFill/>
              <a:ln w="9525" cap="flat" cmpd="sng" algn="ctr">
                <a:solidFill>
                  <a:schemeClr val="tx1">
                    <a:lumMod val="65000"/>
                    <a:lumOff val="35000"/>
                  </a:schemeClr>
                </a:solidFill>
                <a:round/>
              </a:ln>
              <a:effectLst/>
            </c:spPr>
          </c:errBars>
          <c:cat>
            <c:strRef>
              <c:f>Sheet1!$A$13</c:f>
              <c:strCache>
                <c:ptCount val="1"/>
                <c:pt idx="0">
                  <c:v>Interested, Concentrated, Alert</c:v>
                </c:pt>
              </c:strCache>
            </c:strRef>
          </c:cat>
          <c:val>
            <c:numRef>
              <c:f>Sheet1!$B$13</c:f>
              <c:numCache>
                <c:formatCode>General</c:formatCode>
                <c:ptCount val="1"/>
                <c:pt idx="0">
                  <c:v>4.9545000000000003</c:v>
                </c:pt>
              </c:numCache>
            </c:numRef>
          </c:val>
          <c:extLst>
            <c:ext xmlns:c16="http://schemas.microsoft.com/office/drawing/2014/chart" uri="{C3380CC4-5D6E-409C-BE32-E72D297353CC}">
              <c16:uniqueId val="{00000000-E163-F14A-AC05-88015BDCEE7C}"/>
            </c:ext>
          </c:extLst>
        </c:ser>
        <c:ser>
          <c:idx val="1"/>
          <c:order val="1"/>
          <c:tx>
            <c:strRef>
              <c:f>Sheet1!$C$12</c:f>
              <c:strCache>
                <c:ptCount val="1"/>
                <c:pt idx="0">
                  <c:v>Negative- Control</c:v>
                </c:pt>
              </c:strCache>
            </c:strRef>
          </c:tx>
          <c:spPr>
            <a:solidFill>
              <a:schemeClr val="accent2">
                <a:lumMod val="75000"/>
              </a:schemeClr>
            </a:solidFill>
            <a:ln>
              <a:noFill/>
            </a:ln>
            <a:effectLst/>
          </c:spPr>
          <c:invertIfNegative val="0"/>
          <c:dPt>
            <c:idx val="0"/>
            <c:invertIfNegative val="0"/>
            <c:bubble3D val="0"/>
            <c:spPr>
              <a:solidFill>
                <a:schemeClr val="accent2">
                  <a:lumMod val="75000"/>
                </a:schemeClr>
              </a:solidFill>
              <a:ln>
                <a:noFill/>
              </a:ln>
              <a:effectLst/>
            </c:spPr>
            <c:extLst>
              <c:ext xmlns:c16="http://schemas.microsoft.com/office/drawing/2014/chart" uri="{C3380CC4-5D6E-409C-BE32-E72D297353CC}">
                <c16:uniqueId val="{00000002-E163-F14A-AC05-88015BDCEE7C}"/>
              </c:ext>
            </c:extLst>
          </c:dPt>
          <c:errBars>
            <c:errBarType val="both"/>
            <c:errValType val="cust"/>
            <c:noEndCap val="0"/>
            <c:plus>
              <c:numRef>
                <c:f>Sheet1!$C$11</c:f>
                <c:numCache>
                  <c:formatCode>General</c:formatCode>
                  <c:ptCount val="1"/>
                  <c:pt idx="0">
                    <c:v>1.1526400000000001</c:v>
                  </c:pt>
                </c:numCache>
              </c:numRef>
            </c:plus>
            <c:minus>
              <c:numRef>
                <c:f>Sheet1!$C$11</c:f>
                <c:numCache>
                  <c:formatCode>General</c:formatCode>
                  <c:ptCount val="1"/>
                  <c:pt idx="0">
                    <c:v>1.1526400000000001</c:v>
                  </c:pt>
                </c:numCache>
              </c:numRef>
            </c:minus>
            <c:spPr>
              <a:noFill/>
              <a:ln w="9525" cap="flat" cmpd="sng" algn="ctr">
                <a:solidFill>
                  <a:schemeClr val="tx1">
                    <a:lumMod val="65000"/>
                    <a:lumOff val="35000"/>
                  </a:schemeClr>
                </a:solidFill>
                <a:round/>
              </a:ln>
              <a:effectLst/>
            </c:spPr>
          </c:errBars>
          <c:cat>
            <c:strRef>
              <c:f>Sheet1!$A$13</c:f>
              <c:strCache>
                <c:ptCount val="1"/>
                <c:pt idx="0">
                  <c:v>Interested, Concentrated, Alert</c:v>
                </c:pt>
              </c:strCache>
            </c:strRef>
          </c:cat>
          <c:val>
            <c:numRef>
              <c:f>Sheet1!$C$13</c:f>
              <c:numCache>
                <c:formatCode>General</c:formatCode>
                <c:ptCount val="1"/>
                <c:pt idx="0">
                  <c:v>4.8571999999999997</c:v>
                </c:pt>
              </c:numCache>
            </c:numRef>
          </c:val>
          <c:extLst>
            <c:ext xmlns:c16="http://schemas.microsoft.com/office/drawing/2014/chart" uri="{C3380CC4-5D6E-409C-BE32-E72D297353CC}">
              <c16:uniqueId val="{00000003-E163-F14A-AC05-88015BDCEE7C}"/>
            </c:ext>
          </c:extLst>
        </c:ser>
        <c:ser>
          <c:idx val="2"/>
          <c:order val="2"/>
          <c:tx>
            <c:strRef>
              <c:f>Sheet1!$D$12</c:f>
              <c:strCache>
                <c:ptCount val="1"/>
                <c:pt idx="0">
                  <c:v>Positive- Migraine</c:v>
                </c:pt>
              </c:strCache>
            </c:strRef>
          </c:tx>
          <c:spPr>
            <a:solidFill>
              <a:schemeClr val="accent2">
                <a:lumMod val="60000"/>
                <a:lumOff val="40000"/>
              </a:schemeClr>
            </a:solidFill>
            <a:ln>
              <a:noFill/>
            </a:ln>
            <a:effectLst/>
          </c:spPr>
          <c:invertIfNegative val="0"/>
          <c:errBars>
            <c:errBarType val="both"/>
            <c:errValType val="cust"/>
            <c:noEndCap val="0"/>
            <c:plus>
              <c:numRef>
                <c:f>Sheet1!$D$11</c:f>
                <c:numCache>
                  <c:formatCode>General</c:formatCode>
                  <c:ptCount val="1"/>
                  <c:pt idx="0">
                    <c:v>1.38639</c:v>
                  </c:pt>
                </c:numCache>
              </c:numRef>
            </c:plus>
            <c:minus>
              <c:numRef>
                <c:f>Sheet1!$D$11</c:f>
                <c:numCache>
                  <c:formatCode>General</c:formatCode>
                  <c:ptCount val="1"/>
                  <c:pt idx="0">
                    <c:v>1.38639</c:v>
                  </c:pt>
                </c:numCache>
              </c:numRef>
            </c:minus>
            <c:spPr>
              <a:noFill/>
              <a:ln w="9525" cap="flat" cmpd="sng" algn="ctr">
                <a:solidFill>
                  <a:schemeClr val="tx1">
                    <a:lumMod val="65000"/>
                    <a:lumOff val="35000"/>
                  </a:schemeClr>
                </a:solidFill>
                <a:round/>
              </a:ln>
              <a:effectLst/>
            </c:spPr>
          </c:errBars>
          <c:cat>
            <c:strRef>
              <c:f>Sheet1!$A$13</c:f>
              <c:strCache>
                <c:ptCount val="1"/>
                <c:pt idx="0">
                  <c:v>Interested, Concentrated, Alert</c:v>
                </c:pt>
              </c:strCache>
            </c:strRef>
          </c:cat>
          <c:val>
            <c:numRef>
              <c:f>Sheet1!$D$13</c:f>
              <c:numCache>
                <c:formatCode>General</c:formatCode>
                <c:ptCount val="1"/>
                <c:pt idx="0">
                  <c:v>5.2727000000000004</c:v>
                </c:pt>
              </c:numCache>
            </c:numRef>
          </c:val>
          <c:extLst>
            <c:ext xmlns:c16="http://schemas.microsoft.com/office/drawing/2014/chart" uri="{C3380CC4-5D6E-409C-BE32-E72D297353CC}">
              <c16:uniqueId val="{00000004-E163-F14A-AC05-88015BDCEE7C}"/>
            </c:ext>
          </c:extLst>
        </c:ser>
        <c:ser>
          <c:idx val="3"/>
          <c:order val="3"/>
          <c:tx>
            <c:strRef>
              <c:f>Sheet1!$E$12</c:f>
              <c:strCache>
                <c:ptCount val="1"/>
                <c:pt idx="0">
                  <c:v>Positive- Control</c:v>
                </c:pt>
              </c:strCache>
            </c:strRef>
          </c:tx>
          <c:spPr>
            <a:solidFill>
              <a:schemeClr val="accent2">
                <a:lumMod val="20000"/>
                <a:lumOff val="80000"/>
              </a:schemeClr>
            </a:solidFill>
            <a:ln>
              <a:noFill/>
            </a:ln>
            <a:effectLst/>
          </c:spPr>
          <c:invertIfNegative val="0"/>
          <c:errBars>
            <c:errBarType val="both"/>
            <c:errValType val="cust"/>
            <c:noEndCap val="0"/>
            <c:plus>
              <c:numRef>
                <c:f>Sheet1!$E$11</c:f>
                <c:numCache>
                  <c:formatCode>General</c:formatCode>
                  <c:ptCount val="1"/>
                  <c:pt idx="0">
                    <c:v>1.4654799999999999</c:v>
                  </c:pt>
                </c:numCache>
              </c:numRef>
            </c:plus>
            <c:minus>
              <c:numRef>
                <c:f>Sheet1!$E$11</c:f>
                <c:numCache>
                  <c:formatCode>General</c:formatCode>
                  <c:ptCount val="1"/>
                  <c:pt idx="0">
                    <c:v>1.4654799999999999</c:v>
                  </c:pt>
                </c:numCache>
              </c:numRef>
            </c:minus>
            <c:spPr>
              <a:noFill/>
              <a:ln w="9525" cap="flat" cmpd="sng" algn="ctr">
                <a:solidFill>
                  <a:schemeClr val="tx1">
                    <a:lumMod val="65000"/>
                    <a:lumOff val="35000"/>
                  </a:schemeClr>
                </a:solidFill>
                <a:round/>
              </a:ln>
              <a:effectLst/>
            </c:spPr>
          </c:errBars>
          <c:cat>
            <c:strRef>
              <c:f>Sheet1!$A$13</c:f>
              <c:strCache>
                <c:ptCount val="1"/>
                <c:pt idx="0">
                  <c:v>Interested, Concentrated, Alert</c:v>
                </c:pt>
              </c:strCache>
            </c:strRef>
          </c:cat>
          <c:val>
            <c:numRef>
              <c:f>Sheet1!$E$13</c:f>
              <c:numCache>
                <c:formatCode>General</c:formatCode>
                <c:ptCount val="1"/>
                <c:pt idx="0">
                  <c:v>4.9523999999999999</c:v>
                </c:pt>
              </c:numCache>
            </c:numRef>
          </c:val>
          <c:extLst>
            <c:ext xmlns:c16="http://schemas.microsoft.com/office/drawing/2014/chart" uri="{C3380CC4-5D6E-409C-BE32-E72D297353CC}">
              <c16:uniqueId val="{00000005-E163-F14A-AC05-88015BDCEE7C}"/>
            </c:ext>
          </c:extLst>
        </c:ser>
        <c:ser>
          <c:idx val="4"/>
          <c:order val="4"/>
          <c:tx>
            <c:strRef>
              <c:f>Sheet1!$F$12</c:f>
              <c:strCache>
                <c:ptCount val="1"/>
                <c:pt idx="0">
                  <c:v>Neutral- Migraine</c:v>
                </c:pt>
              </c:strCache>
            </c:strRef>
          </c:tx>
          <c:spPr>
            <a:solidFill>
              <a:srgbClr val="EA5E41"/>
            </a:solidFill>
            <a:ln>
              <a:noFill/>
            </a:ln>
            <a:effectLst/>
          </c:spPr>
          <c:invertIfNegative val="0"/>
          <c:errBars>
            <c:errBarType val="both"/>
            <c:errValType val="cust"/>
            <c:noEndCap val="0"/>
            <c:plus>
              <c:numRef>
                <c:f>Sheet1!$F$11</c:f>
                <c:numCache>
                  <c:formatCode>General</c:formatCode>
                  <c:ptCount val="1"/>
                  <c:pt idx="0">
                    <c:v>1.7358</c:v>
                  </c:pt>
                </c:numCache>
              </c:numRef>
            </c:plus>
            <c:minus>
              <c:numLit>
                <c:formatCode>General</c:formatCode>
                <c:ptCount val="1"/>
                <c:pt idx="0">
                  <c:v>1</c:v>
                </c:pt>
              </c:numLit>
            </c:minus>
            <c:spPr>
              <a:noFill/>
              <a:ln w="9525" cap="flat" cmpd="sng" algn="ctr">
                <a:solidFill>
                  <a:schemeClr val="tx1">
                    <a:lumMod val="65000"/>
                    <a:lumOff val="35000"/>
                  </a:schemeClr>
                </a:solidFill>
                <a:round/>
              </a:ln>
              <a:effectLst/>
            </c:spPr>
          </c:errBars>
          <c:cat>
            <c:strRef>
              <c:f>Sheet1!$A$13</c:f>
              <c:strCache>
                <c:ptCount val="1"/>
                <c:pt idx="0">
                  <c:v>Interested, Concentrated, Alert</c:v>
                </c:pt>
              </c:strCache>
            </c:strRef>
          </c:cat>
          <c:val>
            <c:numRef>
              <c:f>Sheet1!$F$13</c:f>
              <c:numCache>
                <c:formatCode>General</c:formatCode>
                <c:ptCount val="1"/>
                <c:pt idx="0">
                  <c:v>3.1818</c:v>
                </c:pt>
              </c:numCache>
            </c:numRef>
          </c:val>
          <c:extLst>
            <c:ext xmlns:c16="http://schemas.microsoft.com/office/drawing/2014/chart" uri="{C3380CC4-5D6E-409C-BE32-E72D297353CC}">
              <c16:uniqueId val="{00000006-E163-F14A-AC05-88015BDCEE7C}"/>
            </c:ext>
          </c:extLst>
        </c:ser>
        <c:ser>
          <c:idx val="5"/>
          <c:order val="5"/>
          <c:tx>
            <c:strRef>
              <c:f>Sheet1!$G$12</c:f>
              <c:strCache>
                <c:ptCount val="1"/>
                <c:pt idx="0">
                  <c:v>Neutral- Control</c:v>
                </c:pt>
              </c:strCache>
            </c:strRef>
          </c:tx>
          <c:spPr>
            <a:solidFill>
              <a:srgbClr val="E98D75"/>
            </a:solidFill>
            <a:ln>
              <a:noFill/>
            </a:ln>
            <a:effectLst/>
          </c:spPr>
          <c:invertIfNegative val="0"/>
          <c:errBars>
            <c:errBarType val="both"/>
            <c:errValType val="cust"/>
            <c:noEndCap val="0"/>
            <c:plus>
              <c:numRef>
                <c:f>Sheet1!$G$11</c:f>
                <c:numCache>
                  <c:formatCode>General</c:formatCode>
                  <c:ptCount val="1"/>
                  <c:pt idx="0">
                    <c:v>1.7457400000000001</c:v>
                  </c:pt>
                </c:numCache>
              </c:numRef>
            </c:plus>
            <c:minus>
              <c:numRef>
                <c:f>Sheet1!$G$11</c:f>
                <c:numCache>
                  <c:formatCode>General</c:formatCode>
                  <c:ptCount val="1"/>
                  <c:pt idx="0">
                    <c:v>1.7457400000000001</c:v>
                  </c:pt>
                </c:numCache>
              </c:numRef>
            </c:minus>
            <c:spPr>
              <a:noFill/>
              <a:ln w="9525" cap="flat" cmpd="sng" algn="ctr">
                <a:solidFill>
                  <a:schemeClr val="tx1">
                    <a:lumMod val="65000"/>
                    <a:lumOff val="35000"/>
                  </a:schemeClr>
                </a:solidFill>
                <a:round/>
              </a:ln>
              <a:effectLst/>
            </c:spPr>
          </c:errBars>
          <c:cat>
            <c:strRef>
              <c:f>Sheet1!$A$13</c:f>
              <c:strCache>
                <c:ptCount val="1"/>
                <c:pt idx="0">
                  <c:v>Interested, Concentrated, Alert</c:v>
                </c:pt>
              </c:strCache>
            </c:strRef>
          </c:cat>
          <c:val>
            <c:numRef>
              <c:f>Sheet1!$G$13</c:f>
              <c:numCache>
                <c:formatCode>General</c:formatCode>
                <c:ptCount val="1"/>
                <c:pt idx="0">
                  <c:v>3.3809999999999998</c:v>
                </c:pt>
              </c:numCache>
            </c:numRef>
          </c:val>
          <c:extLst>
            <c:ext xmlns:c16="http://schemas.microsoft.com/office/drawing/2014/chart" uri="{C3380CC4-5D6E-409C-BE32-E72D297353CC}">
              <c16:uniqueId val="{00000007-E163-F14A-AC05-88015BDCEE7C}"/>
            </c:ext>
          </c:extLst>
        </c:ser>
        <c:dLbls>
          <c:showLegendKey val="0"/>
          <c:showVal val="0"/>
          <c:showCatName val="0"/>
          <c:showSerName val="0"/>
          <c:showPercent val="0"/>
          <c:showBubbleSize val="0"/>
        </c:dLbls>
        <c:gapWidth val="219"/>
        <c:overlap val="-27"/>
        <c:axId val="1390923168"/>
        <c:axId val="1390935680"/>
      </c:barChart>
      <c:catAx>
        <c:axId val="1390923168"/>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US" b="1">
                    <a:solidFill>
                      <a:schemeClr val="tx1"/>
                    </a:solidFill>
                    <a:latin typeface="Arial" panose="020B0604020202020204" pitchFamily="34" charset="0"/>
                    <a:cs typeface="Arial" panose="020B0604020202020204" pitchFamily="34" charset="0"/>
                  </a:rPr>
                  <a:t>Emotion</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1390935680"/>
        <c:crosses val="autoZero"/>
        <c:auto val="1"/>
        <c:lblAlgn val="ctr"/>
        <c:lblOffset val="100"/>
        <c:noMultiLvlLbl val="0"/>
      </c:catAx>
      <c:valAx>
        <c:axId val="1390935680"/>
        <c:scaling>
          <c:orientation val="minMax"/>
          <c:max val="7"/>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US" b="1">
                    <a:solidFill>
                      <a:schemeClr val="tx1"/>
                    </a:solidFill>
                    <a:latin typeface="Arial" panose="020B0604020202020204" pitchFamily="34" charset="0"/>
                    <a:cs typeface="Arial" panose="020B0604020202020204" pitchFamily="34" charset="0"/>
                  </a:rPr>
                  <a:t>Modified Differential</a:t>
                </a:r>
                <a:r>
                  <a:rPr lang="en-US" b="1" baseline="0">
                    <a:solidFill>
                      <a:schemeClr val="tx1"/>
                    </a:solidFill>
                    <a:latin typeface="Arial" panose="020B0604020202020204" pitchFamily="34" charset="0"/>
                    <a:cs typeface="Arial" panose="020B0604020202020204" pitchFamily="34" charset="0"/>
                  </a:rPr>
                  <a:t> Score</a:t>
                </a:r>
                <a:endParaRPr lang="en-US" b="1">
                  <a:solidFill>
                    <a:schemeClr val="tx1"/>
                  </a:solidFill>
                  <a:latin typeface="Arial" panose="020B0604020202020204" pitchFamily="34" charset="0"/>
                  <a:cs typeface="Arial" panose="020B0604020202020204" pitchFamily="34" charset="0"/>
                </a:endParaRPr>
              </a:p>
            </c:rich>
          </c:tx>
          <c:layout>
            <c:manualLayout>
              <c:xMode val="edge"/>
              <c:yMode val="edge"/>
              <c:x val="1.5594541910331383E-2"/>
              <c:y val="0.28863284101321657"/>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1390923168"/>
        <c:crosses val="autoZero"/>
        <c:crossBetween val="between"/>
      </c:valAx>
      <c:spPr>
        <a:noFill/>
        <a:ln>
          <a:noFill/>
        </a:ln>
        <a:effectLst/>
      </c:spPr>
    </c:plotArea>
    <c:legend>
      <c:legendPos val="t"/>
      <c:layout>
        <c:manualLayout>
          <c:xMode val="edge"/>
          <c:yMode val="edge"/>
          <c:x val="7.84083552055993E-2"/>
          <c:y val="0.1412270341207349"/>
          <c:w val="0.84065134833809496"/>
          <c:h val="0.16268803677646804"/>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16630E-C475-C345-AE68-F692E3FC17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15930</Words>
  <Characters>90804</Characters>
  <Application>Microsoft Office Word</Application>
  <DocSecurity>0</DocSecurity>
  <Lines>756</Lines>
  <Paragraphs>213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Klamer, Keva</dc:creator>
  <cp:keywords/>
  <dc:description/>
  <cp:lastModifiedBy>Ekstrand, Chelsea</cp:lastModifiedBy>
  <cp:revision>2</cp:revision>
  <dcterms:created xsi:type="dcterms:W3CDTF">2026-07-07T20:44:00Z</dcterms:created>
  <dcterms:modified xsi:type="dcterms:W3CDTF">2026-07-07T20:44:00Z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zotero-version="6.0.37"&gt;&lt;session id="LvZnFPNm"/&gt;&lt;style id="http://www.zotero.org/styles/apa" locale="en-CA" hasBibliography="1" bibliographyStyleHasBeenSet="1"/&gt;&lt;prefs&gt;&lt;pref name="fieldType" value="Field"/&gt;&lt;pref name="automaticJourn</vt:lpwstr>
  </property>
  <property fmtid="{D5CDD505-2E9C-101B-9397-08002B2CF9AE}" pid="3" name="ZOTERO_PREF_2">
    <vt:lpwstr>alAbbreviations" value="true"/&gt;&lt;/prefs&gt;&lt;/data&gt;</vt:lpwstr>
  </property>
</Properties>
</file>