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5A2D3C">
      <w:pPr>
        <w:keepNext w:val="0"/>
        <w:keepLines w:val="0"/>
        <w:pageBreakBefore w:val="0"/>
        <w:widowControl w:val="0"/>
        <w:kinsoku/>
        <w:wordWrap/>
        <w:overflowPunct/>
        <w:topLinePunct w:val="0"/>
        <w:autoSpaceDE/>
        <w:autoSpaceDN/>
        <w:bidi w:val="0"/>
        <w:adjustRightInd w:val="0"/>
        <w:snapToGrid w:val="0"/>
        <w:spacing w:after="240" w:line="480" w:lineRule="auto"/>
        <w:jc w:val="both"/>
        <w:textAlignment w:val="auto"/>
        <w:rPr>
          <w:rFonts w:hint="eastAsia" w:ascii="Times New Roman" w:hAnsi="Times New Roman" w:cs="Times New Roman"/>
          <w:b/>
          <w:sz w:val="28"/>
          <w:szCs w:val="28"/>
        </w:rPr>
      </w:pPr>
      <w:r>
        <w:rPr>
          <w:rFonts w:hint="eastAsia" w:ascii="Times New Roman" w:hAnsi="Times New Roman" w:cs="Times New Roman"/>
          <w:b/>
          <w:sz w:val="28"/>
          <w:szCs w:val="28"/>
        </w:rPr>
        <w:t>Baseline source-space EEG features associated with short-term frequency increase in migraine without aura: a China Migraine Registry (CHIME) study</w:t>
      </w:r>
    </w:p>
    <w:p w14:paraId="227AB086">
      <w:pPr>
        <w:keepNext w:val="0"/>
        <w:keepLines w:val="0"/>
        <w:pageBreakBefore w:val="0"/>
        <w:widowControl w:val="0"/>
        <w:kinsoku/>
        <w:wordWrap/>
        <w:overflowPunct/>
        <w:topLinePunct w:val="0"/>
        <w:autoSpaceDE/>
        <w:autoSpaceDN/>
        <w:bidi w:val="0"/>
        <w:adjustRightInd w:val="0"/>
        <w:snapToGrid w:val="0"/>
        <w:spacing w:after="240" w:line="480" w:lineRule="auto"/>
        <w:jc w:val="both"/>
        <w:textAlignment w:val="auto"/>
        <w:rPr>
          <w:rFonts w:ascii="Times New Roman" w:hAnsi="Times New Roman" w:cs="Times New Roman"/>
          <w:b/>
          <w:sz w:val="24"/>
          <w:szCs w:val="24"/>
        </w:rPr>
      </w:pPr>
      <w:r>
        <w:rPr>
          <w:rFonts w:ascii="Times New Roman" w:hAnsi="Times New Roman" w:cs="Times New Roman"/>
          <w:b/>
          <w:sz w:val="24"/>
          <w:szCs w:val="24"/>
        </w:rPr>
        <w:t>Additional file 1: Supplementary figures and tables</w:t>
      </w:r>
    </w:p>
    <w:p w14:paraId="6C665CA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bCs/>
          <w:sz w:val="22"/>
        </w:rPr>
      </w:pPr>
      <w:r>
        <w:rPr>
          <w:rFonts w:hint="eastAsia" w:ascii="Times New Roman" w:hAnsi="Times New Roman" w:cs="Times New Roman"/>
          <w:bCs/>
          <w:sz w:val="22"/>
        </w:rPr>
        <w:t>Kang Jin</w:t>
      </w:r>
      <w:r>
        <w:rPr>
          <w:rFonts w:hint="eastAsia" w:ascii="Times New Roman" w:hAnsi="Times New Roman" w:cs="Times New Roman"/>
          <w:bCs/>
          <w:sz w:val="22"/>
          <w:vertAlign w:val="superscript"/>
        </w:rPr>
        <w:t>1,2</w:t>
      </w:r>
      <w:r>
        <w:rPr>
          <w:rFonts w:hint="eastAsia" w:ascii="Times New Roman" w:hAnsi="Times New Roman" w:cs="Times New Roman"/>
          <w:bCs/>
          <w:sz w:val="22"/>
        </w:rPr>
        <w:t>†, Siyuan Xie</w:t>
      </w:r>
      <w:r>
        <w:rPr>
          <w:rFonts w:hint="eastAsia" w:ascii="Times New Roman" w:hAnsi="Times New Roman" w:cs="Times New Roman"/>
          <w:bCs/>
          <w:sz w:val="22"/>
          <w:vertAlign w:val="superscript"/>
        </w:rPr>
        <w:t>1</w:t>
      </w:r>
      <w:r>
        <w:rPr>
          <w:rFonts w:hint="eastAsia" w:ascii="Times New Roman" w:hAnsi="Times New Roman" w:cs="Times New Roman"/>
          <w:bCs/>
          <w:sz w:val="22"/>
        </w:rPr>
        <w:t>†, Longteng Ma</w:t>
      </w:r>
      <w:r>
        <w:rPr>
          <w:rFonts w:hint="eastAsia" w:ascii="Times New Roman" w:hAnsi="Times New Roman" w:cs="Times New Roman"/>
          <w:bCs/>
          <w:sz w:val="22"/>
          <w:vertAlign w:val="superscript"/>
        </w:rPr>
        <w:t>1</w:t>
      </w:r>
      <w:r>
        <w:rPr>
          <w:rFonts w:hint="eastAsia" w:ascii="Times New Roman" w:hAnsi="Times New Roman" w:cs="Times New Roman"/>
          <w:bCs/>
          <w:sz w:val="22"/>
        </w:rPr>
        <w:t>, Yunyun Huo</w:t>
      </w:r>
      <w:r>
        <w:rPr>
          <w:rFonts w:hint="eastAsia" w:ascii="Times New Roman" w:hAnsi="Times New Roman" w:cs="Times New Roman"/>
          <w:bCs/>
          <w:sz w:val="22"/>
          <w:vertAlign w:val="superscript"/>
        </w:rPr>
        <w:t>1</w:t>
      </w:r>
      <w:r>
        <w:rPr>
          <w:rFonts w:hint="eastAsia" w:ascii="Times New Roman" w:hAnsi="Times New Roman" w:cs="Times New Roman"/>
          <w:bCs/>
          <w:sz w:val="22"/>
        </w:rPr>
        <w:t>, Miaomiao Hu</w:t>
      </w:r>
      <w:r>
        <w:rPr>
          <w:rFonts w:hint="eastAsia" w:ascii="Times New Roman" w:hAnsi="Times New Roman" w:cs="Times New Roman"/>
          <w:bCs/>
          <w:sz w:val="22"/>
          <w:vertAlign w:val="superscript"/>
        </w:rPr>
        <w:t>1</w:t>
      </w:r>
      <w:r>
        <w:rPr>
          <w:rFonts w:hint="eastAsia" w:ascii="Times New Roman" w:hAnsi="Times New Roman" w:cs="Times New Roman"/>
          <w:bCs/>
          <w:sz w:val="22"/>
        </w:rPr>
        <w:t>, Xiaoyan Zhang</w:t>
      </w:r>
      <w:r>
        <w:rPr>
          <w:rFonts w:hint="eastAsia" w:ascii="Times New Roman" w:hAnsi="Times New Roman" w:cs="Times New Roman"/>
          <w:bCs/>
          <w:sz w:val="22"/>
          <w:vertAlign w:val="superscript"/>
        </w:rPr>
        <w:t>1</w:t>
      </w:r>
      <w:r>
        <w:rPr>
          <w:rFonts w:hint="eastAsia" w:ascii="Times New Roman" w:hAnsi="Times New Roman" w:cs="Times New Roman"/>
          <w:bCs/>
          <w:sz w:val="22"/>
        </w:rPr>
        <w:t>, Suyuan Tai</w:t>
      </w:r>
      <w:r>
        <w:rPr>
          <w:rFonts w:hint="eastAsia" w:ascii="Times New Roman" w:hAnsi="Times New Roman" w:cs="Times New Roman"/>
          <w:bCs/>
          <w:sz w:val="22"/>
          <w:vertAlign w:val="superscript"/>
        </w:rPr>
        <w:t>1</w:t>
      </w:r>
      <w:r>
        <w:rPr>
          <w:rFonts w:hint="eastAsia" w:ascii="Times New Roman" w:hAnsi="Times New Roman" w:cs="Times New Roman"/>
          <w:bCs/>
          <w:sz w:val="22"/>
        </w:rPr>
        <w:t>, Jiayin Lin</w:t>
      </w:r>
      <w:r>
        <w:rPr>
          <w:rFonts w:hint="eastAsia" w:ascii="Times New Roman" w:hAnsi="Times New Roman" w:cs="Times New Roman"/>
          <w:bCs/>
          <w:sz w:val="22"/>
          <w:vertAlign w:val="superscript"/>
        </w:rPr>
        <w:t>1</w:t>
      </w:r>
      <w:r>
        <w:rPr>
          <w:rFonts w:hint="eastAsia" w:ascii="Times New Roman" w:hAnsi="Times New Roman" w:cs="Times New Roman"/>
          <w:bCs/>
          <w:sz w:val="22"/>
        </w:rPr>
        <w:t>, Xiaoxue Meng</w:t>
      </w:r>
      <w:r>
        <w:rPr>
          <w:rFonts w:hint="eastAsia" w:ascii="Times New Roman" w:hAnsi="Times New Roman" w:cs="Times New Roman"/>
          <w:bCs/>
          <w:sz w:val="22"/>
          <w:vertAlign w:val="superscript"/>
        </w:rPr>
        <w:t>1</w:t>
      </w:r>
      <w:r>
        <w:rPr>
          <w:rFonts w:hint="eastAsia" w:ascii="Times New Roman" w:hAnsi="Times New Roman" w:cs="Times New Roman"/>
          <w:bCs/>
          <w:sz w:val="22"/>
        </w:rPr>
        <w:t>, Ye Ran</w:t>
      </w:r>
      <w:r>
        <w:rPr>
          <w:rFonts w:hint="eastAsia" w:ascii="Times New Roman" w:hAnsi="Times New Roman" w:cs="Times New Roman"/>
          <w:bCs/>
          <w:sz w:val="22"/>
          <w:vertAlign w:val="superscript"/>
        </w:rPr>
        <w:t>1</w:t>
      </w:r>
      <w:r>
        <w:rPr>
          <w:rFonts w:hint="eastAsia" w:ascii="Times New Roman" w:hAnsi="Times New Roman" w:cs="Times New Roman"/>
          <w:bCs/>
          <w:sz w:val="22"/>
        </w:rPr>
        <w:t>*, Dajun Xing</w:t>
      </w:r>
      <w:r>
        <w:rPr>
          <w:rFonts w:hint="eastAsia" w:ascii="Times New Roman" w:hAnsi="Times New Roman" w:cs="Times New Roman"/>
          <w:bCs/>
          <w:sz w:val="22"/>
          <w:vertAlign w:val="superscript"/>
        </w:rPr>
        <w:t>3</w:t>
      </w:r>
      <w:r>
        <w:rPr>
          <w:rFonts w:hint="eastAsia" w:ascii="Times New Roman" w:hAnsi="Times New Roman" w:cs="Times New Roman"/>
          <w:bCs/>
          <w:sz w:val="22"/>
        </w:rPr>
        <w:t>*, Zhao Dong</w:t>
      </w:r>
      <w:r>
        <w:rPr>
          <w:rFonts w:hint="eastAsia" w:ascii="Times New Roman" w:hAnsi="Times New Roman" w:cs="Times New Roman"/>
          <w:bCs/>
          <w:sz w:val="22"/>
          <w:vertAlign w:val="superscript"/>
        </w:rPr>
        <w:t>1</w:t>
      </w:r>
      <w:r>
        <w:rPr>
          <w:rFonts w:hint="eastAsia" w:ascii="Times New Roman" w:hAnsi="Times New Roman" w:cs="Times New Roman"/>
          <w:bCs/>
          <w:sz w:val="22"/>
        </w:rPr>
        <w:t>*</w:t>
      </w:r>
    </w:p>
    <w:p w14:paraId="285068D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b/>
          <w:sz w:val="22"/>
          <w:szCs w:val="21"/>
        </w:rPr>
      </w:pPr>
      <w:r>
        <w:rPr>
          <w:rFonts w:ascii="Times New Roman" w:hAnsi="Times New Roman" w:cs="Times New Roman"/>
          <w:b/>
          <w:sz w:val="22"/>
          <w:szCs w:val="21"/>
        </w:rPr>
        <w:t>Supplementary Fig. S</w:t>
      </w:r>
      <w:r>
        <w:rPr>
          <w:rFonts w:hint="eastAsia" w:ascii="Times New Roman" w:hAnsi="Times New Roman" w:cs="Times New Roman"/>
          <w:b/>
          <w:sz w:val="22"/>
          <w:szCs w:val="21"/>
          <w:lang w:val="en-US" w:eastAsia="zh-CN"/>
        </w:rPr>
        <w:t>1</w:t>
      </w:r>
      <w:r>
        <w:rPr>
          <w:rFonts w:ascii="Times New Roman" w:hAnsi="Times New Roman" w:cs="Times New Roman"/>
          <w:b/>
          <w:sz w:val="22"/>
          <w:szCs w:val="21"/>
        </w:rPr>
        <w:t>. EEG acquisition and preprocessing workflow.</w:t>
      </w:r>
    </w:p>
    <w:p w14:paraId="353EE8FB">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eastAsiaTheme="minorEastAsia"/>
          <w:bCs/>
          <w:sz w:val="22"/>
          <w:lang w:eastAsia="zh-CN"/>
        </w:rPr>
      </w:pPr>
      <w:r>
        <w:rPr>
          <w:rFonts w:hint="eastAsia" w:ascii="Times New Roman" w:hAnsi="Times New Roman" w:cs="Times New Roman" w:eastAsiaTheme="minorEastAsia"/>
          <w:bCs/>
          <w:sz w:val="22"/>
          <w:lang w:eastAsia="zh-CN"/>
        </w:rPr>
        <w:drawing>
          <wp:inline distT="0" distB="0" distL="114300" distR="114300">
            <wp:extent cx="2134235" cy="4443730"/>
            <wp:effectExtent l="0" t="0" r="12065" b="1270"/>
            <wp:docPr id="1" name="图片 1" descr="Figur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S1"/>
                    <pic:cNvPicPr>
                      <a:picLocks noChangeAspect="1"/>
                    </pic:cNvPicPr>
                  </pic:nvPicPr>
                  <pic:blipFill>
                    <a:blip r:embed="rId4"/>
                    <a:stretch>
                      <a:fillRect/>
                    </a:stretch>
                  </pic:blipFill>
                  <pic:spPr>
                    <a:xfrm>
                      <a:off x="0" y="0"/>
                      <a:ext cx="2134235" cy="4443730"/>
                    </a:xfrm>
                    <a:prstGeom prst="rect">
                      <a:avLst/>
                    </a:prstGeom>
                  </pic:spPr>
                </pic:pic>
              </a:graphicData>
            </a:graphic>
          </wp:inline>
        </w:drawing>
      </w:r>
    </w:p>
    <w:p w14:paraId="4AA954CC">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sz w:val="22"/>
          <w:szCs w:val="21"/>
          <w:lang w:eastAsia="zh-CN"/>
        </w:rPr>
      </w:pPr>
      <w:r>
        <w:rPr>
          <w:rFonts w:ascii="Times New Roman" w:hAnsi="Times New Roman" w:cs="Times New Roman"/>
          <w:sz w:val="22"/>
          <w:szCs w:val="21"/>
        </w:rPr>
        <w:t>Eyes-closed resting-state EEG was acquired using a 64-channel system. After removal of non-EEG channels and resampling, the data underwent band-pass and notch filtering, bad-channel detection, artifact subspace reconstruction, independent component analysis, and ICLabel-based component classification. The data were subsequently rereferenced, and a clean continuous segment was selected for further analysis. ASR, artifact subspace reconstruction; EEG, electroencephalography; ICA, independent component analysis; ICLabel, an automated classifier for independent components.</w:t>
      </w:r>
    </w:p>
    <w:p w14:paraId="2D7F233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eastAsiaTheme="minorEastAsia"/>
          <w:bCs/>
          <w:sz w:val="22"/>
          <w:lang w:eastAsia="zh-CN"/>
        </w:rPr>
      </w:pPr>
    </w:p>
    <w:p w14:paraId="2F6E0EDC">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eastAsiaTheme="minorEastAsia"/>
          <w:bCs/>
          <w:sz w:val="22"/>
          <w:lang w:eastAsia="zh-CN"/>
        </w:rPr>
      </w:pPr>
    </w:p>
    <w:p w14:paraId="531E2C81">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b/>
          <w:sz w:val="22"/>
          <w:szCs w:val="21"/>
        </w:rPr>
      </w:pPr>
      <w:r>
        <w:rPr>
          <w:rFonts w:ascii="Times New Roman" w:hAnsi="Times New Roman" w:eastAsia="Times New Roman" w:cs="Times New Roman"/>
          <w:b/>
          <w:sz w:val="22"/>
          <w:szCs w:val="21"/>
        </w:rPr>
        <w:t>Supplementary Fig. S</w:t>
      </w:r>
      <w:r>
        <w:rPr>
          <w:rFonts w:hint="eastAsia" w:ascii="Times New Roman" w:hAnsi="Times New Roman" w:eastAsia="宋体" w:cs="Times New Roman"/>
          <w:b/>
          <w:sz w:val="22"/>
          <w:szCs w:val="21"/>
          <w:lang w:val="en-US" w:eastAsia="zh-CN"/>
        </w:rPr>
        <w:t>2</w:t>
      </w:r>
      <w:r>
        <w:rPr>
          <w:rFonts w:ascii="Times New Roman" w:hAnsi="Times New Roman" w:eastAsia="Times New Roman" w:cs="Times New Roman"/>
          <w:b/>
          <w:sz w:val="22"/>
          <w:szCs w:val="21"/>
        </w:rPr>
        <w:t>. Unparameterized source-space power spectra in HCs and patients with MO who had 0–3 MMDs at baseline.</w:t>
      </w:r>
    </w:p>
    <w:p w14:paraId="6F8E7F5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b/>
        </w:rPr>
      </w:pPr>
      <w:r>
        <w:rPr>
          <w:b/>
        </w:rPr>
        <w:drawing>
          <wp:inline distT="0" distB="0" distL="0" distR="0">
            <wp:extent cx="5274310" cy="3467735"/>
            <wp:effectExtent l="0" t="0" r="2540" b="0"/>
            <wp:docPr id="13968298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829856" name="图片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3467735"/>
                    </a:xfrm>
                    <a:prstGeom prst="rect">
                      <a:avLst/>
                    </a:prstGeom>
                  </pic:spPr>
                </pic:pic>
              </a:graphicData>
            </a:graphic>
          </wp:inline>
        </w:drawing>
      </w:r>
    </w:p>
    <w:p w14:paraId="4192C62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22"/>
          <w:szCs w:val="21"/>
        </w:rPr>
      </w:pPr>
      <w:r>
        <w:rPr>
          <w:rFonts w:ascii="Times New Roman" w:hAnsi="Times New Roman" w:cs="Times New Roman"/>
          <w:sz w:val="22"/>
          <w:szCs w:val="21"/>
        </w:rPr>
        <w:t>Group mean log10-transformed power spectral density curves are shown across seven functional networks and at the global level. Solid lines represent group means, shaded envelopes represent standard errors of the mean, and light blue vertical bands indicate the alpha-frequency range (8–13 Hz). The spectra contain both periodic and aperiodic components. The groups comprised 94 HCs and 126 patients with MO.</w:t>
      </w:r>
    </w:p>
    <w:p w14:paraId="7D9908C1">
      <w:pPr>
        <w:keepNext w:val="0"/>
        <w:keepLines/>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22"/>
          <w:szCs w:val="21"/>
        </w:rPr>
      </w:pPr>
      <w:r>
        <w:rPr>
          <w:rFonts w:ascii="Times New Roman" w:hAnsi="Times New Roman" w:cs="Times New Roman"/>
          <w:sz w:val="22"/>
          <w:szCs w:val="21"/>
        </w:rPr>
        <w:t xml:space="preserve">DAN, dorsal attention network; DMN, default mode network; FPN, </w:t>
      </w:r>
      <w:r>
        <w:rPr>
          <w:rFonts w:ascii="Times New Roman" w:hAnsi="Times New Roman" w:cs="Times New Roman"/>
          <w:sz w:val="22"/>
        </w:rPr>
        <w:t>frontoparietal control network</w:t>
      </w:r>
      <w:r>
        <w:rPr>
          <w:rFonts w:ascii="Times New Roman" w:hAnsi="Times New Roman" w:cs="Times New Roman"/>
          <w:sz w:val="22"/>
          <w:szCs w:val="21"/>
        </w:rPr>
        <w:t>; HC, healthy control; LIM, limbic network; MO, migraine without aura; PSD, power spectral density; SAN, salience/ventral attention network; SMN, somatomotor network; VIS, visual network.</w:t>
      </w:r>
    </w:p>
    <w:p w14:paraId="3A765C3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b/>
          <w:sz w:val="22"/>
          <w:szCs w:val="21"/>
        </w:rPr>
      </w:pPr>
      <w:r>
        <w:rPr>
          <w:rFonts w:ascii="Times New Roman" w:hAnsi="Times New Roman" w:eastAsia="Times New Roman" w:cs="Times New Roman"/>
          <w:b/>
          <w:sz w:val="22"/>
          <w:szCs w:val="21"/>
        </w:rPr>
        <w:t>Supplementary Fig. S</w:t>
      </w:r>
      <w:r>
        <w:rPr>
          <w:rFonts w:hint="eastAsia" w:ascii="Times New Roman" w:hAnsi="Times New Roman" w:eastAsia="宋体" w:cs="Times New Roman"/>
          <w:b/>
          <w:sz w:val="22"/>
          <w:szCs w:val="21"/>
          <w:lang w:val="en-US" w:eastAsia="zh-CN"/>
        </w:rPr>
        <w:t>3</w:t>
      </w:r>
      <w:r>
        <w:rPr>
          <w:rFonts w:ascii="Times New Roman" w:hAnsi="Times New Roman" w:eastAsia="Times New Roman" w:cs="Times New Roman"/>
          <w:b/>
          <w:sz w:val="22"/>
          <w:szCs w:val="21"/>
        </w:rPr>
        <w:t>. SHAP interpretation of the combined model in the validation cohort.</w:t>
      </w:r>
    </w:p>
    <w:p w14:paraId="760AB8A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eastAsiaTheme="minorEastAsia"/>
          <w:b/>
          <w:lang w:eastAsia="zh-CN"/>
        </w:rPr>
      </w:pPr>
      <w:r>
        <w:rPr>
          <w:rFonts w:hint="eastAsia" w:eastAsiaTheme="minorEastAsia"/>
          <w:b/>
          <w:lang w:eastAsia="zh-CN"/>
        </w:rPr>
        <w:drawing>
          <wp:inline distT="0" distB="0" distL="114300" distR="114300">
            <wp:extent cx="5647690" cy="2738755"/>
            <wp:effectExtent l="0" t="0" r="3810" b="4445"/>
            <wp:docPr id="7" name="图片 7" descr="Figure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S3"/>
                    <pic:cNvPicPr>
                      <a:picLocks noChangeAspect="1"/>
                    </pic:cNvPicPr>
                  </pic:nvPicPr>
                  <pic:blipFill>
                    <a:blip r:embed="rId6"/>
                    <a:stretch>
                      <a:fillRect/>
                    </a:stretch>
                  </pic:blipFill>
                  <pic:spPr>
                    <a:xfrm>
                      <a:off x="0" y="0"/>
                      <a:ext cx="5647690" cy="2738755"/>
                    </a:xfrm>
                    <a:prstGeom prst="rect">
                      <a:avLst/>
                    </a:prstGeom>
                  </pic:spPr>
                </pic:pic>
              </a:graphicData>
            </a:graphic>
          </wp:inline>
        </w:drawing>
      </w:r>
    </w:p>
    <w:p w14:paraId="3F0A9FF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22"/>
          <w:szCs w:val="21"/>
        </w:rPr>
      </w:pPr>
      <w:r>
        <w:rPr>
          <w:rFonts w:ascii="Times New Roman" w:hAnsi="Times New Roman" w:eastAsia="Times New Roman" w:cs="Times New Roman"/>
          <w:sz w:val="22"/>
          <w:szCs w:val="21"/>
        </w:rPr>
        <w:t>(A) Mean absolute SHAP values showing overall feature importance. (B) SHAP summary plot showing the direction and magnitude of each feature’s contribution to the predicted log-odds of short-term frequency increase. Positive SHAP values indicate a higher predicted probability, whereas negative values indicate a lower predicted probability. Colors represent feature values from low (blue) to high (red), and gray points indicate missing feature values. SHAP values were calculated using the development cohort as the background reference distribution. The validation cohort included 90 participants. In the plotted feature labels, migraine history denotes migraine disease duration.</w:t>
      </w:r>
    </w:p>
    <w:p w14:paraId="15A8ACE4">
      <w:pPr>
        <w:keepNext w:val="0"/>
        <w:keepLines/>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22"/>
          <w:szCs w:val="21"/>
        </w:rPr>
      </w:pPr>
      <w:r>
        <w:rPr>
          <w:rFonts w:ascii="Times New Roman" w:hAnsi="Times New Roman" w:cs="Times New Roman"/>
          <w:sz w:val="22"/>
          <w:szCs w:val="21"/>
        </w:rPr>
        <w:t>SHAP, Shapley additive explanations.</w:t>
      </w:r>
    </w:p>
    <w:p w14:paraId="70FA2059">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22"/>
          <w:szCs w:val="21"/>
        </w:rPr>
      </w:pPr>
    </w:p>
    <w:p w14:paraId="0E30E9F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sz w:val="22"/>
          <w:szCs w:val="21"/>
        </w:rPr>
      </w:pPr>
      <w:r>
        <w:rPr>
          <w:rFonts w:ascii="Times New Roman" w:hAnsi="Times New Roman" w:cs="Times New Roman"/>
          <w:b/>
          <w:sz w:val="22"/>
          <w:szCs w:val="21"/>
        </w:rPr>
        <w:t>Supplementary Fig. S</w:t>
      </w:r>
      <w:r>
        <w:rPr>
          <w:rFonts w:hint="eastAsia" w:ascii="Times New Roman" w:hAnsi="Times New Roman" w:cs="Times New Roman"/>
          <w:b/>
          <w:sz w:val="22"/>
          <w:szCs w:val="21"/>
          <w:lang w:val="en-US" w:eastAsia="zh-CN"/>
        </w:rPr>
        <w:t>4</w:t>
      </w:r>
      <w:r>
        <w:rPr>
          <w:rFonts w:ascii="Times New Roman" w:hAnsi="Times New Roman" w:cs="Times New Roman"/>
          <w:b/>
          <w:sz w:val="22"/>
          <w:szCs w:val="21"/>
        </w:rPr>
        <w:t>. Discrimination and calibration of the simplified clinical–EEG model for predicting short-term frequency increase.</w:t>
      </w:r>
    </w:p>
    <w:p w14:paraId="2C27B1D0">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eastAsiaTheme="minorEastAsia"/>
          <w:b/>
          <w:sz w:val="22"/>
          <w:szCs w:val="21"/>
          <w:lang w:eastAsia="zh-CN"/>
        </w:rPr>
      </w:pPr>
      <w:r>
        <w:rPr>
          <w:rFonts w:hint="eastAsia" w:ascii="Times New Roman" w:hAnsi="Times New Roman" w:cs="Times New Roman" w:eastAsiaTheme="minorEastAsia"/>
          <w:b/>
          <w:sz w:val="22"/>
          <w:szCs w:val="21"/>
          <w:lang w:eastAsia="zh-CN"/>
        </w:rPr>
        <w:drawing>
          <wp:inline distT="0" distB="0" distL="114300" distR="114300">
            <wp:extent cx="6469380" cy="5796280"/>
            <wp:effectExtent l="0" t="0" r="7620" b="7620"/>
            <wp:docPr id="9" name="图片 9" descr="Figure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ureS4"/>
                    <pic:cNvPicPr>
                      <a:picLocks noChangeAspect="1"/>
                    </pic:cNvPicPr>
                  </pic:nvPicPr>
                  <pic:blipFill>
                    <a:blip r:embed="rId7"/>
                    <a:stretch>
                      <a:fillRect/>
                    </a:stretch>
                  </pic:blipFill>
                  <pic:spPr>
                    <a:xfrm>
                      <a:off x="0" y="0"/>
                      <a:ext cx="6469380" cy="5796280"/>
                    </a:xfrm>
                    <a:prstGeom prst="rect">
                      <a:avLst/>
                    </a:prstGeom>
                  </pic:spPr>
                </pic:pic>
              </a:graphicData>
            </a:graphic>
          </wp:inline>
        </w:drawing>
      </w:r>
    </w:p>
    <w:p w14:paraId="2E54751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22"/>
          <w:szCs w:val="21"/>
        </w:rPr>
      </w:pPr>
      <w:r>
        <w:rPr>
          <w:rFonts w:ascii="Times New Roman" w:hAnsi="Times New Roman" w:cs="Times New Roman"/>
          <w:sz w:val="22"/>
          <w:szCs w:val="21"/>
        </w:rPr>
        <w:t>The simplified elastic-net logistic regression model included six clinical predictors—baseline monthly migraine days (MMDs), migraine disease duration, sex, Patient Health Questionnaire-9 (PHQ-9), Generalized Anxiety Disorder-7 (GAD-7), and Pittsburgh Sleep Quality Index (PSQI)—together with within-visual-network (VIS) alpha-band functional connectivity. (A, B) Receiver operating characteristic curves in the development cohort (n = 126) and temporal validation cohort (n = 90), respectively. Development-cohort performance was estimated from repeat-averaged out-of-fold predictions, whereas validation-cohort performance was evaluated using the locked model without refitting or recalibration. The area under the receiver operating characteristic curve (AUROC) was 0.861 (95% confidence interval [CI], 0.796–0.925) in the development cohort and 0.825 (95% CI, 0.735–0.915) in the validation cohort. The dashed diagonal line indicates chance-level discrimination. (C, D) Calibration plots in the development and validation cohorts, respectively. Points represent observed outcome proportions within four approximately equal-sized groups of predicted probability and are plotted against the corresponding mean predicted probabilities. Vertical error bars indicate exact 95% binomial CIs. The solid purple line represents the logistic calibration curve, and the dashed diagonal line indicates ideal calibration.</w:t>
      </w:r>
    </w:p>
    <w:p w14:paraId="78EE452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22"/>
          <w:szCs w:val="21"/>
        </w:rPr>
      </w:pPr>
    </w:p>
    <w:p w14:paraId="62BABEBC">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sz w:val="22"/>
          <w:szCs w:val="21"/>
          <w:lang w:val="en-US"/>
        </w:rPr>
      </w:pPr>
      <w:r>
        <w:rPr>
          <w:rFonts w:ascii="Times New Roman" w:hAnsi="Times New Roman" w:cs="Times New Roman"/>
          <w:b/>
          <w:sz w:val="22"/>
          <w:szCs w:val="21"/>
        </w:rPr>
        <w:t>Supplementary Fig. S</w:t>
      </w:r>
      <w:r>
        <w:rPr>
          <w:rFonts w:hint="eastAsia" w:ascii="Times New Roman" w:hAnsi="Times New Roman" w:cs="Times New Roman"/>
          <w:b/>
          <w:sz w:val="22"/>
          <w:szCs w:val="21"/>
          <w:lang w:val="en-US" w:eastAsia="zh-CN"/>
        </w:rPr>
        <w:t xml:space="preserve">5. </w:t>
      </w:r>
      <w:r>
        <w:rPr>
          <w:rFonts w:hint="eastAsia" w:ascii="Times New Roman" w:hAnsi="Times New Roman" w:cs="Times New Roman"/>
          <w:b/>
          <w:sz w:val="22"/>
        </w:rPr>
        <w:t>Candidate baseline EEG features associated with short-term frequency increase in the development cohort</w:t>
      </w:r>
      <w:r>
        <w:rPr>
          <w:rFonts w:ascii="Times New Roman" w:hAnsi="Times New Roman" w:cs="Times New Roman"/>
          <w:b/>
          <w:sz w:val="22"/>
          <w:szCs w:val="21"/>
        </w:rPr>
        <w:t>: sensitivity analysis</w:t>
      </w:r>
      <w:r>
        <w:rPr>
          <w:rFonts w:ascii="Times New Roman" w:hAnsi="Times New Roman" w:cs="Times New Roman"/>
          <w:b/>
          <w:sz w:val="22"/>
        </w:rPr>
        <w:t>.</w:t>
      </w:r>
    </w:p>
    <w:p w14:paraId="6E55F40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sz w:val="22"/>
          <w:szCs w:val="21"/>
          <w:lang w:eastAsia="zh-CN"/>
        </w:rPr>
      </w:pPr>
      <w:r>
        <w:rPr>
          <w:rFonts w:hint="eastAsia" w:ascii="Times New Roman" w:hAnsi="Times New Roman" w:cs="Times New Roman"/>
          <w:sz w:val="22"/>
          <w:szCs w:val="21"/>
          <w:lang w:eastAsia="zh-CN"/>
        </w:rPr>
        <w:drawing>
          <wp:inline distT="0" distB="0" distL="114300" distR="114300">
            <wp:extent cx="6473825" cy="4423410"/>
            <wp:effectExtent l="0" t="0" r="3175" b="8890"/>
            <wp:docPr id="6" name="图片 6" descr="Figure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S6"/>
                    <pic:cNvPicPr>
                      <a:picLocks noChangeAspect="1"/>
                    </pic:cNvPicPr>
                  </pic:nvPicPr>
                  <pic:blipFill>
                    <a:blip r:embed="rId8"/>
                    <a:stretch>
                      <a:fillRect/>
                    </a:stretch>
                  </pic:blipFill>
                  <pic:spPr>
                    <a:xfrm>
                      <a:off x="0" y="0"/>
                      <a:ext cx="6473825" cy="4423410"/>
                    </a:xfrm>
                    <a:prstGeom prst="rect">
                      <a:avLst/>
                    </a:prstGeom>
                  </pic:spPr>
                </pic:pic>
              </a:graphicData>
            </a:graphic>
          </wp:inline>
        </w:drawing>
      </w:r>
    </w:p>
    <w:p w14:paraId="0F7ABBF9">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sz w:val="22"/>
          <w:szCs w:val="21"/>
          <w:lang w:eastAsia="zh-CN"/>
        </w:rPr>
      </w:pPr>
      <w:r>
        <w:rPr>
          <w:rFonts w:ascii="Times New Roman" w:hAnsi="Times New Roman" w:eastAsia="Times New Roman"/>
          <w:sz w:val="22"/>
        </w:rPr>
        <w:t xml:space="preserve">In the development cohort (n = 120), after excluding </w:t>
      </w:r>
      <w:r>
        <w:rPr>
          <w:rFonts w:hint="eastAsia" w:ascii="Times New Roman" w:hAnsi="Times New Roman" w:eastAsia="宋体"/>
          <w:sz w:val="22"/>
          <w:lang w:val="en-US" w:eastAsia="zh-CN"/>
        </w:rPr>
        <w:t>6</w:t>
      </w:r>
      <w:r>
        <w:rPr>
          <w:rFonts w:ascii="Times New Roman" w:hAnsi="Times New Roman" w:eastAsia="Times New Roman"/>
          <w:sz w:val="22"/>
        </w:rPr>
        <w:t xml:space="preserve"> boundary cases</w:t>
      </w:r>
      <w:r>
        <w:rPr>
          <w:rFonts w:hint="eastAsia" w:ascii="Times New Roman" w:hAnsi="Times New Roman" w:eastAsia="宋体"/>
          <w:sz w:val="22"/>
          <w:lang w:val="en-US" w:eastAsia="zh-CN"/>
        </w:rPr>
        <w:t xml:space="preserve"> </w:t>
      </w:r>
      <w:r>
        <w:rPr>
          <w:rFonts w:ascii="Times New Roman" w:hAnsi="Times New Roman" w:eastAsia="Times New Roman"/>
          <w:sz w:val="22"/>
        </w:rPr>
        <w:t>(10 across both cohorts)</w:t>
      </w:r>
      <w:r>
        <w:rPr>
          <w:rFonts w:hint="eastAsia" w:ascii="Times New Roman" w:hAnsi="Times New Roman" w:eastAsia="宋体"/>
          <w:sz w:val="22"/>
          <w:lang w:val="en-US" w:eastAsia="zh-CN"/>
        </w:rPr>
        <w:t xml:space="preserve"> </w:t>
      </w:r>
      <w:r>
        <w:rPr>
          <w:rFonts w:ascii="Times New Roman" w:hAnsi="Times New Roman" w:eastAsia="Times New Roman"/>
          <w:sz w:val="22"/>
        </w:rPr>
        <w:t>whose MMDs increased from 3 at baseline to 4 during the third month, six candidate baseline EEG features were compared between the ≥4-MMD and &lt;4-MMD groups using the same adjusted models as in the primary analysis. (A) Periodic alpha power in the VIS (&lt;4 MMDs, n = 74; ≥4 MMDs, n = 40). (B) Periodic alpha power in the LIM (&lt;4 MMDs, n = 63; ≥4 MMDs, n = 35). Periodic alpha power represents fitted peak height above the aperiodic component in log10 power units; smaller sample sizes reflect unavailable fitted alpha peaks. (C–F) Global aperiodic offset (the intercept in log10 power space), within-VIS alpha-band connectivity, mean participation coefficient, and system segregation, respectively (for each panel: &lt;4 MMDs, n = 74; ≥4 MMDs, n = 46). Asterisks indicate FDR-corrected significance: *</w:t>
      </w:r>
      <w:r>
        <w:rPr>
          <w:rFonts w:ascii="Times New Roman" w:hAnsi="Times New Roman" w:eastAsia="Times New Roman"/>
          <w:i/>
          <w:iCs/>
          <w:sz w:val="22"/>
        </w:rPr>
        <w:t>q</w:t>
      </w:r>
      <w:r>
        <w:rPr>
          <w:rFonts w:ascii="Times New Roman" w:hAnsi="Times New Roman" w:eastAsia="Times New Roman"/>
          <w:sz w:val="22"/>
        </w:rPr>
        <w:t xml:space="preserve"> &lt; 0.05, **</w:t>
      </w:r>
      <w:r>
        <w:rPr>
          <w:rFonts w:ascii="Times New Roman" w:hAnsi="Times New Roman" w:eastAsia="Times New Roman"/>
          <w:i/>
          <w:iCs/>
          <w:sz w:val="22"/>
        </w:rPr>
        <w:t xml:space="preserve">q </w:t>
      </w:r>
      <w:r>
        <w:rPr>
          <w:rFonts w:ascii="Times New Roman" w:hAnsi="Times New Roman" w:eastAsia="Times New Roman"/>
          <w:sz w:val="22"/>
        </w:rPr>
        <w:t>&lt; 0.01, ***</w:t>
      </w:r>
      <w:r>
        <w:rPr>
          <w:rFonts w:ascii="Times New Roman" w:hAnsi="Times New Roman" w:eastAsia="Times New Roman"/>
          <w:i/>
          <w:iCs/>
          <w:sz w:val="22"/>
        </w:rPr>
        <w:t>q</w:t>
      </w:r>
      <w:r>
        <w:rPr>
          <w:rFonts w:ascii="Times New Roman" w:hAnsi="Times New Roman" w:eastAsia="Times New Roman"/>
          <w:sz w:val="22"/>
        </w:rPr>
        <w:t xml:space="preserve"> &lt; 0.001.</w:t>
      </w:r>
    </w:p>
    <w:p w14:paraId="7BF91211">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sz w:val="22"/>
          <w:szCs w:val="21"/>
          <w:lang w:eastAsia="zh-CN"/>
        </w:rPr>
      </w:pPr>
    </w:p>
    <w:p w14:paraId="62EC37B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sz w:val="22"/>
          <w:szCs w:val="21"/>
        </w:rPr>
      </w:pPr>
      <w:r>
        <w:rPr>
          <w:rFonts w:ascii="Times New Roman" w:hAnsi="Times New Roman" w:cs="Times New Roman"/>
          <w:b/>
          <w:sz w:val="22"/>
          <w:szCs w:val="21"/>
        </w:rPr>
        <w:t>Supplementary Fig. S</w:t>
      </w:r>
      <w:r>
        <w:rPr>
          <w:rFonts w:hint="eastAsia" w:ascii="Times New Roman" w:hAnsi="Times New Roman" w:cs="Times New Roman"/>
          <w:b/>
          <w:sz w:val="22"/>
          <w:szCs w:val="21"/>
          <w:lang w:val="en-US" w:eastAsia="zh-CN"/>
        </w:rPr>
        <w:t xml:space="preserve">6. </w:t>
      </w:r>
      <w:r>
        <w:rPr>
          <w:rFonts w:ascii="Times New Roman" w:hAnsi="Times New Roman" w:cs="Times New Roman"/>
          <w:b/>
          <w:sz w:val="22"/>
          <w:szCs w:val="21"/>
        </w:rPr>
        <w:t>Discrimination and calibration of the clinical, EEG, and combined models in the sensitivity analysis.</w:t>
      </w:r>
    </w:p>
    <w:p w14:paraId="68288C8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eastAsiaTheme="minorEastAsia"/>
          <w:b/>
          <w:sz w:val="22"/>
          <w:szCs w:val="21"/>
          <w:lang w:eastAsia="zh-CN"/>
        </w:rPr>
      </w:pPr>
      <w:r>
        <w:rPr>
          <w:rFonts w:hint="eastAsia" w:ascii="Times New Roman" w:hAnsi="Times New Roman" w:cs="Times New Roman" w:eastAsiaTheme="minorEastAsia"/>
          <w:b/>
          <w:sz w:val="22"/>
          <w:szCs w:val="21"/>
          <w:lang w:eastAsia="zh-CN"/>
        </w:rPr>
        <w:drawing>
          <wp:inline distT="0" distB="0" distL="114300" distR="114300">
            <wp:extent cx="6469380" cy="5796280"/>
            <wp:effectExtent l="0" t="0" r="7620" b="7620"/>
            <wp:docPr id="10" name="图片 10" descr="Figure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ureS6"/>
                    <pic:cNvPicPr>
                      <a:picLocks noChangeAspect="1"/>
                    </pic:cNvPicPr>
                  </pic:nvPicPr>
                  <pic:blipFill>
                    <a:blip r:embed="rId9"/>
                    <a:stretch>
                      <a:fillRect/>
                    </a:stretch>
                  </pic:blipFill>
                  <pic:spPr>
                    <a:xfrm>
                      <a:off x="0" y="0"/>
                      <a:ext cx="6469380" cy="5796280"/>
                    </a:xfrm>
                    <a:prstGeom prst="rect">
                      <a:avLst/>
                    </a:prstGeom>
                  </pic:spPr>
                </pic:pic>
              </a:graphicData>
            </a:graphic>
          </wp:inline>
        </w:drawing>
      </w:r>
    </w:p>
    <w:p w14:paraId="7EB265AA">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eastAsiaTheme="minorEastAsia"/>
          <w:b/>
          <w:sz w:val="22"/>
          <w:szCs w:val="21"/>
          <w:lang w:eastAsia="zh-CN"/>
        </w:rPr>
      </w:pPr>
      <w:r>
        <w:rPr>
          <w:rFonts w:ascii="Times New Roman" w:hAnsi="Times New Roman" w:eastAsia="Times New Roman"/>
          <w:sz w:val="22"/>
        </w:rPr>
        <w:t>The sensitivity analysis excluded the 10 boundary cases. (A, B) Receiver operating characteristic curves for the clinical, EEG, and combined models in the development cohort (n = 120) and temporal validation cohort (n = 86), respectively. (C, D) Calibration plots for the combined model in the development and validation cohorts. Development-cohort estimates were based on repeat-averaged out-of-fold predictions; the locked models were applied unchanged in validation.</w:t>
      </w:r>
    </w:p>
    <w:p w14:paraId="73E61C3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eastAsiaTheme="minorEastAsia"/>
          <w:b/>
          <w:sz w:val="22"/>
          <w:szCs w:val="21"/>
          <w:lang w:eastAsia="zh-CN"/>
        </w:rPr>
      </w:pPr>
    </w:p>
    <w:p w14:paraId="022B67C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sz w:val="22"/>
          <w:szCs w:val="21"/>
        </w:rPr>
      </w:pPr>
      <w:r>
        <w:rPr>
          <w:rFonts w:ascii="Times New Roman" w:hAnsi="Times New Roman" w:cs="Times New Roman"/>
          <w:b/>
          <w:sz w:val="22"/>
          <w:szCs w:val="21"/>
        </w:rPr>
        <w:t>Supplementary Fig. S</w:t>
      </w:r>
      <w:r>
        <w:rPr>
          <w:rFonts w:hint="eastAsia" w:ascii="Times New Roman" w:hAnsi="Times New Roman" w:cs="Times New Roman"/>
          <w:b/>
          <w:sz w:val="22"/>
          <w:szCs w:val="21"/>
          <w:lang w:val="en-US" w:eastAsia="zh-CN"/>
        </w:rPr>
        <w:t xml:space="preserve">7. </w:t>
      </w:r>
      <w:r>
        <w:rPr>
          <w:rFonts w:hint="eastAsia" w:ascii="Times New Roman" w:hAnsi="Times New Roman" w:cs="Times New Roman"/>
          <w:b/>
          <w:sz w:val="22"/>
          <w:szCs w:val="21"/>
        </w:rPr>
        <w:t>SHAP-based interpretation of the combined clinical–EEG model in the sensitivity analysis.</w:t>
      </w:r>
    </w:p>
    <w:p w14:paraId="6935405F">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eastAsiaTheme="minorEastAsia"/>
          <w:b/>
          <w:sz w:val="22"/>
          <w:szCs w:val="21"/>
          <w:lang w:eastAsia="zh-CN"/>
        </w:rPr>
      </w:pPr>
      <w:r>
        <w:rPr>
          <w:rFonts w:hint="eastAsia" w:ascii="Times New Roman" w:hAnsi="Times New Roman" w:cs="Times New Roman" w:eastAsiaTheme="minorEastAsia"/>
          <w:b/>
          <w:sz w:val="22"/>
          <w:szCs w:val="21"/>
          <w:lang w:eastAsia="zh-CN"/>
        </w:rPr>
        <w:drawing>
          <wp:inline distT="0" distB="0" distL="114300" distR="114300">
            <wp:extent cx="6469380" cy="3136900"/>
            <wp:effectExtent l="0" t="0" r="7620" b="0"/>
            <wp:docPr id="11" name="图片 11" descr="Figure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ureS7"/>
                    <pic:cNvPicPr>
                      <a:picLocks noChangeAspect="1"/>
                    </pic:cNvPicPr>
                  </pic:nvPicPr>
                  <pic:blipFill>
                    <a:blip r:embed="rId10"/>
                    <a:stretch>
                      <a:fillRect/>
                    </a:stretch>
                  </pic:blipFill>
                  <pic:spPr>
                    <a:xfrm>
                      <a:off x="0" y="0"/>
                      <a:ext cx="6469380" cy="3136900"/>
                    </a:xfrm>
                    <a:prstGeom prst="rect">
                      <a:avLst/>
                    </a:prstGeom>
                  </pic:spPr>
                </pic:pic>
              </a:graphicData>
            </a:graphic>
          </wp:inline>
        </w:drawing>
      </w:r>
    </w:p>
    <w:p w14:paraId="1285EFEE">
      <w:pPr>
        <w:spacing w:line="480" w:lineRule="auto"/>
        <w:jc w:val="both"/>
        <w:rPr>
          <w:rFonts w:ascii="Times New Roman" w:hAnsi="Times New Roman" w:eastAsia="Times New Roman"/>
          <w:sz w:val="22"/>
        </w:rPr>
      </w:pPr>
      <w:r>
        <w:rPr>
          <w:rFonts w:ascii="Times New Roman" w:hAnsi="Times New Roman" w:eastAsia="Times New Roman"/>
          <w:sz w:val="22"/>
        </w:rPr>
        <w:t>The sensitivity analysis excluded the 10 boundary cases. (A) Mean absolute SHAP values showing feature importance for the combined model in the validation cohort (n = 86). (B) SHAP summary plot showing each feature’s contribution to the predicted log-odds of short-term frequency increase. Positive values indicate a higher predicted probability and negative values a lower predicted probability. In the plotted feature labels, migraine history denotes migraine disease duration.</w:t>
      </w:r>
    </w:p>
    <w:p w14:paraId="6FD02E08">
      <w:pPr>
        <w:spacing w:line="480" w:lineRule="auto"/>
        <w:jc w:val="both"/>
        <w:rPr>
          <w:rFonts w:ascii="Times New Roman" w:hAnsi="Times New Roman" w:eastAsia="Times New Roman"/>
          <w:sz w:val="22"/>
        </w:rPr>
      </w:pPr>
    </w:p>
    <w:p w14:paraId="7E0F18E7">
      <w:pPr>
        <w:spacing w:line="480" w:lineRule="auto"/>
        <w:jc w:val="both"/>
        <w:rPr>
          <w:rFonts w:ascii="Times New Roman" w:hAnsi="Times New Roman" w:eastAsia="Times New Roman"/>
          <w:sz w:val="22"/>
        </w:rPr>
      </w:pPr>
    </w:p>
    <w:p w14:paraId="6FD07AA5">
      <w:pPr>
        <w:spacing w:line="480" w:lineRule="auto"/>
        <w:jc w:val="both"/>
        <w:rPr>
          <w:rFonts w:ascii="Times New Roman" w:hAnsi="Times New Roman" w:eastAsia="Times New Roman"/>
          <w:sz w:val="22"/>
        </w:rPr>
      </w:pPr>
    </w:p>
    <w:p w14:paraId="56EB16A7">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sz w:val="22"/>
          <w:szCs w:val="21"/>
        </w:rPr>
      </w:pPr>
    </w:p>
    <w:p w14:paraId="4223696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sz w:val="22"/>
          <w:szCs w:val="21"/>
        </w:rPr>
      </w:pPr>
    </w:p>
    <w:p w14:paraId="44DC00C6">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sz w:val="22"/>
          <w:szCs w:val="21"/>
        </w:rPr>
      </w:pPr>
      <w:r>
        <w:rPr>
          <w:rFonts w:ascii="Times New Roman" w:hAnsi="Times New Roman" w:cs="Times New Roman"/>
          <w:b/>
          <w:sz w:val="22"/>
          <w:szCs w:val="21"/>
        </w:rPr>
        <w:t>Supplementary Fig. S</w:t>
      </w:r>
      <w:r>
        <w:rPr>
          <w:rFonts w:hint="eastAsia" w:ascii="Times New Roman" w:hAnsi="Times New Roman" w:cs="Times New Roman"/>
          <w:b/>
          <w:sz w:val="22"/>
          <w:szCs w:val="21"/>
          <w:lang w:val="en-US" w:eastAsia="zh-CN"/>
        </w:rPr>
        <w:t xml:space="preserve">8. </w:t>
      </w:r>
      <w:r>
        <w:rPr>
          <w:rFonts w:ascii="Times New Roman" w:hAnsi="Times New Roman" w:cs="Times New Roman"/>
          <w:b/>
          <w:sz w:val="22"/>
          <w:szCs w:val="21"/>
        </w:rPr>
        <w:t>Discrimination and calibration of the simplified clinical–EEG model in the sensitivity analysis.</w:t>
      </w:r>
    </w:p>
    <w:p w14:paraId="0BAEAE3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eastAsiaTheme="minorEastAsia"/>
          <w:b/>
          <w:sz w:val="22"/>
          <w:szCs w:val="21"/>
          <w:lang w:eastAsia="zh-CN"/>
        </w:rPr>
      </w:pPr>
      <w:r>
        <w:rPr>
          <w:rFonts w:hint="eastAsia" w:ascii="Times New Roman" w:hAnsi="Times New Roman" w:cs="Times New Roman" w:eastAsiaTheme="minorEastAsia"/>
          <w:b/>
          <w:sz w:val="22"/>
          <w:szCs w:val="21"/>
          <w:lang w:eastAsia="zh-CN"/>
        </w:rPr>
        <w:drawing>
          <wp:inline distT="0" distB="0" distL="114300" distR="114300">
            <wp:extent cx="6469380" cy="5796280"/>
            <wp:effectExtent l="0" t="0" r="7620" b="7620"/>
            <wp:docPr id="12" name="图片 12" descr="Figure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ureS8"/>
                    <pic:cNvPicPr>
                      <a:picLocks noChangeAspect="1"/>
                    </pic:cNvPicPr>
                  </pic:nvPicPr>
                  <pic:blipFill>
                    <a:blip r:embed="rId11"/>
                    <a:stretch>
                      <a:fillRect/>
                    </a:stretch>
                  </pic:blipFill>
                  <pic:spPr>
                    <a:xfrm>
                      <a:off x="0" y="0"/>
                      <a:ext cx="6469380" cy="5796280"/>
                    </a:xfrm>
                    <a:prstGeom prst="rect">
                      <a:avLst/>
                    </a:prstGeom>
                  </pic:spPr>
                </pic:pic>
              </a:graphicData>
            </a:graphic>
          </wp:inline>
        </w:drawing>
      </w:r>
    </w:p>
    <w:p w14:paraId="5419BE1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eastAsia="Times New Roman"/>
          <w:sz w:val="22"/>
        </w:rPr>
      </w:pPr>
      <w:r>
        <w:rPr>
          <w:rFonts w:ascii="Times New Roman" w:hAnsi="Times New Roman" w:eastAsia="Times New Roman"/>
          <w:sz w:val="22"/>
        </w:rPr>
        <w:t>The sensitivity analysis excluded the 10 boundary cases. The simplified model included the six clinical predictors and within-VIS alpha-band connectivity. (A, B) Receiver operating characteristic curves in the development cohort (n = 120) and temporal validation cohort (n = 86), respectively. (C, D) Calibration plots in the development and validation cohorts.</w:t>
      </w:r>
    </w:p>
    <w:p w14:paraId="06D09F4C">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eastAsia="Times New Roman"/>
          <w:sz w:val="22"/>
        </w:rPr>
      </w:pPr>
    </w:p>
    <w:p w14:paraId="2BB808F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eastAsia="Times New Roman"/>
          <w:sz w:val="22"/>
        </w:rPr>
      </w:pPr>
    </w:p>
    <w:p w14:paraId="122F10E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eastAsia="Times New Roman"/>
          <w:sz w:val="22"/>
        </w:rPr>
      </w:pPr>
    </w:p>
    <w:p w14:paraId="0ADA37E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eastAsia="Times New Roman"/>
          <w:sz w:val="22"/>
        </w:rPr>
      </w:pPr>
    </w:p>
    <w:p w14:paraId="6C5B9609">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eastAsia="Times New Roman"/>
          <w:sz w:val="22"/>
          <w:lang w:eastAsia="zh-CN"/>
        </w:rPr>
      </w:pPr>
    </w:p>
    <w:p w14:paraId="36572F6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sz w:val="22"/>
          <w:szCs w:val="21"/>
        </w:rPr>
      </w:pPr>
      <w:r>
        <w:rPr>
          <w:rFonts w:ascii="Times New Roman" w:hAnsi="Times New Roman" w:cs="Times New Roman"/>
          <w:b/>
          <w:sz w:val="22"/>
          <w:szCs w:val="21"/>
        </w:rPr>
        <w:t>Supplementary Fig. S</w:t>
      </w:r>
      <w:r>
        <w:rPr>
          <w:rFonts w:hint="eastAsia" w:ascii="Times New Roman" w:hAnsi="Times New Roman" w:cs="Times New Roman"/>
          <w:b/>
          <w:sz w:val="22"/>
          <w:szCs w:val="21"/>
          <w:lang w:val="en-US" w:eastAsia="zh-CN"/>
        </w:rPr>
        <w:t>9</w:t>
      </w:r>
      <w:r>
        <w:rPr>
          <w:rFonts w:ascii="Times New Roman" w:hAnsi="Times New Roman" w:cs="Times New Roman"/>
          <w:b/>
          <w:sz w:val="22"/>
          <w:szCs w:val="21"/>
        </w:rPr>
        <w:t>. Performance of the sensor-space EEG and clinical–sensor-space EEG models.</w:t>
      </w:r>
    </w:p>
    <w:p w14:paraId="05E2536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eastAsiaTheme="minorEastAsia"/>
          <w:b/>
          <w:sz w:val="22"/>
          <w:szCs w:val="21"/>
          <w:lang w:eastAsia="zh-CN"/>
        </w:rPr>
      </w:pPr>
      <w:r>
        <w:rPr>
          <w:rFonts w:hint="eastAsia" w:ascii="Times New Roman" w:hAnsi="Times New Roman" w:cs="Times New Roman" w:eastAsiaTheme="minorEastAsia"/>
          <w:b/>
          <w:sz w:val="22"/>
          <w:szCs w:val="21"/>
          <w:lang w:eastAsia="zh-CN"/>
        </w:rPr>
        <w:drawing>
          <wp:inline distT="0" distB="0" distL="114300" distR="114300">
            <wp:extent cx="6469380" cy="5796280"/>
            <wp:effectExtent l="0" t="0" r="7620" b="7620"/>
            <wp:docPr id="13" name="图片 13" descr="Figure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ureS9"/>
                    <pic:cNvPicPr>
                      <a:picLocks noChangeAspect="1"/>
                    </pic:cNvPicPr>
                  </pic:nvPicPr>
                  <pic:blipFill>
                    <a:blip r:embed="rId12"/>
                    <a:stretch>
                      <a:fillRect/>
                    </a:stretch>
                  </pic:blipFill>
                  <pic:spPr>
                    <a:xfrm>
                      <a:off x="0" y="0"/>
                      <a:ext cx="6469380" cy="5796280"/>
                    </a:xfrm>
                    <a:prstGeom prst="rect">
                      <a:avLst/>
                    </a:prstGeom>
                  </pic:spPr>
                </pic:pic>
              </a:graphicData>
            </a:graphic>
          </wp:inline>
        </w:drawing>
      </w:r>
    </w:p>
    <w:p w14:paraId="2EA94DC1">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eastAsia="Times New Roman"/>
          <w:sz w:val="22"/>
        </w:rPr>
      </w:pPr>
      <w:r>
        <w:rPr>
          <w:rFonts w:hint="eastAsia" w:ascii="Times New Roman" w:hAnsi="Times New Roman" w:eastAsia="Times New Roman"/>
          <w:sz w:val="22"/>
        </w:rPr>
        <w:t>As a secondary benchmark, sensor-space models were constructed using sensor-level analogues of two EEG features with large contributions in the primary combined model: posterior periodic alpha power and within-posterior alpha-band amplitude-envelope correlation (AEC). Welch power spectral densities were estimated separately for eight prespecified posterior electrodes (O1, Oz, O2, PO3, POz, PO4, PO7, and PO8) using 2-s Hamming windows, 50% overlap, and an NFFT of 2,000. At each frequency bin, the linear power spectral density estimates were summarized using the median across the eight electrodes. The resulting posterior spectrum was parameterized over 1–35 Hz using the same fixed aperiodic model as in the source-space analysis. Posterior periodic alpha power was defined as the height of the largest fitted peak with a center frequency between 8 and 13 Hz above the aperiodic component.</w:t>
      </w:r>
    </w:p>
    <w:p w14:paraId="304CD8D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eastAsia="Times New Roman"/>
          <w:sz w:val="22"/>
        </w:rPr>
      </w:pPr>
      <w:r>
        <w:rPr>
          <w:rFonts w:hint="eastAsia" w:ascii="Times New Roman" w:hAnsi="Times New Roman" w:eastAsia="Times New Roman"/>
          <w:sz w:val="22"/>
        </w:rPr>
        <w:t>For AEC, the eight posterior signals were band-pass filtered at 8–13 Hz using the same zero-phase Butterworth filtering procedure as in the source-space analysis. Hilbert analytic signals were calculated at the native sampling rate and resampled to 50 Hz with reflection padding. Each electrode pair was then processed using bidirectional pairwise orthogonalization. The amplitude envelopes were smoothed using a 0.5-s moving average and natural-log transformed. For each electrode pair, the two directional envelope correlations were averaged and then Fisher z-transformed; the mean Fisher-z value across the 28 unique electrode pairs was retained. Effective-rank measures were recorded for quality control and were not used as a full-rank eligibility criterion.</w:t>
      </w:r>
    </w:p>
    <w:p w14:paraId="1E4DA13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eastAsia="Times New Roman"/>
          <w:sz w:val="22"/>
        </w:rPr>
      </w:pPr>
      <w:r>
        <w:rPr>
          <w:rFonts w:hint="eastAsia" w:ascii="Times New Roman" w:hAnsi="Times New Roman" w:eastAsia="Times New Roman"/>
          <w:sz w:val="22"/>
        </w:rPr>
        <w:t>The sensor-space EEG model included these two measures, whereas the clinical–sensor-space EEG model additionally included the same clinical predictors as the primary clinical model. Both models used the same elastic-net logistic-regression framework and development/temporal-validation procedures as the primary analysis. Development-cohort performance (n = 126) was estimated from repeat-averaged out-of-fold predictions, and the locked models were applied without refitting or recalibration to the temporal validation cohort (n = 90). (A, B) Receiver operating characteristic curves for the sensor-space EEG and clinical–sensor-space EEG models in the development and validation cohorts, respectively. (C, D) Calibration plots for the clinical–sensor-space EEG model in the development and validation cohorts.</w:t>
      </w:r>
    </w:p>
    <w:p w14:paraId="2441599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eastAsia="Times New Roman"/>
          <w:sz w:val="22"/>
          <w:lang w:eastAsia="zh-CN"/>
        </w:rPr>
      </w:pPr>
    </w:p>
    <w:p w14:paraId="02FD6399">
      <w:pPr>
        <w:keepNext/>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sz w:val="22"/>
          <w:szCs w:val="21"/>
        </w:rPr>
      </w:pPr>
      <w:r>
        <w:rPr>
          <w:rFonts w:ascii="Times New Roman" w:hAnsi="Times New Roman" w:cs="Times New Roman"/>
          <w:b/>
          <w:sz w:val="22"/>
          <w:szCs w:val="21"/>
        </w:rPr>
        <w:t>Supplementary Table S1. Baseline characteristics by third-month outcome in the development cohort.</w:t>
      </w:r>
    </w:p>
    <w:tbl>
      <w:tblPr>
        <w:tblStyle w:val="15"/>
        <w:tblW w:w="8959"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16"/>
        <w:gridCol w:w="1701"/>
        <w:gridCol w:w="1701"/>
        <w:gridCol w:w="2041"/>
      </w:tblGrid>
      <w:tr w14:paraId="65ABBE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3516" w:type="dxa"/>
            <w:tcBorders>
              <w:top w:val="single" w:color="auto" w:sz="8" w:space="0"/>
              <w:bottom w:val="single" w:color="auto" w:sz="8" w:space="0"/>
            </w:tcBorders>
          </w:tcPr>
          <w:p w14:paraId="6C9DDD57">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bCs/>
                <w:sz w:val="19"/>
                <w:szCs w:val="19"/>
              </w:rPr>
            </w:pPr>
            <w:r>
              <w:rPr>
                <w:rFonts w:ascii="Times New Roman" w:hAnsi="Times New Roman" w:cs="Times New Roman"/>
                <w:b/>
                <w:bCs/>
                <w:sz w:val="19"/>
                <w:szCs w:val="19"/>
              </w:rPr>
              <w:t>Characteristic</w:t>
            </w:r>
          </w:p>
        </w:tc>
        <w:tc>
          <w:tcPr>
            <w:tcW w:w="1701" w:type="dxa"/>
            <w:tcBorders>
              <w:top w:val="single" w:color="auto" w:sz="8" w:space="0"/>
              <w:bottom w:val="single" w:color="auto" w:sz="8" w:space="0"/>
            </w:tcBorders>
          </w:tcPr>
          <w:p w14:paraId="22D544AC">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bCs/>
                <w:sz w:val="19"/>
                <w:szCs w:val="19"/>
              </w:rPr>
            </w:pPr>
            <w:r>
              <w:rPr>
                <w:rFonts w:ascii="Times New Roman" w:hAnsi="Times New Roman" w:cs="Times New Roman"/>
                <w:b/>
                <w:bCs/>
                <w:sz w:val="19"/>
                <w:szCs w:val="19"/>
              </w:rPr>
              <w:t xml:space="preserve">≥4-MMD group </w:t>
            </w:r>
          </w:p>
          <w:p w14:paraId="0807217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b/>
                <w:bCs/>
                <w:sz w:val="19"/>
                <w:szCs w:val="19"/>
              </w:rPr>
            </w:pPr>
            <w:r>
              <w:rPr>
                <w:rFonts w:ascii="Times New Roman" w:hAnsi="Times New Roman" w:cs="Times New Roman"/>
                <w:b/>
                <w:bCs/>
                <w:sz w:val="19"/>
                <w:szCs w:val="19"/>
              </w:rPr>
              <w:t>n = 52</w:t>
            </w:r>
          </w:p>
        </w:tc>
        <w:tc>
          <w:tcPr>
            <w:tcW w:w="1701" w:type="dxa"/>
            <w:tcBorders>
              <w:top w:val="single" w:color="auto" w:sz="8" w:space="0"/>
              <w:bottom w:val="single" w:color="auto" w:sz="8" w:space="0"/>
            </w:tcBorders>
          </w:tcPr>
          <w:p w14:paraId="556B55A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bCs/>
                <w:sz w:val="19"/>
                <w:szCs w:val="19"/>
              </w:rPr>
            </w:pPr>
            <w:r>
              <w:rPr>
                <w:rFonts w:ascii="Times New Roman" w:hAnsi="Times New Roman" w:cs="Times New Roman"/>
                <w:b/>
                <w:bCs/>
                <w:sz w:val="19"/>
                <w:szCs w:val="19"/>
              </w:rPr>
              <w:t xml:space="preserve">&lt;4-MMD group </w:t>
            </w:r>
          </w:p>
          <w:p w14:paraId="30DA9A9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b/>
                <w:bCs/>
                <w:sz w:val="19"/>
                <w:szCs w:val="19"/>
              </w:rPr>
            </w:pPr>
            <w:r>
              <w:rPr>
                <w:rFonts w:ascii="Times New Roman" w:hAnsi="Times New Roman" w:cs="Times New Roman"/>
                <w:b/>
                <w:bCs/>
                <w:sz w:val="19"/>
                <w:szCs w:val="19"/>
              </w:rPr>
              <w:t>n = 74</w:t>
            </w:r>
          </w:p>
        </w:tc>
        <w:tc>
          <w:tcPr>
            <w:tcW w:w="2041" w:type="dxa"/>
            <w:tcBorders>
              <w:top w:val="single" w:color="auto" w:sz="8" w:space="0"/>
              <w:bottom w:val="single" w:color="auto" w:sz="8" w:space="0"/>
            </w:tcBorders>
          </w:tcPr>
          <w:p w14:paraId="4D698F50">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bCs/>
                <w:sz w:val="19"/>
                <w:szCs w:val="19"/>
              </w:rPr>
            </w:pPr>
            <w:r>
              <w:rPr>
                <w:rFonts w:ascii="Times New Roman" w:hAnsi="Times New Roman" w:cs="Times New Roman"/>
                <w:b/>
                <w:bCs/>
                <w:sz w:val="19"/>
                <w:szCs w:val="19"/>
              </w:rPr>
              <w:t>Group comparison</w:t>
            </w:r>
          </w:p>
        </w:tc>
      </w:tr>
      <w:tr w14:paraId="535C0CF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single" w:color="auto" w:sz="8" w:space="0"/>
              <w:bottom w:val="nil"/>
            </w:tcBorders>
          </w:tcPr>
          <w:p w14:paraId="08BB681F">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Age, median (IQR), years</w:t>
            </w:r>
          </w:p>
        </w:tc>
        <w:tc>
          <w:tcPr>
            <w:tcW w:w="1701" w:type="dxa"/>
            <w:tcBorders>
              <w:top w:val="single" w:color="auto" w:sz="8" w:space="0"/>
              <w:bottom w:val="nil"/>
            </w:tcBorders>
          </w:tcPr>
          <w:p w14:paraId="189628C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34.0 (29.</w:t>
            </w:r>
            <w:r>
              <w:rPr>
                <w:rFonts w:hint="eastAsia" w:ascii="Times New Roman" w:hAnsi="Times New Roman" w:cs="Times New Roman"/>
                <w:sz w:val="19"/>
                <w:szCs w:val="19"/>
                <w:lang w:val="en-US" w:eastAsia="zh-CN"/>
              </w:rPr>
              <w:t>5</w:t>
            </w:r>
            <w:r>
              <w:rPr>
                <w:rFonts w:ascii="Times New Roman" w:hAnsi="Times New Roman" w:cs="Times New Roman"/>
                <w:sz w:val="19"/>
                <w:szCs w:val="19"/>
              </w:rPr>
              <w:t>–38.0)</w:t>
            </w:r>
          </w:p>
        </w:tc>
        <w:tc>
          <w:tcPr>
            <w:tcW w:w="1701" w:type="dxa"/>
            <w:tcBorders>
              <w:top w:val="single" w:color="auto" w:sz="8" w:space="0"/>
              <w:bottom w:val="nil"/>
            </w:tcBorders>
          </w:tcPr>
          <w:p w14:paraId="53A6567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33.0 (28.</w:t>
            </w:r>
            <w:r>
              <w:rPr>
                <w:rFonts w:hint="eastAsia" w:ascii="Times New Roman" w:hAnsi="Times New Roman" w:cs="Times New Roman"/>
                <w:sz w:val="19"/>
                <w:szCs w:val="19"/>
                <w:lang w:val="en-US" w:eastAsia="zh-CN"/>
              </w:rPr>
              <w:t>0</w:t>
            </w:r>
            <w:r>
              <w:rPr>
                <w:rFonts w:ascii="Times New Roman" w:hAnsi="Times New Roman" w:cs="Times New Roman"/>
                <w:sz w:val="19"/>
                <w:szCs w:val="19"/>
              </w:rPr>
              <w:t>–3</w:t>
            </w:r>
            <w:r>
              <w:rPr>
                <w:rFonts w:hint="eastAsia" w:ascii="Times New Roman" w:hAnsi="Times New Roman" w:cs="Times New Roman"/>
                <w:sz w:val="19"/>
                <w:szCs w:val="19"/>
                <w:lang w:val="en-US" w:eastAsia="zh-CN"/>
              </w:rPr>
              <w:t>7.0</w:t>
            </w:r>
            <w:r>
              <w:rPr>
                <w:rFonts w:ascii="Times New Roman" w:hAnsi="Times New Roman" w:cs="Times New Roman"/>
                <w:sz w:val="19"/>
                <w:szCs w:val="19"/>
              </w:rPr>
              <w:t>)</w:t>
            </w:r>
          </w:p>
        </w:tc>
        <w:tc>
          <w:tcPr>
            <w:tcW w:w="2041" w:type="dxa"/>
            <w:tcBorders>
              <w:top w:val="single" w:color="auto" w:sz="8" w:space="0"/>
              <w:bottom w:val="nil"/>
            </w:tcBorders>
          </w:tcPr>
          <w:p w14:paraId="2F510C9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 xml:space="preserve">H = 1.58, </w:t>
            </w:r>
            <w:r>
              <w:rPr>
                <w:rFonts w:ascii="Times New Roman" w:hAnsi="Times New Roman" w:cs="Times New Roman"/>
                <w:i/>
                <w:iCs/>
                <w:sz w:val="19"/>
                <w:szCs w:val="19"/>
              </w:rPr>
              <w:t>p</w:t>
            </w:r>
            <w:r>
              <w:rPr>
                <w:rFonts w:ascii="Times New Roman" w:hAnsi="Times New Roman" w:cs="Times New Roman"/>
                <w:sz w:val="19"/>
                <w:szCs w:val="19"/>
              </w:rPr>
              <w:t xml:space="preserve"> = 0.209</w:t>
            </w:r>
          </w:p>
        </w:tc>
      </w:tr>
      <w:tr w14:paraId="039DDFA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0D6B187C">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Sex, male/female</w:t>
            </w:r>
          </w:p>
        </w:tc>
        <w:tc>
          <w:tcPr>
            <w:tcW w:w="1701" w:type="dxa"/>
            <w:tcBorders>
              <w:top w:val="nil"/>
              <w:bottom w:val="nil"/>
            </w:tcBorders>
          </w:tcPr>
          <w:p w14:paraId="609706F7">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5/47</w:t>
            </w:r>
          </w:p>
        </w:tc>
        <w:tc>
          <w:tcPr>
            <w:tcW w:w="1701" w:type="dxa"/>
            <w:tcBorders>
              <w:top w:val="nil"/>
              <w:bottom w:val="nil"/>
            </w:tcBorders>
          </w:tcPr>
          <w:p w14:paraId="1CF31B3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13/61</w:t>
            </w:r>
          </w:p>
        </w:tc>
        <w:tc>
          <w:tcPr>
            <w:tcW w:w="2041" w:type="dxa"/>
            <w:tcBorders>
              <w:top w:val="nil"/>
              <w:bottom w:val="nil"/>
            </w:tcBorders>
          </w:tcPr>
          <w:p w14:paraId="356876AF">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 xml:space="preserve">χ² = 1.58, </w:t>
            </w:r>
            <w:r>
              <w:rPr>
                <w:rFonts w:ascii="Times New Roman" w:hAnsi="Times New Roman" w:eastAsia="Times New Roman" w:cs="Times New Roman"/>
                <w:i/>
                <w:iCs/>
                <w:sz w:val="19"/>
                <w:szCs w:val="19"/>
              </w:rPr>
              <w:t>p</w:t>
            </w:r>
            <w:r>
              <w:rPr>
                <w:rFonts w:ascii="Times New Roman" w:hAnsi="Times New Roman" w:eastAsia="Times New Roman" w:cs="Times New Roman"/>
                <w:sz w:val="19"/>
                <w:szCs w:val="19"/>
              </w:rPr>
              <w:t xml:space="preserve"> = 0.209</w:t>
            </w:r>
          </w:p>
        </w:tc>
      </w:tr>
      <w:tr w14:paraId="2D3E5B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5A99FFD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Male, n (%)</w:t>
            </w:r>
          </w:p>
        </w:tc>
        <w:tc>
          <w:tcPr>
            <w:tcW w:w="1701" w:type="dxa"/>
            <w:tcBorders>
              <w:top w:val="nil"/>
              <w:bottom w:val="nil"/>
            </w:tcBorders>
          </w:tcPr>
          <w:p w14:paraId="60F8530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5 (9.6)</w:t>
            </w:r>
          </w:p>
        </w:tc>
        <w:tc>
          <w:tcPr>
            <w:tcW w:w="1701" w:type="dxa"/>
            <w:tcBorders>
              <w:top w:val="nil"/>
              <w:bottom w:val="nil"/>
            </w:tcBorders>
          </w:tcPr>
          <w:p w14:paraId="3195829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13 (17.6)</w:t>
            </w:r>
          </w:p>
        </w:tc>
        <w:tc>
          <w:tcPr>
            <w:tcW w:w="2041" w:type="dxa"/>
            <w:tcBorders>
              <w:top w:val="nil"/>
              <w:bottom w:val="nil"/>
            </w:tcBorders>
          </w:tcPr>
          <w:p w14:paraId="4FC0A9C9">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p>
        </w:tc>
      </w:tr>
      <w:tr w14:paraId="16F986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4C41D6F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Female, n (%)</w:t>
            </w:r>
          </w:p>
        </w:tc>
        <w:tc>
          <w:tcPr>
            <w:tcW w:w="1701" w:type="dxa"/>
            <w:tcBorders>
              <w:top w:val="nil"/>
              <w:bottom w:val="nil"/>
            </w:tcBorders>
          </w:tcPr>
          <w:p w14:paraId="14E19A5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47 (90.4)</w:t>
            </w:r>
          </w:p>
        </w:tc>
        <w:tc>
          <w:tcPr>
            <w:tcW w:w="1701" w:type="dxa"/>
            <w:tcBorders>
              <w:top w:val="nil"/>
              <w:bottom w:val="nil"/>
            </w:tcBorders>
          </w:tcPr>
          <w:p w14:paraId="2DEA4A01">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61 (82.4)</w:t>
            </w:r>
          </w:p>
        </w:tc>
        <w:tc>
          <w:tcPr>
            <w:tcW w:w="2041" w:type="dxa"/>
            <w:tcBorders>
              <w:top w:val="nil"/>
              <w:bottom w:val="nil"/>
            </w:tcBorders>
          </w:tcPr>
          <w:p w14:paraId="1025D8C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p>
        </w:tc>
      </w:tr>
      <w:tr w14:paraId="44AAAB2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7DB76D7A">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Education level, median (IQR)</w:t>
            </w:r>
          </w:p>
        </w:tc>
        <w:tc>
          <w:tcPr>
            <w:tcW w:w="1701" w:type="dxa"/>
            <w:tcBorders>
              <w:top w:val="nil"/>
              <w:bottom w:val="nil"/>
            </w:tcBorders>
          </w:tcPr>
          <w:p w14:paraId="00EFCD1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4.0 (4.0–4.0)</w:t>
            </w:r>
          </w:p>
        </w:tc>
        <w:tc>
          <w:tcPr>
            <w:tcW w:w="1701" w:type="dxa"/>
            <w:tcBorders>
              <w:top w:val="nil"/>
              <w:bottom w:val="nil"/>
            </w:tcBorders>
          </w:tcPr>
          <w:p w14:paraId="0A9AE6D0">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4.0 (3.2–4.0)</w:t>
            </w:r>
          </w:p>
        </w:tc>
        <w:tc>
          <w:tcPr>
            <w:tcW w:w="2041" w:type="dxa"/>
            <w:tcBorders>
              <w:top w:val="nil"/>
              <w:bottom w:val="nil"/>
            </w:tcBorders>
          </w:tcPr>
          <w:p w14:paraId="739560AC">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 xml:space="preserve">H = 0.47, </w:t>
            </w:r>
            <w:r>
              <w:rPr>
                <w:rFonts w:ascii="Times New Roman" w:hAnsi="Times New Roman" w:cs="Times New Roman"/>
                <w:i/>
                <w:iCs/>
                <w:sz w:val="19"/>
                <w:szCs w:val="19"/>
              </w:rPr>
              <w:t xml:space="preserve">p </w:t>
            </w:r>
            <w:r>
              <w:rPr>
                <w:rFonts w:ascii="Times New Roman" w:hAnsi="Times New Roman" w:cs="Times New Roman"/>
                <w:sz w:val="19"/>
                <w:szCs w:val="19"/>
              </w:rPr>
              <w:t>= 0.493</w:t>
            </w:r>
          </w:p>
        </w:tc>
      </w:tr>
      <w:tr w14:paraId="1B1755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62748806">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Baseline MMDs, median (IQR)</w:t>
            </w:r>
          </w:p>
        </w:tc>
        <w:tc>
          <w:tcPr>
            <w:tcW w:w="1701" w:type="dxa"/>
            <w:tcBorders>
              <w:top w:val="nil"/>
              <w:bottom w:val="nil"/>
            </w:tcBorders>
          </w:tcPr>
          <w:p w14:paraId="2B93495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2.0 (1.0–3.0)</w:t>
            </w:r>
          </w:p>
        </w:tc>
        <w:tc>
          <w:tcPr>
            <w:tcW w:w="1701" w:type="dxa"/>
            <w:tcBorders>
              <w:top w:val="nil"/>
              <w:bottom w:val="nil"/>
            </w:tcBorders>
          </w:tcPr>
          <w:p w14:paraId="4C723FF0">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2.0 (2.0–3.0)</w:t>
            </w:r>
          </w:p>
        </w:tc>
        <w:tc>
          <w:tcPr>
            <w:tcW w:w="2041" w:type="dxa"/>
            <w:tcBorders>
              <w:top w:val="nil"/>
              <w:bottom w:val="nil"/>
            </w:tcBorders>
          </w:tcPr>
          <w:p w14:paraId="560BBB2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 xml:space="preserve">H = 1.51, </w:t>
            </w:r>
            <w:r>
              <w:rPr>
                <w:rFonts w:ascii="Times New Roman" w:hAnsi="Times New Roman" w:cs="Times New Roman"/>
                <w:i/>
                <w:iCs/>
                <w:sz w:val="19"/>
                <w:szCs w:val="19"/>
              </w:rPr>
              <w:t xml:space="preserve">p </w:t>
            </w:r>
            <w:r>
              <w:rPr>
                <w:rFonts w:ascii="Times New Roman" w:hAnsi="Times New Roman" w:cs="Times New Roman"/>
                <w:sz w:val="19"/>
                <w:szCs w:val="19"/>
              </w:rPr>
              <w:t>= 0.219</w:t>
            </w:r>
          </w:p>
        </w:tc>
      </w:tr>
      <w:tr w14:paraId="5D939B9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69485CF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Migraine disease duration, median (IQR), years</w:t>
            </w:r>
          </w:p>
        </w:tc>
        <w:tc>
          <w:tcPr>
            <w:tcW w:w="1701" w:type="dxa"/>
            <w:tcBorders>
              <w:top w:val="nil"/>
              <w:bottom w:val="nil"/>
            </w:tcBorders>
          </w:tcPr>
          <w:p w14:paraId="1823FB01">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10.0 (6.0–15.0)</w:t>
            </w:r>
          </w:p>
        </w:tc>
        <w:tc>
          <w:tcPr>
            <w:tcW w:w="1701" w:type="dxa"/>
            <w:tcBorders>
              <w:top w:val="nil"/>
              <w:bottom w:val="nil"/>
            </w:tcBorders>
          </w:tcPr>
          <w:p w14:paraId="3761057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6.5 (4.0–10.0)</w:t>
            </w:r>
          </w:p>
        </w:tc>
        <w:tc>
          <w:tcPr>
            <w:tcW w:w="2041" w:type="dxa"/>
            <w:tcBorders>
              <w:top w:val="nil"/>
              <w:bottom w:val="nil"/>
            </w:tcBorders>
          </w:tcPr>
          <w:p w14:paraId="201B9799">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 xml:space="preserve">H = 8.73, </w:t>
            </w:r>
            <w:r>
              <w:rPr>
                <w:rFonts w:ascii="Times New Roman" w:hAnsi="Times New Roman" w:cs="Times New Roman"/>
                <w:i/>
                <w:iCs/>
                <w:sz w:val="19"/>
                <w:szCs w:val="19"/>
              </w:rPr>
              <w:t xml:space="preserve">p </w:t>
            </w:r>
            <w:r>
              <w:rPr>
                <w:rFonts w:ascii="Times New Roman" w:hAnsi="Times New Roman" w:cs="Times New Roman"/>
                <w:sz w:val="19"/>
                <w:szCs w:val="19"/>
              </w:rPr>
              <w:t>= 0.003</w:t>
            </w:r>
          </w:p>
        </w:tc>
      </w:tr>
      <w:tr w14:paraId="02D152C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02C546A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Typical attack duration, median (IQR), h</w:t>
            </w:r>
          </w:p>
        </w:tc>
        <w:tc>
          <w:tcPr>
            <w:tcW w:w="1701" w:type="dxa"/>
            <w:tcBorders>
              <w:top w:val="nil"/>
              <w:bottom w:val="nil"/>
            </w:tcBorders>
          </w:tcPr>
          <w:p w14:paraId="65352B9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24.0 (7.</w:t>
            </w:r>
            <w:r>
              <w:rPr>
                <w:rFonts w:hint="eastAsia" w:ascii="Times New Roman" w:hAnsi="Times New Roman" w:cs="Times New Roman"/>
                <w:sz w:val="19"/>
                <w:szCs w:val="19"/>
                <w:lang w:val="en-US" w:eastAsia="zh-CN"/>
              </w:rPr>
              <w:t>5</w:t>
            </w:r>
            <w:r>
              <w:rPr>
                <w:rFonts w:ascii="Times New Roman" w:hAnsi="Times New Roman" w:cs="Times New Roman"/>
                <w:sz w:val="19"/>
                <w:szCs w:val="19"/>
              </w:rPr>
              <w:t>–24.0)</w:t>
            </w:r>
          </w:p>
        </w:tc>
        <w:tc>
          <w:tcPr>
            <w:tcW w:w="1701" w:type="dxa"/>
            <w:tcBorders>
              <w:top w:val="nil"/>
              <w:bottom w:val="nil"/>
            </w:tcBorders>
          </w:tcPr>
          <w:p w14:paraId="43D7454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12.0 (5.0–24.0)</w:t>
            </w:r>
          </w:p>
        </w:tc>
        <w:tc>
          <w:tcPr>
            <w:tcW w:w="2041" w:type="dxa"/>
            <w:tcBorders>
              <w:top w:val="nil"/>
              <w:bottom w:val="nil"/>
            </w:tcBorders>
          </w:tcPr>
          <w:p w14:paraId="3488E54C">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 xml:space="preserve">H = 3.04, </w:t>
            </w:r>
            <w:r>
              <w:rPr>
                <w:rFonts w:ascii="Times New Roman" w:hAnsi="Times New Roman" w:cs="Times New Roman"/>
                <w:i/>
                <w:iCs/>
                <w:sz w:val="19"/>
                <w:szCs w:val="19"/>
              </w:rPr>
              <w:t>p</w:t>
            </w:r>
            <w:r>
              <w:rPr>
                <w:rFonts w:ascii="Times New Roman" w:hAnsi="Times New Roman" w:cs="Times New Roman"/>
                <w:sz w:val="19"/>
                <w:szCs w:val="19"/>
              </w:rPr>
              <w:t xml:space="preserve"> = 0.081</w:t>
            </w:r>
          </w:p>
        </w:tc>
      </w:tr>
      <w:tr w14:paraId="6E9035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3362532C">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Headache intensity (VAS), median (IQR)</w:t>
            </w:r>
          </w:p>
        </w:tc>
        <w:tc>
          <w:tcPr>
            <w:tcW w:w="1701" w:type="dxa"/>
            <w:tcBorders>
              <w:top w:val="nil"/>
              <w:bottom w:val="nil"/>
            </w:tcBorders>
          </w:tcPr>
          <w:p w14:paraId="5E1D8A8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7.0 (5.0–8.0)</w:t>
            </w:r>
          </w:p>
        </w:tc>
        <w:tc>
          <w:tcPr>
            <w:tcW w:w="1701" w:type="dxa"/>
            <w:tcBorders>
              <w:top w:val="nil"/>
              <w:bottom w:val="nil"/>
            </w:tcBorders>
          </w:tcPr>
          <w:p w14:paraId="2E57B80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7.0 (5.0–8.0)</w:t>
            </w:r>
          </w:p>
        </w:tc>
        <w:tc>
          <w:tcPr>
            <w:tcW w:w="2041" w:type="dxa"/>
            <w:tcBorders>
              <w:top w:val="nil"/>
              <w:bottom w:val="nil"/>
            </w:tcBorders>
          </w:tcPr>
          <w:p w14:paraId="763BC8B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 xml:space="preserve">H = 0.13, </w:t>
            </w:r>
            <w:r>
              <w:rPr>
                <w:rFonts w:ascii="Times New Roman" w:hAnsi="Times New Roman" w:cs="Times New Roman"/>
                <w:i/>
                <w:iCs/>
                <w:sz w:val="19"/>
                <w:szCs w:val="19"/>
              </w:rPr>
              <w:t>p</w:t>
            </w:r>
            <w:r>
              <w:rPr>
                <w:rFonts w:ascii="Times New Roman" w:hAnsi="Times New Roman" w:cs="Times New Roman"/>
                <w:sz w:val="19"/>
                <w:szCs w:val="19"/>
              </w:rPr>
              <w:t xml:space="preserve"> = 0.719</w:t>
            </w:r>
          </w:p>
        </w:tc>
      </w:tr>
      <w:tr w14:paraId="1FBE25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2D5E76B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GAD-7, median (IQR)</w:t>
            </w:r>
          </w:p>
        </w:tc>
        <w:tc>
          <w:tcPr>
            <w:tcW w:w="1701" w:type="dxa"/>
            <w:tcBorders>
              <w:top w:val="nil"/>
              <w:bottom w:val="nil"/>
            </w:tcBorders>
          </w:tcPr>
          <w:p w14:paraId="1BFDBF9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4.0 (3.0–5.5)</w:t>
            </w:r>
          </w:p>
        </w:tc>
        <w:tc>
          <w:tcPr>
            <w:tcW w:w="1701" w:type="dxa"/>
            <w:tcBorders>
              <w:top w:val="nil"/>
              <w:bottom w:val="nil"/>
            </w:tcBorders>
          </w:tcPr>
          <w:p w14:paraId="70AB237F">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4.0 (2.0–5.0)</w:t>
            </w:r>
          </w:p>
        </w:tc>
        <w:tc>
          <w:tcPr>
            <w:tcW w:w="2041" w:type="dxa"/>
            <w:tcBorders>
              <w:top w:val="nil"/>
              <w:bottom w:val="nil"/>
            </w:tcBorders>
          </w:tcPr>
          <w:p w14:paraId="707DA8B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 xml:space="preserve">H = 0.88, </w:t>
            </w:r>
            <w:r>
              <w:rPr>
                <w:rFonts w:ascii="Times New Roman" w:hAnsi="Times New Roman" w:cs="Times New Roman"/>
                <w:i/>
                <w:iCs/>
                <w:sz w:val="19"/>
                <w:szCs w:val="19"/>
              </w:rPr>
              <w:t xml:space="preserve">p </w:t>
            </w:r>
            <w:r>
              <w:rPr>
                <w:rFonts w:ascii="Times New Roman" w:hAnsi="Times New Roman" w:cs="Times New Roman"/>
                <w:sz w:val="19"/>
                <w:szCs w:val="19"/>
              </w:rPr>
              <w:t>= 0.348</w:t>
            </w:r>
          </w:p>
        </w:tc>
      </w:tr>
      <w:tr w14:paraId="2C50D38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5CADF82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PHQ-9, median (IQR)</w:t>
            </w:r>
          </w:p>
        </w:tc>
        <w:tc>
          <w:tcPr>
            <w:tcW w:w="1701" w:type="dxa"/>
            <w:tcBorders>
              <w:top w:val="nil"/>
              <w:bottom w:val="nil"/>
            </w:tcBorders>
          </w:tcPr>
          <w:p w14:paraId="19159CD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6.0 (4.5–8.0)</w:t>
            </w:r>
          </w:p>
        </w:tc>
        <w:tc>
          <w:tcPr>
            <w:tcW w:w="1701" w:type="dxa"/>
            <w:tcBorders>
              <w:top w:val="nil"/>
              <w:bottom w:val="nil"/>
            </w:tcBorders>
          </w:tcPr>
          <w:p w14:paraId="6D2E2E61">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5.0 (3.0–6.0)</w:t>
            </w:r>
          </w:p>
        </w:tc>
        <w:tc>
          <w:tcPr>
            <w:tcW w:w="2041" w:type="dxa"/>
            <w:tcBorders>
              <w:top w:val="nil"/>
              <w:bottom w:val="nil"/>
            </w:tcBorders>
          </w:tcPr>
          <w:p w14:paraId="1FB63660">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 xml:space="preserve">H = 6.65, </w:t>
            </w:r>
            <w:r>
              <w:rPr>
                <w:rFonts w:ascii="Times New Roman" w:hAnsi="Times New Roman" w:cs="Times New Roman"/>
                <w:i/>
                <w:iCs/>
                <w:sz w:val="19"/>
                <w:szCs w:val="19"/>
              </w:rPr>
              <w:t xml:space="preserve">p </w:t>
            </w:r>
            <w:r>
              <w:rPr>
                <w:rFonts w:ascii="Times New Roman" w:hAnsi="Times New Roman" w:cs="Times New Roman"/>
                <w:sz w:val="19"/>
                <w:szCs w:val="19"/>
              </w:rPr>
              <w:t>= 0.010</w:t>
            </w:r>
          </w:p>
        </w:tc>
      </w:tr>
      <w:tr w14:paraId="3DDDBD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single" w:color="auto" w:sz="8" w:space="0"/>
            </w:tcBorders>
          </w:tcPr>
          <w:p w14:paraId="33CF7C9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PSQI, median (IQR)</w:t>
            </w:r>
          </w:p>
        </w:tc>
        <w:tc>
          <w:tcPr>
            <w:tcW w:w="1701" w:type="dxa"/>
            <w:tcBorders>
              <w:top w:val="nil"/>
              <w:bottom w:val="single" w:color="auto" w:sz="8" w:space="0"/>
            </w:tcBorders>
          </w:tcPr>
          <w:p w14:paraId="39EAAC0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7.0 (6.0–8.0)</w:t>
            </w:r>
          </w:p>
        </w:tc>
        <w:tc>
          <w:tcPr>
            <w:tcW w:w="1701" w:type="dxa"/>
            <w:tcBorders>
              <w:top w:val="nil"/>
              <w:bottom w:val="single" w:color="auto" w:sz="8" w:space="0"/>
            </w:tcBorders>
          </w:tcPr>
          <w:p w14:paraId="7AD765B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6.0 (5.0–7.0)</w:t>
            </w:r>
          </w:p>
        </w:tc>
        <w:tc>
          <w:tcPr>
            <w:tcW w:w="2041" w:type="dxa"/>
            <w:tcBorders>
              <w:top w:val="nil"/>
              <w:bottom w:val="single" w:color="auto" w:sz="8" w:space="0"/>
            </w:tcBorders>
          </w:tcPr>
          <w:p w14:paraId="3465BBA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 xml:space="preserve">H = 2.64, </w:t>
            </w:r>
            <w:r>
              <w:rPr>
                <w:rFonts w:ascii="Times New Roman" w:hAnsi="Times New Roman" w:cs="Times New Roman"/>
                <w:i/>
                <w:iCs/>
                <w:sz w:val="19"/>
                <w:szCs w:val="19"/>
              </w:rPr>
              <w:t xml:space="preserve">p </w:t>
            </w:r>
            <w:r>
              <w:rPr>
                <w:rFonts w:ascii="Times New Roman" w:hAnsi="Times New Roman" w:cs="Times New Roman"/>
                <w:sz w:val="19"/>
                <w:szCs w:val="19"/>
              </w:rPr>
              <w:t>= 0.104</w:t>
            </w:r>
          </w:p>
        </w:tc>
      </w:tr>
    </w:tbl>
    <w:p w14:paraId="4B1AF11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b/>
          <w:sz w:val="22"/>
          <w:szCs w:val="21"/>
        </w:rPr>
      </w:pPr>
    </w:p>
    <w:p w14:paraId="4DE2A3F9">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22"/>
          <w:szCs w:val="21"/>
        </w:rPr>
      </w:pPr>
      <w:r>
        <w:rPr>
          <w:rFonts w:ascii="Times New Roman" w:hAnsi="Times New Roman" w:eastAsia="Times New Roman" w:cs="Times New Roman"/>
          <w:sz w:val="22"/>
          <w:szCs w:val="21"/>
        </w:rPr>
        <w:t>Continuous and ordinal variables are presented as medians with interquartile ranges, and categorical variables as counts and percentages. Between-group comparisons used the Kruskal–Wallis test for continuous and ordinal variables and Pearson’s χ² test for sex; Fisher’s exact test was used when expected cell counts were insufficient. H denotes the Kruskal–Wallis test statistic, and χ² denotes the Pearson χ² test statistic. The &lt;4-MMD group comprised patients with &lt;4 MMDs during the third month after baseline, whereas the ≥4-MMD group comprised patients with ≥4 MMDs during the third month after baseline. Education level was coded as follows: 1 = primary school or below, 2 = junior high school, 3 = senior high school, 4 = bachelor’s degree, 5 = master’s degree, and 6 = doctoral degree. Migraine disease duration denotes the number of years since migraine onset, and attack duration denotes the reported average duration of a typical migraine attack.</w:t>
      </w:r>
    </w:p>
    <w:p w14:paraId="5F3178DB">
      <w:pPr>
        <w:keepNext w:val="0"/>
        <w:keepLines/>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22"/>
          <w:szCs w:val="21"/>
        </w:rPr>
      </w:pPr>
      <w:r>
        <w:rPr>
          <w:rFonts w:ascii="Times New Roman" w:hAnsi="Times New Roman" w:cs="Times New Roman"/>
          <w:sz w:val="22"/>
          <w:szCs w:val="21"/>
        </w:rPr>
        <w:t>GAD-7, 7-item Generalized Anxiety Disorder scale; IQR, interquartile range; MMDs, monthly migraine days; MO, migraine without aura; PHQ-9, 9-item Patient Health Questionnaire; PSQI, Pittsburgh Sleep Quality Index; VAS, visual analogue scale.</w:t>
      </w:r>
    </w:p>
    <w:p w14:paraId="55C146D8">
      <w:pPr>
        <w:keepNext w:val="0"/>
        <w:keepLines/>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22"/>
          <w:szCs w:val="21"/>
        </w:rPr>
      </w:pPr>
    </w:p>
    <w:p w14:paraId="79700BA7">
      <w:pPr>
        <w:keepNext/>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sz w:val="22"/>
          <w:szCs w:val="21"/>
        </w:rPr>
      </w:pPr>
      <w:r>
        <w:rPr>
          <w:rFonts w:ascii="Times New Roman" w:hAnsi="Times New Roman" w:cs="Times New Roman"/>
          <w:b/>
          <w:sz w:val="22"/>
          <w:szCs w:val="21"/>
        </w:rPr>
        <w:t>Supplementary Table S2. Baseline characteristics by third-month outcome in the validation cohort.</w:t>
      </w:r>
    </w:p>
    <w:tbl>
      <w:tblPr>
        <w:tblStyle w:val="15"/>
        <w:tblW w:w="8959"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16"/>
        <w:gridCol w:w="1701"/>
        <w:gridCol w:w="1701"/>
        <w:gridCol w:w="2041"/>
      </w:tblGrid>
      <w:tr w14:paraId="3ACFDB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3516" w:type="dxa"/>
            <w:tcBorders>
              <w:top w:val="single" w:color="auto" w:sz="8" w:space="0"/>
              <w:bottom w:val="single" w:color="auto" w:sz="8" w:space="0"/>
            </w:tcBorders>
          </w:tcPr>
          <w:p w14:paraId="6B5B7A2C">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bCs/>
                <w:sz w:val="19"/>
                <w:szCs w:val="19"/>
              </w:rPr>
            </w:pPr>
            <w:r>
              <w:rPr>
                <w:rFonts w:ascii="Times New Roman" w:hAnsi="Times New Roman" w:cs="Times New Roman"/>
                <w:b/>
                <w:bCs/>
                <w:sz w:val="19"/>
                <w:szCs w:val="19"/>
              </w:rPr>
              <w:t>Characteristic</w:t>
            </w:r>
          </w:p>
        </w:tc>
        <w:tc>
          <w:tcPr>
            <w:tcW w:w="1701" w:type="dxa"/>
            <w:tcBorders>
              <w:top w:val="single" w:color="auto" w:sz="8" w:space="0"/>
              <w:bottom w:val="single" w:color="auto" w:sz="8" w:space="0"/>
            </w:tcBorders>
          </w:tcPr>
          <w:p w14:paraId="789424E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bCs/>
                <w:sz w:val="19"/>
                <w:szCs w:val="19"/>
              </w:rPr>
            </w:pPr>
            <w:r>
              <w:rPr>
                <w:rFonts w:ascii="Times New Roman" w:hAnsi="Times New Roman" w:cs="Times New Roman"/>
                <w:b/>
                <w:bCs/>
                <w:sz w:val="19"/>
                <w:szCs w:val="19"/>
              </w:rPr>
              <w:t xml:space="preserve">≥4-MMD group </w:t>
            </w:r>
          </w:p>
          <w:p w14:paraId="2EB63E17">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eastAsiaTheme="minorEastAsia"/>
                <w:b/>
                <w:bCs/>
                <w:sz w:val="19"/>
                <w:szCs w:val="19"/>
                <w:lang w:val="en-US" w:eastAsia="zh-CN"/>
              </w:rPr>
            </w:pPr>
            <w:r>
              <w:rPr>
                <w:rFonts w:ascii="Times New Roman" w:hAnsi="Times New Roman" w:cs="Times New Roman"/>
                <w:b/>
                <w:bCs/>
                <w:sz w:val="19"/>
                <w:szCs w:val="19"/>
              </w:rPr>
              <w:t xml:space="preserve">n = </w:t>
            </w:r>
            <w:r>
              <w:rPr>
                <w:rFonts w:hint="eastAsia" w:ascii="Times New Roman" w:hAnsi="Times New Roman" w:cs="Times New Roman"/>
                <w:b/>
                <w:bCs/>
                <w:sz w:val="19"/>
                <w:szCs w:val="19"/>
                <w:lang w:val="en-US" w:eastAsia="zh-CN"/>
              </w:rPr>
              <w:t>38</w:t>
            </w:r>
          </w:p>
        </w:tc>
        <w:tc>
          <w:tcPr>
            <w:tcW w:w="1701" w:type="dxa"/>
            <w:tcBorders>
              <w:top w:val="single" w:color="auto" w:sz="8" w:space="0"/>
              <w:bottom w:val="single" w:color="auto" w:sz="8" w:space="0"/>
            </w:tcBorders>
          </w:tcPr>
          <w:p w14:paraId="2A502EC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bCs/>
                <w:sz w:val="19"/>
                <w:szCs w:val="19"/>
              </w:rPr>
            </w:pPr>
            <w:r>
              <w:rPr>
                <w:rFonts w:ascii="Times New Roman" w:hAnsi="Times New Roman" w:cs="Times New Roman"/>
                <w:b/>
                <w:bCs/>
                <w:sz w:val="19"/>
                <w:szCs w:val="19"/>
              </w:rPr>
              <w:t xml:space="preserve">&lt;4-MMD group </w:t>
            </w:r>
          </w:p>
          <w:p w14:paraId="52E5DF36">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eastAsiaTheme="minorEastAsia"/>
                <w:b/>
                <w:bCs/>
                <w:sz w:val="19"/>
                <w:szCs w:val="19"/>
                <w:lang w:val="en-US" w:eastAsia="zh-CN"/>
              </w:rPr>
            </w:pPr>
            <w:r>
              <w:rPr>
                <w:rFonts w:ascii="Times New Roman" w:hAnsi="Times New Roman" w:cs="Times New Roman"/>
                <w:b/>
                <w:bCs/>
                <w:sz w:val="19"/>
                <w:szCs w:val="19"/>
              </w:rPr>
              <w:t xml:space="preserve">n = </w:t>
            </w:r>
            <w:r>
              <w:rPr>
                <w:rFonts w:hint="eastAsia" w:ascii="Times New Roman" w:hAnsi="Times New Roman" w:cs="Times New Roman"/>
                <w:b/>
                <w:bCs/>
                <w:sz w:val="19"/>
                <w:szCs w:val="19"/>
                <w:lang w:val="en-US" w:eastAsia="zh-CN"/>
              </w:rPr>
              <w:t>52</w:t>
            </w:r>
          </w:p>
        </w:tc>
        <w:tc>
          <w:tcPr>
            <w:tcW w:w="2041" w:type="dxa"/>
            <w:tcBorders>
              <w:top w:val="single" w:color="auto" w:sz="8" w:space="0"/>
              <w:bottom w:val="single" w:color="auto" w:sz="8" w:space="0"/>
            </w:tcBorders>
          </w:tcPr>
          <w:p w14:paraId="57B0F5B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bCs/>
                <w:sz w:val="19"/>
                <w:szCs w:val="19"/>
              </w:rPr>
            </w:pPr>
            <w:r>
              <w:rPr>
                <w:rFonts w:ascii="Times New Roman" w:hAnsi="Times New Roman" w:cs="Times New Roman"/>
                <w:b/>
                <w:bCs/>
                <w:sz w:val="19"/>
                <w:szCs w:val="19"/>
              </w:rPr>
              <w:t>Group comparison</w:t>
            </w:r>
          </w:p>
        </w:tc>
      </w:tr>
      <w:tr w14:paraId="6BE3BA4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single" w:color="auto" w:sz="8" w:space="0"/>
              <w:bottom w:val="nil"/>
            </w:tcBorders>
          </w:tcPr>
          <w:p w14:paraId="5336E5E1">
            <w:pPr>
              <w:keepNext w:val="0"/>
              <w:keepLines w:val="0"/>
              <w:pageBreakBefore w:val="0"/>
              <w:widowControl w:val="0"/>
              <w:kinsoku/>
              <w:wordWrap/>
              <w:overflowPunct/>
              <w:topLinePunct w:val="0"/>
              <w:autoSpaceDE/>
              <w:autoSpaceDN/>
              <w:bidi w:val="0"/>
              <w:adjustRightInd w:val="0"/>
              <w:snapToGrid w:val="0"/>
              <w:spacing w:line="480" w:lineRule="auto"/>
              <w:ind w:left="63" w:leftChars="30"/>
              <w:jc w:val="both"/>
              <w:textAlignment w:val="auto"/>
              <w:rPr>
                <w:rFonts w:ascii="Times New Roman" w:hAnsi="Times New Roman" w:cs="Times New Roman"/>
                <w:sz w:val="19"/>
                <w:szCs w:val="19"/>
              </w:rPr>
            </w:pPr>
            <w:r>
              <w:rPr>
                <w:rFonts w:ascii="Times New Roman" w:hAnsi="Times New Roman" w:cs="Times New Roman"/>
                <w:sz w:val="19"/>
                <w:szCs w:val="19"/>
              </w:rPr>
              <w:t>Age, median (IQR), years</w:t>
            </w:r>
          </w:p>
        </w:tc>
        <w:tc>
          <w:tcPr>
            <w:tcW w:w="1701" w:type="dxa"/>
            <w:tcBorders>
              <w:top w:val="single" w:color="auto" w:sz="8" w:space="0"/>
              <w:bottom w:val="nil"/>
            </w:tcBorders>
          </w:tcPr>
          <w:p w14:paraId="7C1DBD5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3</w:t>
            </w:r>
            <w:r>
              <w:rPr>
                <w:rFonts w:hint="eastAsia" w:ascii="Times New Roman" w:hAnsi="Times New Roman" w:cs="Times New Roman"/>
                <w:sz w:val="19"/>
                <w:szCs w:val="19"/>
                <w:lang w:val="en-US" w:eastAsia="zh-CN"/>
              </w:rPr>
              <w:t>3</w:t>
            </w:r>
            <w:r>
              <w:rPr>
                <w:rFonts w:ascii="Times New Roman" w:hAnsi="Times New Roman" w:cs="Times New Roman"/>
                <w:sz w:val="19"/>
                <w:szCs w:val="19"/>
              </w:rPr>
              <w:t>.</w:t>
            </w:r>
            <w:r>
              <w:rPr>
                <w:rFonts w:hint="eastAsia" w:ascii="Times New Roman" w:hAnsi="Times New Roman" w:cs="Times New Roman"/>
                <w:sz w:val="19"/>
                <w:szCs w:val="19"/>
                <w:lang w:val="en-US" w:eastAsia="zh-CN"/>
              </w:rPr>
              <w:t>5</w:t>
            </w:r>
            <w:r>
              <w:rPr>
                <w:rFonts w:ascii="Times New Roman" w:hAnsi="Times New Roman" w:cs="Times New Roman"/>
                <w:sz w:val="19"/>
                <w:szCs w:val="19"/>
              </w:rPr>
              <w:t xml:space="preserve"> (</w:t>
            </w:r>
            <w:r>
              <w:rPr>
                <w:rFonts w:hint="eastAsia" w:ascii="Times New Roman" w:hAnsi="Times New Roman" w:cs="Times New Roman"/>
                <w:sz w:val="19"/>
                <w:szCs w:val="19"/>
                <w:lang w:val="en-US" w:eastAsia="zh-CN"/>
              </w:rPr>
              <w:t>27.0</w:t>
            </w:r>
            <w:r>
              <w:rPr>
                <w:rFonts w:ascii="Times New Roman" w:hAnsi="Times New Roman" w:cs="Times New Roman"/>
                <w:sz w:val="19"/>
                <w:szCs w:val="19"/>
              </w:rPr>
              <w:t>–</w:t>
            </w:r>
            <w:r>
              <w:rPr>
                <w:rFonts w:hint="eastAsia" w:ascii="Times New Roman" w:hAnsi="Times New Roman" w:cs="Times New Roman"/>
                <w:sz w:val="19"/>
                <w:szCs w:val="19"/>
                <w:lang w:val="en-US" w:eastAsia="zh-CN"/>
              </w:rPr>
              <w:t>41</w:t>
            </w:r>
            <w:r>
              <w:rPr>
                <w:rFonts w:ascii="Times New Roman" w:hAnsi="Times New Roman" w:cs="Times New Roman"/>
                <w:sz w:val="19"/>
                <w:szCs w:val="19"/>
              </w:rPr>
              <w:t>.0)</w:t>
            </w:r>
          </w:p>
        </w:tc>
        <w:tc>
          <w:tcPr>
            <w:tcW w:w="1701" w:type="dxa"/>
            <w:tcBorders>
              <w:top w:val="single" w:color="auto" w:sz="8" w:space="0"/>
              <w:bottom w:val="nil"/>
            </w:tcBorders>
          </w:tcPr>
          <w:p w14:paraId="1BF5427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35</w:t>
            </w:r>
            <w:r>
              <w:rPr>
                <w:rFonts w:ascii="Times New Roman" w:hAnsi="Times New Roman" w:cs="Times New Roman"/>
                <w:sz w:val="19"/>
                <w:szCs w:val="19"/>
              </w:rPr>
              <w:t>.</w:t>
            </w:r>
            <w:r>
              <w:rPr>
                <w:rFonts w:hint="eastAsia" w:ascii="Times New Roman" w:hAnsi="Times New Roman" w:cs="Times New Roman"/>
                <w:sz w:val="19"/>
                <w:szCs w:val="19"/>
                <w:lang w:val="en-US" w:eastAsia="zh-CN"/>
              </w:rPr>
              <w:t>5</w:t>
            </w:r>
            <w:r>
              <w:rPr>
                <w:rFonts w:ascii="Times New Roman" w:hAnsi="Times New Roman" w:cs="Times New Roman"/>
                <w:sz w:val="19"/>
                <w:szCs w:val="19"/>
              </w:rPr>
              <w:t xml:space="preserve"> (</w:t>
            </w:r>
            <w:r>
              <w:rPr>
                <w:rFonts w:hint="eastAsia" w:ascii="Times New Roman" w:hAnsi="Times New Roman" w:cs="Times New Roman"/>
                <w:sz w:val="19"/>
                <w:szCs w:val="19"/>
                <w:lang w:val="en-US" w:eastAsia="zh-CN"/>
              </w:rPr>
              <w:t>30.0</w:t>
            </w:r>
            <w:r>
              <w:rPr>
                <w:rFonts w:ascii="Times New Roman" w:hAnsi="Times New Roman" w:cs="Times New Roman"/>
                <w:sz w:val="19"/>
                <w:szCs w:val="19"/>
              </w:rPr>
              <w:t>–</w:t>
            </w:r>
            <w:r>
              <w:rPr>
                <w:rFonts w:hint="eastAsia" w:ascii="Times New Roman" w:hAnsi="Times New Roman" w:cs="Times New Roman"/>
                <w:sz w:val="19"/>
                <w:szCs w:val="19"/>
                <w:lang w:val="en-US" w:eastAsia="zh-CN"/>
              </w:rPr>
              <w:t>41.0</w:t>
            </w:r>
            <w:r>
              <w:rPr>
                <w:rFonts w:ascii="Times New Roman" w:hAnsi="Times New Roman" w:cs="Times New Roman"/>
                <w:sz w:val="19"/>
                <w:szCs w:val="19"/>
              </w:rPr>
              <w:t>)</w:t>
            </w:r>
          </w:p>
        </w:tc>
        <w:tc>
          <w:tcPr>
            <w:tcW w:w="2041" w:type="dxa"/>
            <w:tcBorders>
              <w:top w:val="single" w:color="auto" w:sz="8" w:space="0"/>
              <w:bottom w:val="nil"/>
            </w:tcBorders>
          </w:tcPr>
          <w:p w14:paraId="2B04A2B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eastAsiaTheme="minorEastAsia"/>
                <w:sz w:val="19"/>
                <w:szCs w:val="19"/>
                <w:lang w:val="en-US" w:eastAsia="zh-CN"/>
              </w:rPr>
            </w:pPr>
            <w:r>
              <w:rPr>
                <w:rFonts w:ascii="Times New Roman" w:hAnsi="Times New Roman" w:cs="Times New Roman"/>
                <w:sz w:val="19"/>
                <w:szCs w:val="19"/>
              </w:rPr>
              <w:t xml:space="preserve">H = </w:t>
            </w:r>
            <w:r>
              <w:rPr>
                <w:rFonts w:hint="eastAsia" w:ascii="Times New Roman" w:hAnsi="Times New Roman" w:cs="Times New Roman"/>
                <w:sz w:val="19"/>
                <w:szCs w:val="19"/>
                <w:lang w:val="en-US" w:eastAsia="zh-CN"/>
              </w:rPr>
              <w:t>0.19</w:t>
            </w:r>
            <w:r>
              <w:rPr>
                <w:rFonts w:ascii="Times New Roman" w:hAnsi="Times New Roman" w:cs="Times New Roman"/>
                <w:sz w:val="19"/>
                <w:szCs w:val="19"/>
              </w:rPr>
              <w:t xml:space="preserve">, </w:t>
            </w:r>
            <w:r>
              <w:rPr>
                <w:rFonts w:ascii="Times New Roman" w:hAnsi="Times New Roman" w:cs="Times New Roman"/>
                <w:i/>
                <w:iCs/>
                <w:sz w:val="19"/>
                <w:szCs w:val="19"/>
              </w:rPr>
              <w:t>p</w:t>
            </w:r>
            <w:r>
              <w:rPr>
                <w:rFonts w:ascii="Times New Roman" w:hAnsi="Times New Roman" w:cs="Times New Roman"/>
                <w:sz w:val="19"/>
                <w:szCs w:val="19"/>
              </w:rPr>
              <w:t xml:space="preserve"> = 0.</w:t>
            </w:r>
            <w:r>
              <w:rPr>
                <w:rFonts w:hint="eastAsia" w:ascii="Times New Roman" w:hAnsi="Times New Roman" w:cs="Times New Roman"/>
                <w:sz w:val="19"/>
                <w:szCs w:val="19"/>
                <w:lang w:val="en-US" w:eastAsia="zh-CN"/>
              </w:rPr>
              <w:t>659</w:t>
            </w:r>
          </w:p>
        </w:tc>
      </w:tr>
      <w:tr w14:paraId="04487D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1A6ED1B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Sex, male/female</w:t>
            </w:r>
          </w:p>
        </w:tc>
        <w:tc>
          <w:tcPr>
            <w:tcW w:w="1701" w:type="dxa"/>
            <w:tcBorders>
              <w:top w:val="nil"/>
              <w:bottom w:val="nil"/>
            </w:tcBorders>
          </w:tcPr>
          <w:p w14:paraId="286F7CA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9/29</w:t>
            </w:r>
          </w:p>
        </w:tc>
        <w:tc>
          <w:tcPr>
            <w:tcW w:w="1701" w:type="dxa"/>
            <w:tcBorders>
              <w:top w:val="nil"/>
              <w:bottom w:val="nil"/>
            </w:tcBorders>
          </w:tcPr>
          <w:p w14:paraId="580D9DC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9/43</w:t>
            </w:r>
          </w:p>
        </w:tc>
        <w:tc>
          <w:tcPr>
            <w:tcW w:w="2041" w:type="dxa"/>
            <w:tcBorders>
              <w:top w:val="nil"/>
              <w:bottom w:val="nil"/>
            </w:tcBorders>
          </w:tcPr>
          <w:p w14:paraId="1D69F0D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 xml:space="preserve">χ² = 0.56, </w:t>
            </w:r>
            <w:r>
              <w:rPr>
                <w:rFonts w:ascii="Times New Roman" w:hAnsi="Times New Roman" w:eastAsia="Times New Roman" w:cs="Times New Roman"/>
                <w:i/>
                <w:iCs/>
                <w:sz w:val="19"/>
                <w:szCs w:val="19"/>
              </w:rPr>
              <w:t>p</w:t>
            </w:r>
            <w:r>
              <w:rPr>
                <w:rFonts w:ascii="Times New Roman" w:hAnsi="Times New Roman" w:eastAsia="Times New Roman" w:cs="Times New Roman"/>
                <w:sz w:val="19"/>
                <w:szCs w:val="19"/>
              </w:rPr>
              <w:t xml:space="preserve"> = 0.455</w:t>
            </w:r>
          </w:p>
        </w:tc>
      </w:tr>
      <w:tr w14:paraId="48B5C3E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6C112508">
            <w:pPr>
              <w:keepNext w:val="0"/>
              <w:keepLines w:val="0"/>
              <w:pageBreakBefore w:val="0"/>
              <w:widowControl w:val="0"/>
              <w:kinsoku/>
              <w:wordWrap/>
              <w:overflowPunct/>
              <w:topLinePunct w:val="0"/>
              <w:autoSpaceDE/>
              <w:autoSpaceDN/>
              <w:bidi w:val="0"/>
              <w:adjustRightInd w:val="0"/>
              <w:snapToGrid w:val="0"/>
              <w:spacing w:line="480" w:lineRule="auto"/>
              <w:ind w:left="63" w:leftChars="30"/>
              <w:jc w:val="both"/>
              <w:textAlignment w:val="auto"/>
              <w:rPr>
                <w:rFonts w:ascii="Times New Roman" w:hAnsi="Times New Roman" w:cs="Times New Roman"/>
                <w:sz w:val="19"/>
                <w:szCs w:val="19"/>
              </w:rPr>
            </w:pPr>
            <w:r>
              <w:rPr>
                <w:rFonts w:ascii="Times New Roman" w:hAnsi="Times New Roman" w:cs="Times New Roman"/>
                <w:sz w:val="19"/>
                <w:szCs w:val="19"/>
              </w:rPr>
              <w:t>Male, n (%)</w:t>
            </w:r>
          </w:p>
        </w:tc>
        <w:tc>
          <w:tcPr>
            <w:tcW w:w="1701" w:type="dxa"/>
            <w:tcBorders>
              <w:top w:val="nil"/>
              <w:bottom w:val="nil"/>
            </w:tcBorders>
          </w:tcPr>
          <w:p w14:paraId="68C6820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9 (23.7)</w:t>
            </w:r>
          </w:p>
        </w:tc>
        <w:tc>
          <w:tcPr>
            <w:tcW w:w="1701" w:type="dxa"/>
            <w:tcBorders>
              <w:top w:val="nil"/>
              <w:bottom w:val="nil"/>
            </w:tcBorders>
          </w:tcPr>
          <w:p w14:paraId="2276B2B0">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9 (17.3)</w:t>
            </w:r>
          </w:p>
        </w:tc>
        <w:tc>
          <w:tcPr>
            <w:tcW w:w="2041" w:type="dxa"/>
            <w:tcBorders>
              <w:top w:val="nil"/>
              <w:bottom w:val="nil"/>
            </w:tcBorders>
          </w:tcPr>
          <w:p w14:paraId="3EB1DE9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p>
        </w:tc>
      </w:tr>
      <w:tr w14:paraId="1437133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0028C4AB">
            <w:pPr>
              <w:keepNext w:val="0"/>
              <w:keepLines w:val="0"/>
              <w:pageBreakBefore w:val="0"/>
              <w:widowControl w:val="0"/>
              <w:kinsoku/>
              <w:wordWrap/>
              <w:overflowPunct/>
              <w:topLinePunct w:val="0"/>
              <w:autoSpaceDE/>
              <w:autoSpaceDN/>
              <w:bidi w:val="0"/>
              <w:adjustRightInd w:val="0"/>
              <w:snapToGrid w:val="0"/>
              <w:spacing w:line="480" w:lineRule="auto"/>
              <w:ind w:left="63" w:leftChars="30"/>
              <w:jc w:val="both"/>
              <w:textAlignment w:val="auto"/>
              <w:rPr>
                <w:rFonts w:ascii="Times New Roman" w:hAnsi="Times New Roman" w:cs="Times New Roman"/>
                <w:sz w:val="19"/>
                <w:szCs w:val="19"/>
              </w:rPr>
            </w:pPr>
            <w:r>
              <w:rPr>
                <w:rFonts w:ascii="Times New Roman" w:hAnsi="Times New Roman" w:cs="Times New Roman"/>
                <w:sz w:val="19"/>
                <w:szCs w:val="19"/>
              </w:rPr>
              <w:t>Female, n (%)</w:t>
            </w:r>
          </w:p>
        </w:tc>
        <w:tc>
          <w:tcPr>
            <w:tcW w:w="1701" w:type="dxa"/>
            <w:tcBorders>
              <w:top w:val="nil"/>
              <w:bottom w:val="nil"/>
            </w:tcBorders>
          </w:tcPr>
          <w:p w14:paraId="370D887F">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29 (76.3)</w:t>
            </w:r>
          </w:p>
        </w:tc>
        <w:tc>
          <w:tcPr>
            <w:tcW w:w="1701" w:type="dxa"/>
            <w:tcBorders>
              <w:top w:val="nil"/>
              <w:bottom w:val="nil"/>
            </w:tcBorders>
          </w:tcPr>
          <w:p w14:paraId="1D3A48B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43 (82.7)</w:t>
            </w:r>
          </w:p>
        </w:tc>
        <w:tc>
          <w:tcPr>
            <w:tcW w:w="2041" w:type="dxa"/>
            <w:tcBorders>
              <w:top w:val="nil"/>
              <w:bottom w:val="nil"/>
            </w:tcBorders>
          </w:tcPr>
          <w:p w14:paraId="6003FE1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p>
        </w:tc>
      </w:tr>
      <w:tr w14:paraId="171206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1FE8150C">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Education level, median (IQR)</w:t>
            </w:r>
          </w:p>
        </w:tc>
        <w:tc>
          <w:tcPr>
            <w:tcW w:w="1701" w:type="dxa"/>
            <w:tcBorders>
              <w:top w:val="nil"/>
              <w:bottom w:val="nil"/>
            </w:tcBorders>
          </w:tcPr>
          <w:p w14:paraId="257C2376">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4.0 (4.0–4.0)</w:t>
            </w:r>
          </w:p>
        </w:tc>
        <w:tc>
          <w:tcPr>
            <w:tcW w:w="1701" w:type="dxa"/>
            <w:tcBorders>
              <w:top w:val="nil"/>
              <w:bottom w:val="nil"/>
            </w:tcBorders>
          </w:tcPr>
          <w:p w14:paraId="26691EE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4.0 (4.0–4.0)</w:t>
            </w:r>
          </w:p>
        </w:tc>
        <w:tc>
          <w:tcPr>
            <w:tcW w:w="2041" w:type="dxa"/>
            <w:tcBorders>
              <w:top w:val="nil"/>
              <w:bottom w:val="nil"/>
            </w:tcBorders>
          </w:tcPr>
          <w:p w14:paraId="29D2CD1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 xml:space="preserve">H = 0.74, </w:t>
            </w:r>
            <w:r>
              <w:rPr>
                <w:rFonts w:ascii="Times New Roman" w:hAnsi="Times New Roman" w:cs="Times New Roman"/>
                <w:i/>
                <w:iCs/>
                <w:sz w:val="19"/>
                <w:szCs w:val="19"/>
              </w:rPr>
              <w:t>p</w:t>
            </w:r>
            <w:r>
              <w:rPr>
                <w:rFonts w:ascii="Times New Roman" w:hAnsi="Times New Roman" w:cs="Times New Roman"/>
                <w:sz w:val="19"/>
                <w:szCs w:val="19"/>
              </w:rPr>
              <w:t xml:space="preserve"> = 0.389</w:t>
            </w:r>
          </w:p>
        </w:tc>
      </w:tr>
      <w:tr w14:paraId="65E965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299EA95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Baseline MMDs, median (IQR)</w:t>
            </w:r>
          </w:p>
        </w:tc>
        <w:tc>
          <w:tcPr>
            <w:tcW w:w="1701" w:type="dxa"/>
            <w:tcBorders>
              <w:top w:val="nil"/>
              <w:bottom w:val="nil"/>
            </w:tcBorders>
          </w:tcPr>
          <w:p w14:paraId="46D2A8D9">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2.0 (2.0–3.0)</w:t>
            </w:r>
          </w:p>
        </w:tc>
        <w:tc>
          <w:tcPr>
            <w:tcW w:w="1701" w:type="dxa"/>
            <w:tcBorders>
              <w:top w:val="nil"/>
              <w:bottom w:val="nil"/>
            </w:tcBorders>
          </w:tcPr>
          <w:p w14:paraId="1AA4628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2.0 (1.0–3.0)</w:t>
            </w:r>
          </w:p>
        </w:tc>
        <w:tc>
          <w:tcPr>
            <w:tcW w:w="2041" w:type="dxa"/>
            <w:tcBorders>
              <w:top w:val="nil"/>
              <w:bottom w:val="nil"/>
            </w:tcBorders>
          </w:tcPr>
          <w:p w14:paraId="2F658D4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eastAsiaTheme="minorEastAsia"/>
                <w:sz w:val="19"/>
                <w:szCs w:val="19"/>
                <w:lang w:val="en-US" w:eastAsia="zh-CN"/>
              </w:rPr>
            </w:pPr>
            <w:r>
              <w:rPr>
                <w:rFonts w:ascii="Times New Roman" w:hAnsi="Times New Roman" w:cs="Times New Roman"/>
                <w:sz w:val="19"/>
                <w:szCs w:val="19"/>
              </w:rPr>
              <w:t>H = 0.</w:t>
            </w:r>
            <w:r>
              <w:rPr>
                <w:rFonts w:hint="eastAsia" w:ascii="Times New Roman" w:hAnsi="Times New Roman" w:cs="Times New Roman"/>
                <w:sz w:val="19"/>
                <w:szCs w:val="19"/>
                <w:lang w:val="en-US" w:eastAsia="zh-CN"/>
              </w:rPr>
              <w:t>20</w:t>
            </w:r>
            <w:r>
              <w:rPr>
                <w:rFonts w:ascii="Times New Roman" w:hAnsi="Times New Roman" w:cs="Times New Roman"/>
                <w:sz w:val="19"/>
                <w:szCs w:val="19"/>
              </w:rPr>
              <w:t xml:space="preserve">, </w:t>
            </w:r>
            <w:r>
              <w:rPr>
                <w:rFonts w:ascii="Times New Roman" w:hAnsi="Times New Roman" w:cs="Times New Roman"/>
                <w:i/>
                <w:iCs/>
                <w:sz w:val="19"/>
                <w:szCs w:val="19"/>
              </w:rPr>
              <w:t>p</w:t>
            </w:r>
            <w:r>
              <w:rPr>
                <w:rFonts w:ascii="Times New Roman" w:hAnsi="Times New Roman" w:cs="Times New Roman"/>
                <w:sz w:val="19"/>
                <w:szCs w:val="19"/>
              </w:rPr>
              <w:t xml:space="preserve"> = 0.</w:t>
            </w:r>
            <w:r>
              <w:rPr>
                <w:rFonts w:hint="eastAsia" w:ascii="Times New Roman" w:hAnsi="Times New Roman" w:cs="Times New Roman"/>
                <w:sz w:val="19"/>
                <w:szCs w:val="19"/>
                <w:lang w:val="en-US" w:eastAsia="zh-CN"/>
              </w:rPr>
              <w:t>657</w:t>
            </w:r>
          </w:p>
        </w:tc>
      </w:tr>
      <w:tr w14:paraId="06BD86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45F861CF">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Migraine disease duration, median (IQR), years</w:t>
            </w:r>
          </w:p>
        </w:tc>
        <w:tc>
          <w:tcPr>
            <w:tcW w:w="1701" w:type="dxa"/>
            <w:tcBorders>
              <w:top w:val="nil"/>
              <w:bottom w:val="nil"/>
            </w:tcBorders>
          </w:tcPr>
          <w:p w14:paraId="64CD0FD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7.0 (4.0–20.0)</w:t>
            </w:r>
          </w:p>
        </w:tc>
        <w:tc>
          <w:tcPr>
            <w:tcW w:w="1701" w:type="dxa"/>
            <w:tcBorders>
              <w:top w:val="nil"/>
              <w:bottom w:val="nil"/>
            </w:tcBorders>
          </w:tcPr>
          <w:p w14:paraId="29E4F26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5.5 (3.0–10.0)</w:t>
            </w:r>
          </w:p>
        </w:tc>
        <w:tc>
          <w:tcPr>
            <w:tcW w:w="2041" w:type="dxa"/>
            <w:tcBorders>
              <w:top w:val="nil"/>
              <w:bottom w:val="nil"/>
            </w:tcBorders>
          </w:tcPr>
          <w:p w14:paraId="4F33868C">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 xml:space="preserve">H = 2.56, </w:t>
            </w:r>
            <w:r>
              <w:rPr>
                <w:rFonts w:ascii="Times New Roman" w:hAnsi="Times New Roman" w:cs="Times New Roman"/>
                <w:i/>
                <w:iCs/>
                <w:sz w:val="19"/>
                <w:szCs w:val="19"/>
              </w:rPr>
              <w:t xml:space="preserve">p </w:t>
            </w:r>
            <w:r>
              <w:rPr>
                <w:rFonts w:ascii="Times New Roman" w:hAnsi="Times New Roman" w:cs="Times New Roman"/>
                <w:sz w:val="19"/>
                <w:szCs w:val="19"/>
              </w:rPr>
              <w:t>= 0.109</w:t>
            </w:r>
          </w:p>
        </w:tc>
      </w:tr>
      <w:tr w14:paraId="550585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2FE717B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Typical attack duration, median (IQR), h</w:t>
            </w:r>
          </w:p>
        </w:tc>
        <w:tc>
          <w:tcPr>
            <w:tcW w:w="1701" w:type="dxa"/>
            <w:tcBorders>
              <w:top w:val="nil"/>
              <w:bottom w:val="nil"/>
            </w:tcBorders>
          </w:tcPr>
          <w:p w14:paraId="4F85A88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24.0 (6.0–24.0)</w:t>
            </w:r>
          </w:p>
        </w:tc>
        <w:tc>
          <w:tcPr>
            <w:tcW w:w="1701" w:type="dxa"/>
            <w:tcBorders>
              <w:top w:val="nil"/>
              <w:bottom w:val="nil"/>
            </w:tcBorders>
          </w:tcPr>
          <w:p w14:paraId="559E8C0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24.0 (8.0–24.0)</w:t>
            </w:r>
          </w:p>
        </w:tc>
        <w:tc>
          <w:tcPr>
            <w:tcW w:w="2041" w:type="dxa"/>
            <w:tcBorders>
              <w:top w:val="nil"/>
              <w:bottom w:val="nil"/>
            </w:tcBorders>
          </w:tcPr>
          <w:p w14:paraId="3E6F75C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 xml:space="preserve">H = 0.42, </w:t>
            </w:r>
            <w:r>
              <w:rPr>
                <w:rFonts w:ascii="Times New Roman" w:hAnsi="Times New Roman" w:cs="Times New Roman"/>
                <w:i/>
                <w:iCs/>
                <w:sz w:val="19"/>
                <w:szCs w:val="19"/>
              </w:rPr>
              <w:t>p</w:t>
            </w:r>
            <w:r>
              <w:rPr>
                <w:rFonts w:ascii="Times New Roman" w:hAnsi="Times New Roman" w:cs="Times New Roman"/>
                <w:sz w:val="19"/>
                <w:szCs w:val="19"/>
              </w:rPr>
              <w:t xml:space="preserve"> = 0.518</w:t>
            </w:r>
          </w:p>
        </w:tc>
      </w:tr>
      <w:tr w14:paraId="578A95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4FE5C411">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Headache intensity (VAS), median (IQR)</w:t>
            </w:r>
          </w:p>
        </w:tc>
        <w:tc>
          <w:tcPr>
            <w:tcW w:w="1701" w:type="dxa"/>
            <w:tcBorders>
              <w:top w:val="nil"/>
              <w:bottom w:val="nil"/>
            </w:tcBorders>
          </w:tcPr>
          <w:p w14:paraId="3C9F9CF0">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6.0 (5.0–8.0)</w:t>
            </w:r>
          </w:p>
        </w:tc>
        <w:tc>
          <w:tcPr>
            <w:tcW w:w="1701" w:type="dxa"/>
            <w:tcBorders>
              <w:top w:val="nil"/>
              <w:bottom w:val="nil"/>
            </w:tcBorders>
          </w:tcPr>
          <w:p w14:paraId="5254781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6.0 (5.0–7.5)</w:t>
            </w:r>
          </w:p>
        </w:tc>
        <w:tc>
          <w:tcPr>
            <w:tcW w:w="2041" w:type="dxa"/>
            <w:tcBorders>
              <w:top w:val="nil"/>
              <w:bottom w:val="nil"/>
            </w:tcBorders>
          </w:tcPr>
          <w:p w14:paraId="0D8F8FC1">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 xml:space="preserve">H = 0.78, </w:t>
            </w:r>
            <w:r>
              <w:rPr>
                <w:rFonts w:ascii="Times New Roman" w:hAnsi="Times New Roman" w:cs="Times New Roman"/>
                <w:i/>
                <w:iCs/>
                <w:sz w:val="19"/>
                <w:szCs w:val="19"/>
              </w:rPr>
              <w:t>p</w:t>
            </w:r>
            <w:r>
              <w:rPr>
                <w:rFonts w:ascii="Times New Roman" w:hAnsi="Times New Roman" w:cs="Times New Roman"/>
                <w:sz w:val="19"/>
                <w:szCs w:val="19"/>
              </w:rPr>
              <w:t xml:space="preserve"> = 0.376</w:t>
            </w:r>
          </w:p>
        </w:tc>
      </w:tr>
      <w:tr w14:paraId="64324CD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7A99775A">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GAD-7, median (IQR)</w:t>
            </w:r>
          </w:p>
        </w:tc>
        <w:tc>
          <w:tcPr>
            <w:tcW w:w="1701" w:type="dxa"/>
            <w:tcBorders>
              <w:top w:val="nil"/>
              <w:bottom w:val="nil"/>
            </w:tcBorders>
          </w:tcPr>
          <w:p w14:paraId="6C84AC0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5.0 (4.0–6.0)</w:t>
            </w:r>
          </w:p>
        </w:tc>
        <w:tc>
          <w:tcPr>
            <w:tcW w:w="1701" w:type="dxa"/>
            <w:tcBorders>
              <w:top w:val="nil"/>
              <w:bottom w:val="nil"/>
            </w:tcBorders>
          </w:tcPr>
          <w:p w14:paraId="38C998BC">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3.0 (2.0–4.0)</w:t>
            </w:r>
          </w:p>
        </w:tc>
        <w:tc>
          <w:tcPr>
            <w:tcW w:w="2041" w:type="dxa"/>
            <w:tcBorders>
              <w:top w:val="nil"/>
              <w:bottom w:val="nil"/>
            </w:tcBorders>
          </w:tcPr>
          <w:p w14:paraId="28F543AF">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 xml:space="preserve">H = 30.86, </w:t>
            </w:r>
            <w:r>
              <w:rPr>
                <w:rFonts w:ascii="Times New Roman" w:hAnsi="Times New Roman" w:cs="Times New Roman"/>
                <w:i/>
                <w:iCs/>
                <w:sz w:val="19"/>
                <w:szCs w:val="19"/>
              </w:rPr>
              <w:t>p</w:t>
            </w:r>
            <w:r>
              <w:rPr>
                <w:rFonts w:ascii="Times New Roman" w:hAnsi="Times New Roman" w:cs="Times New Roman"/>
                <w:sz w:val="19"/>
                <w:szCs w:val="19"/>
              </w:rPr>
              <w:t xml:space="preserve"> &lt; 0.001</w:t>
            </w:r>
          </w:p>
        </w:tc>
      </w:tr>
      <w:tr w14:paraId="0AFDE8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78B9C94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PHQ-9, median (IQR)</w:t>
            </w:r>
          </w:p>
        </w:tc>
        <w:tc>
          <w:tcPr>
            <w:tcW w:w="1701" w:type="dxa"/>
            <w:tcBorders>
              <w:top w:val="nil"/>
              <w:bottom w:val="nil"/>
            </w:tcBorders>
          </w:tcPr>
          <w:p w14:paraId="0A6AF94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6.5 (5.0–9.0)</w:t>
            </w:r>
          </w:p>
        </w:tc>
        <w:tc>
          <w:tcPr>
            <w:tcW w:w="1701" w:type="dxa"/>
            <w:tcBorders>
              <w:top w:val="nil"/>
              <w:bottom w:val="nil"/>
            </w:tcBorders>
          </w:tcPr>
          <w:p w14:paraId="44EA5FBA">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4.0 (3.0–5.0)</w:t>
            </w:r>
          </w:p>
        </w:tc>
        <w:tc>
          <w:tcPr>
            <w:tcW w:w="2041" w:type="dxa"/>
            <w:tcBorders>
              <w:top w:val="nil"/>
              <w:bottom w:val="nil"/>
            </w:tcBorders>
          </w:tcPr>
          <w:p w14:paraId="6E674639">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 xml:space="preserve">H = 31.34, </w:t>
            </w:r>
            <w:r>
              <w:rPr>
                <w:rFonts w:ascii="Times New Roman" w:hAnsi="Times New Roman" w:cs="Times New Roman"/>
                <w:i/>
                <w:iCs/>
                <w:sz w:val="19"/>
                <w:szCs w:val="19"/>
              </w:rPr>
              <w:t>p</w:t>
            </w:r>
            <w:r>
              <w:rPr>
                <w:rFonts w:ascii="Times New Roman" w:hAnsi="Times New Roman" w:cs="Times New Roman"/>
                <w:sz w:val="19"/>
                <w:szCs w:val="19"/>
              </w:rPr>
              <w:t xml:space="preserve"> &lt; 0.001</w:t>
            </w:r>
          </w:p>
        </w:tc>
      </w:tr>
      <w:tr w14:paraId="65C96A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single" w:color="auto" w:sz="8" w:space="0"/>
            </w:tcBorders>
          </w:tcPr>
          <w:p w14:paraId="49DBB011">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PSQI, median (IQR)</w:t>
            </w:r>
          </w:p>
        </w:tc>
        <w:tc>
          <w:tcPr>
            <w:tcW w:w="1701" w:type="dxa"/>
            <w:tcBorders>
              <w:top w:val="nil"/>
              <w:bottom w:val="single" w:color="auto" w:sz="8" w:space="0"/>
            </w:tcBorders>
          </w:tcPr>
          <w:p w14:paraId="0BFE5C16">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8.0 (5.0–10.0)</w:t>
            </w:r>
          </w:p>
        </w:tc>
        <w:tc>
          <w:tcPr>
            <w:tcW w:w="1701" w:type="dxa"/>
            <w:tcBorders>
              <w:top w:val="nil"/>
              <w:bottom w:val="single" w:color="auto" w:sz="8" w:space="0"/>
            </w:tcBorders>
          </w:tcPr>
          <w:p w14:paraId="381F7EA6">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6.0 (5.0–7.0)</w:t>
            </w:r>
          </w:p>
        </w:tc>
        <w:tc>
          <w:tcPr>
            <w:tcW w:w="2041" w:type="dxa"/>
            <w:tcBorders>
              <w:top w:val="nil"/>
              <w:bottom w:val="single" w:color="auto" w:sz="8" w:space="0"/>
            </w:tcBorders>
          </w:tcPr>
          <w:p w14:paraId="2B4A8B29">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 xml:space="preserve">H = 8.78, </w:t>
            </w:r>
            <w:r>
              <w:rPr>
                <w:rFonts w:ascii="Times New Roman" w:hAnsi="Times New Roman" w:cs="Times New Roman"/>
                <w:i/>
                <w:iCs/>
                <w:sz w:val="19"/>
                <w:szCs w:val="19"/>
              </w:rPr>
              <w:t>p</w:t>
            </w:r>
            <w:r>
              <w:rPr>
                <w:rFonts w:ascii="Times New Roman" w:hAnsi="Times New Roman" w:cs="Times New Roman"/>
                <w:sz w:val="19"/>
                <w:szCs w:val="19"/>
              </w:rPr>
              <w:t xml:space="preserve"> = 0.003</w:t>
            </w:r>
          </w:p>
        </w:tc>
      </w:tr>
    </w:tbl>
    <w:p w14:paraId="6208989F">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b/>
        </w:rPr>
      </w:pPr>
    </w:p>
    <w:p w14:paraId="7A9B346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22"/>
          <w:szCs w:val="21"/>
        </w:rPr>
      </w:pPr>
      <w:r>
        <w:rPr>
          <w:rFonts w:ascii="Times New Roman" w:hAnsi="Times New Roman" w:eastAsia="Times New Roman" w:cs="Times New Roman"/>
          <w:sz w:val="22"/>
          <w:szCs w:val="21"/>
        </w:rPr>
        <w:t>Continuous and ordinal variables are presented as medians with interquartile ranges, and categorical variables as counts and percentages. Between-group comparisons used the Kruskal–Wallis test for continuous and ordinal variables and Pearson’s χ² test for sex; Fisher’s exact test was used when expected cell counts were insufficient. H denotes the Kruskal–Wallis test statistic, and χ² denotes the Pearson χ² test statistic. The &lt;4-MMD group comprised patients with &lt;4 MMDs during the third month after baseline, whereas the ≥4-MMD group comprised patients with ≥4 MMDs during the third month after baseline. Education level was coded as follows: 1 = primary school or below, 2 = junior high school, 3 = senior high school, 4 = bachelor’s degree, 5 = master’s degree, and 6 = doctoral degree. Migraine disease duration denotes the number of years since migraine onset, and attack duration denotes the reported average duration of a typical migraine attack.</w:t>
      </w:r>
    </w:p>
    <w:p w14:paraId="2F373C0D">
      <w:pPr>
        <w:keepNext w:val="0"/>
        <w:keepLines/>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22"/>
          <w:szCs w:val="21"/>
        </w:rPr>
      </w:pPr>
      <w:r>
        <w:rPr>
          <w:rFonts w:ascii="Times New Roman" w:hAnsi="Times New Roman" w:cs="Times New Roman"/>
          <w:sz w:val="22"/>
          <w:szCs w:val="21"/>
        </w:rPr>
        <w:t>GAD-7, 7-item Generalized Anxiety Disorder scale; IQR, interquartile range; MMDs, monthly migraine days; MO, migraine without aura; PHQ-9, 9-item Patient Health Questionnaire; PSQI, Pittsburgh Sleep Quality Index; VAS, visual analogue scale.</w:t>
      </w:r>
    </w:p>
    <w:p w14:paraId="49F9A19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22"/>
          <w:szCs w:val="21"/>
        </w:rPr>
      </w:pPr>
    </w:p>
    <w:p w14:paraId="1F67A784">
      <w:pPr>
        <w:keepNext/>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eastAsiaTheme="minorEastAsia"/>
          <w:b/>
          <w:sz w:val="22"/>
          <w:szCs w:val="21"/>
          <w:lang w:val="en-US" w:eastAsia="zh-CN"/>
        </w:rPr>
      </w:pPr>
      <w:r>
        <w:rPr>
          <w:rFonts w:ascii="Times New Roman" w:hAnsi="Times New Roman" w:cs="Times New Roman"/>
          <w:b/>
          <w:sz w:val="22"/>
          <w:szCs w:val="21"/>
        </w:rPr>
        <w:t>Supplementary Table S</w:t>
      </w:r>
      <w:r>
        <w:rPr>
          <w:rFonts w:hint="eastAsia" w:ascii="Times New Roman" w:hAnsi="Times New Roman" w:cs="Times New Roman"/>
          <w:b/>
          <w:sz w:val="22"/>
          <w:szCs w:val="21"/>
          <w:lang w:val="en-US" w:eastAsia="zh-CN"/>
        </w:rPr>
        <w:t xml:space="preserve">3. </w:t>
      </w:r>
      <w:r>
        <w:rPr>
          <w:rFonts w:ascii="Times New Roman" w:hAnsi="Times New Roman" w:cs="Times New Roman"/>
          <w:b/>
          <w:sz w:val="22"/>
          <w:szCs w:val="21"/>
        </w:rPr>
        <w:t>Associations between baseline EEG measures and short-term frequency increase</w:t>
      </w:r>
      <w:r>
        <w:rPr>
          <w:rFonts w:hint="eastAsia" w:ascii="Times New Roman" w:hAnsi="Times New Roman" w:cs="Times New Roman"/>
          <w:b/>
          <w:sz w:val="22"/>
          <w:szCs w:val="21"/>
          <w:lang w:val="en-US" w:eastAsia="zh-CN"/>
        </w:rPr>
        <w:t>.</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6"/>
        <w:gridCol w:w="1348"/>
        <w:gridCol w:w="2528"/>
        <w:gridCol w:w="1033"/>
        <w:gridCol w:w="1067"/>
        <w:gridCol w:w="702"/>
      </w:tblGrid>
      <w:tr w14:paraId="615EB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Header/>
        </w:trPr>
        <w:tc>
          <w:tcPr>
            <w:tcW w:w="3516" w:type="dxa"/>
          </w:tcPr>
          <w:p w14:paraId="73BFB43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bCs/>
                <w:sz w:val="19"/>
                <w:szCs w:val="19"/>
              </w:rPr>
            </w:pPr>
            <w:r>
              <w:rPr>
                <w:rFonts w:ascii="Times New Roman" w:hAnsi="Times New Roman" w:cs="Times New Roman"/>
                <w:b/>
                <w:bCs/>
                <w:sz w:val="19"/>
                <w:szCs w:val="19"/>
              </w:rPr>
              <w:t>EEG measure</w:t>
            </w:r>
          </w:p>
        </w:tc>
        <w:tc>
          <w:tcPr>
            <w:tcW w:w="1348" w:type="dxa"/>
          </w:tcPr>
          <w:p w14:paraId="1E54A45B">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b/>
                <w:bCs/>
                <w:sz w:val="19"/>
                <w:szCs w:val="19"/>
              </w:rPr>
            </w:pPr>
            <w:r>
              <w:rPr>
                <w:rFonts w:ascii="Times New Roman" w:hAnsi="Times New Roman" w:cs="Times New Roman"/>
                <w:b/>
                <w:bCs/>
                <w:sz w:val="19"/>
                <w:szCs w:val="19"/>
              </w:rPr>
              <w:t>β</w:t>
            </w:r>
          </w:p>
        </w:tc>
        <w:tc>
          <w:tcPr>
            <w:tcW w:w="2528" w:type="dxa"/>
          </w:tcPr>
          <w:p w14:paraId="403131D6">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b/>
                <w:bCs/>
                <w:sz w:val="19"/>
                <w:szCs w:val="19"/>
              </w:rPr>
            </w:pPr>
            <w:r>
              <w:rPr>
                <w:rFonts w:ascii="Times New Roman" w:hAnsi="Times New Roman" w:cs="Times New Roman"/>
                <w:b/>
                <w:bCs/>
                <w:sz w:val="19"/>
                <w:szCs w:val="19"/>
              </w:rPr>
              <w:t>95% CI</w:t>
            </w:r>
          </w:p>
        </w:tc>
        <w:tc>
          <w:tcPr>
            <w:tcW w:w="1033" w:type="dxa"/>
          </w:tcPr>
          <w:p w14:paraId="6FB5E84C">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b/>
                <w:bCs/>
                <w:sz w:val="19"/>
                <w:szCs w:val="19"/>
              </w:rPr>
            </w:pPr>
            <w:r>
              <w:rPr>
                <w:rFonts w:ascii="Times New Roman" w:hAnsi="Times New Roman" w:cs="Times New Roman"/>
                <w:b/>
                <w:bCs/>
                <w:i/>
                <w:iCs/>
                <w:sz w:val="19"/>
                <w:szCs w:val="19"/>
              </w:rPr>
              <w:t xml:space="preserve">p </w:t>
            </w:r>
            <w:r>
              <w:rPr>
                <w:rFonts w:ascii="Times New Roman" w:hAnsi="Times New Roman" w:cs="Times New Roman"/>
                <w:b/>
                <w:bCs/>
                <w:sz w:val="19"/>
                <w:szCs w:val="19"/>
              </w:rPr>
              <w:t>value</w:t>
            </w:r>
          </w:p>
        </w:tc>
        <w:tc>
          <w:tcPr>
            <w:tcW w:w="1067" w:type="dxa"/>
          </w:tcPr>
          <w:p w14:paraId="3A8E3F3F">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b/>
                <w:bCs/>
                <w:sz w:val="19"/>
                <w:szCs w:val="19"/>
              </w:rPr>
            </w:pPr>
            <w:r>
              <w:rPr>
                <w:rFonts w:ascii="Times New Roman" w:hAnsi="Times New Roman" w:cs="Times New Roman"/>
                <w:b/>
                <w:bCs/>
                <w:i/>
                <w:iCs/>
                <w:sz w:val="19"/>
                <w:szCs w:val="19"/>
              </w:rPr>
              <w:t xml:space="preserve">q </w:t>
            </w:r>
            <w:r>
              <w:rPr>
                <w:rFonts w:ascii="Times New Roman" w:hAnsi="Times New Roman" w:cs="Times New Roman"/>
                <w:b/>
                <w:bCs/>
                <w:sz w:val="19"/>
                <w:szCs w:val="19"/>
              </w:rPr>
              <w:t>value</w:t>
            </w:r>
          </w:p>
        </w:tc>
        <w:tc>
          <w:tcPr>
            <w:tcW w:w="702" w:type="dxa"/>
          </w:tcPr>
          <w:p w14:paraId="665C4B62">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b/>
                <w:bCs/>
                <w:sz w:val="19"/>
                <w:szCs w:val="19"/>
              </w:rPr>
            </w:pPr>
            <w:r>
              <w:rPr>
                <w:rFonts w:ascii="Times New Roman" w:hAnsi="Times New Roman" w:cs="Times New Roman"/>
                <w:b/>
                <w:bCs/>
                <w:sz w:val="19"/>
                <w:szCs w:val="19"/>
              </w:rPr>
              <w:t>n</w:t>
            </w:r>
          </w:p>
        </w:tc>
      </w:tr>
      <w:tr w14:paraId="434A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16" w:type="dxa"/>
            <w:shd w:val="clear" w:color="auto" w:fill="auto"/>
            <w:vAlign w:val="bottom"/>
          </w:tcPr>
          <w:p w14:paraId="5F34B72F">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sz w:val="19"/>
                <w:szCs w:val="19"/>
                <w:lang w:val="en-US" w:eastAsia="zh-CN"/>
              </w:rPr>
            </w:pPr>
            <w:r>
              <w:rPr>
                <w:rFonts w:hint="eastAsia" w:ascii="Times New Roman" w:hAnsi="Times New Roman" w:eastAsia="Times New Roman" w:cs="Times New Roman"/>
                <w:sz w:val="19"/>
                <w:szCs w:val="19"/>
                <w:lang w:val="en-US" w:eastAsia="zh-CN"/>
              </w:rPr>
              <w:t>Periodic VIS alpha power</w:t>
            </w:r>
          </w:p>
        </w:tc>
        <w:tc>
          <w:tcPr>
            <w:tcW w:w="1348" w:type="dxa"/>
            <w:vAlign w:val="bottom"/>
          </w:tcPr>
          <w:p w14:paraId="4255B447">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−0.100</w:t>
            </w:r>
          </w:p>
        </w:tc>
        <w:tc>
          <w:tcPr>
            <w:tcW w:w="2528" w:type="dxa"/>
            <w:vAlign w:val="bottom"/>
          </w:tcPr>
          <w:p w14:paraId="56C38D92">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−0.212 to 0.012</w:t>
            </w:r>
          </w:p>
        </w:tc>
        <w:tc>
          <w:tcPr>
            <w:tcW w:w="1033" w:type="dxa"/>
            <w:vAlign w:val="bottom"/>
          </w:tcPr>
          <w:p w14:paraId="0246DA53">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default" w:ascii="Times New Roman" w:hAnsi="Times New Roman" w:cs="Times New Roman"/>
                <w:sz w:val="19"/>
                <w:szCs w:val="19"/>
                <w:lang w:val="en-US"/>
              </w:rPr>
            </w:pPr>
            <w:r>
              <w:rPr>
                <w:rFonts w:hint="eastAsia" w:ascii="Times New Roman" w:hAnsi="Times New Roman" w:cs="Times New Roman"/>
                <w:sz w:val="19"/>
                <w:szCs w:val="19"/>
                <w:lang w:val="en-US" w:eastAsia="zh-CN"/>
              </w:rPr>
              <w:t>0.080</w:t>
            </w:r>
          </w:p>
        </w:tc>
        <w:tc>
          <w:tcPr>
            <w:tcW w:w="1067" w:type="dxa"/>
            <w:vAlign w:val="bottom"/>
          </w:tcPr>
          <w:p w14:paraId="373EC189">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0.096</w:t>
            </w:r>
          </w:p>
        </w:tc>
        <w:tc>
          <w:tcPr>
            <w:tcW w:w="702" w:type="dxa"/>
            <w:vAlign w:val="bottom"/>
          </w:tcPr>
          <w:p w14:paraId="0AE31E82">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120</w:t>
            </w:r>
          </w:p>
        </w:tc>
      </w:tr>
      <w:tr w14:paraId="233CE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16" w:type="dxa"/>
            <w:shd w:val="clear" w:color="auto" w:fill="auto"/>
            <w:vAlign w:val="bottom"/>
          </w:tcPr>
          <w:p w14:paraId="1DFBB107">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sz w:val="19"/>
                <w:szCs w:val="19"/>
                <w:lang w:val="en-US" w:eastAsia="zh-CN"/>
              </w:rPr>
            </w:pPr>
            <w:r>
              <w:rPr>
                <w:rFonts w:hint="eastAsia" w:ascii="Times New Roman" w:hAnsi="Times New Roman" w:eastAsia="Times New Roman" w:cs="Times New Roman"/>
                <w:sz w:val="19"/>
                <w:szCs w:val="19"/>
                <w:lang w:val="en-US" w:eastAsia="zh-CN"/>
              </w:rPr>
              <w:t>Periodic LIM alpha power</w:t>
            </w:r>
          </w:p>
        </w:tc>
        <w:tc>
          <w:tcPr>
            <w:tcW w:w="1348" w:type="dxa"/>
            <w:vAlign w:val="bottom"/>
          </w:tcPr>
          <w:p w14:paraId="2E64119A">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−0.049</w:t>
            </w:r>
          </w:p>
        </w:tc>
        <w:tc>
          <w:tcPr>
            <w:tcW w:w="2528" w:type="dxa"/>
            <w:vAlign w:val="bottom"/>
          </w:tcPr>
          <w:p w14:paraId="6B1B5922">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−0.124 to 0.025</w:t>
            </w:r>
          </w:p>
        </w:tc>
        <w:tc>
          <w:tcPr>
            <w:tcW w:w="1033" w:type="dxa"/>
            <w:vAlign w:val="bottom"/>
          </w:tcPr>
          <w:p w14:paraId="4B4A15B9">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0.193</w:t>
            </w:r>
          </w:p>
        </w:tc>
        <w:tc>
          <w:tcPr>
            <w:tcW w:w="1067" w:type="dxa"/>
            <w:vAlign w:val="bottom"/>
          </w:tcPr>
          <w:p w14:paraId="573CF964">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0.193</w:t>
            </w:r>
          </w:p>
        </w:tc>
        <w:tc>
          <w:tcPr>
            <w:tcW w:w="702" w:type="dxa"/>
            <w:vAlign w:val="bottom"/>
          </w:tcPr>
          <w:p w14:paraId="77C5C07F">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103</w:t>
            </w:r>
          </w:p>
        </w:tc>
      </w:tr>
      <w:tr w14:paraId="1052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16" w:type="dxa"/>
            <w:vAlign w:val="bottom"/>
          </w:tcPr>
          <w:p w14:paraId="5741905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Global aperiodic offset</w:t>
            </w:r>
          </w:p>
        </w:tc>
        <w:tc>
          <w:tcPr>
            <w:tcW w:w="1348" w:type="dxa"/>
            <w:vAlign w:val="bottom"/>
          </w:tcPr>
          <w:p w14:paraId="111DD28A">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−0.417</w:t>
            </w:r>
          </w:p>
        </w:tc>
        <w:tc>
          <w:tcPr>
            <w:tcW w:w="2528" w:type="dxa"/>
            <w:vAlign w:val="bottom"/>
          </w:tcPr>
          <w:p w14:paraId="17B51C7C">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−0.662 to −0.171</w:t>
            </w:r>
          </w:p>
        </w:tc>
        <w:tc>
          <w:tcPr>
            <w:tcW w:w="1033" w:type="dxa"/>
            <w:vAlign w:val="bottom"/>
          </w:tcPr>
          <w:p w14:paraId="09C1C507">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0.001</w:t>
            </w:r>
          </w:p>
        </w:tc>
        <w:tc>
          <w:tcPr>
            <w:tcW w:w="1067" w:type="dxa"/>
            <w:vAlign w:val="bottom"/>
          </w:tcPr>
          <w:p w14:paraId="1018059F">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0.002</w:t>
            </w:r>
          </w:p>
        </w:tc>
        <w:tc>
          <w:tcPr>
            <w:tcW w:w="702" w:type="dxa"/>
            <w:vAlign w:val="bottom"/>
          </w:tcPr>
          <w:p w14:paraId="139B316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126</w:t>
            </w:r>
          </w:p>
        </w:tc>
      </w:tr>
      <w:tr w14:paraId="093DB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16" w:type="dxa"/>
            <w:vAlign w:val="bottom"/>
          </w:tcPr>
          <w:p w14:paraId="14391B2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VIS–VIS alpha connectivity</w:t>
            </w:r>
          </w:p>
        </w:tc>
        <w:tc>
          <w:tcPr>
            <w:tcW w:w="1348" w:type="dxa"/>
            <w:vAlign w:val="bottom"/>
          </w:tcPr>
          <w:p w14:paraId="2EE47094">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−0.140</w:t>
            </w:r>
          </w:p>
        </w:tc>
        <w:tc>
          <w:tcPr>
            <w:tcW w:w="2528" w:type="dxa"/>
            <w:vAlign w:val="bottom"/>
          </w:tcPr>
          <w:p w14:paraId="61966B8E">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−0.178 to −0.102</w:t>
            </w:r>
          </w:p>
        </w:tc>
        <w:tc>
          <w:tcPr>
            <w:tcW w:w="1033" w:type="dxa"/>
            <w:vAlign w:val="bottom"/>
          </w:tcPr>
          <w:p w14:paraId="17EA741C">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default" w:ascii="Times New Roman" w:hAnsi="Times New Roman" w:cs="Times New Roman"/>
                <w:sz w:val="19"/>
                <w:szCs w:val="19"/>
                <w:lang w:val="en-US"/>
              </w:rPr>
            </w:pPr>
            <w:r>
              <w:rPr>
                <w:rFonts w:hint="eastAsia" w:ascii="Times New Roman" w:hAnsi="Times New Roman" w:cs="Times New Roman"/>
                <w:sz w:val="19"/>
                <w:szCs w:val="19"/>
                <w:lang w:val="en-US" w:eastAsia="zh-CN"/>
              </w:rPr>
              <w:t>&lt;0.001</w:t>
            </w:r>
          </w:p>
        </w:tc>
        <w:tc>
          <w:tcPr>
            <w:tcW w:w="1067" w:type="dxa"/>
            <w:vAlign w:val="bottom"/>
          </w:tcPr>
          <w:p w14:paraId="48B3E63B">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&lt;0.001</w:t>
            </w:r>
          </w:p>
        </w:tc>
        <w:tc>
          <w:tcPr>
            <w:tcW w:w="702" w:type="dxa"/>
            <w:vAlign w:val="bottom"/>
          </w:tcPr>
          <w:p w14:paraId="4CF8EF30">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126</w:t>
            </w:r>
          </w:p>
        </w:tc>
      </w:tr>
      <w:tr w14:paraId="76941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16" w:type="dxa"/>
            <w:vAlign w:val="bottom"/>
          </w:tcPr>
          <w:p w14:paraId="2785F3A6">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Mean participation coefficient</w:t>
            </w:r>
          </w:p>
        </w:tc>
        <w:tc>
          <w:tcPr>
            <w:tcW w:w="1348" w:type="dxa"/>
            <w:vAlign w:val="bottom"/>
          </w:tcPr>
          <w:p w14:paraId="198ACB1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0.054</w:t>
            </w:r>
          </w:p>
        </w:tc>
        <w:tc>
          <w:tcPr>
            <w:tcW w:w="2528" w:type="dxa"/>
            <w:vAlign w:val="bottom"/>
          </w:tcPr>
          <w:p w14:paraId="399733E4">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0.024 to 0.084</w:t>
            </w:r>
          </w:p>
        </w:tc>
        <w:tc>
          <w:tcPr>
            <w:tcW w:w="1033" w:type="dxa"/>
            <w:vAlign w:val="bottom"/>
          </w:tcPr>
          <w:p w14:paraId="54ABDD89">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default" w:ascii="Times New Roman" w:hAnsi="Times New Roman" w:cs="Times New Roman"/>
                <w:sz w:val="19"/>
                <w:szCs w:val="19"/>
                <w:lang w:val="en-US"/>
              </w:rPr>
            </w:pPr>
            <w:r>
              <w:rPr>
                <w:rFonts w:hint="eastAsia" w:ascii="Times New Roman" w:hAnsi="Times New Roman" w:cs="Times New Roman"/>
                <w:sz w:val="19"/>
                <w:szCs w:val="19"/>
                <w:lang w:val="en-US" w:eastAsia="zh-CN"/>
              </w:rPr>
              <w:t>&lt;0.001</w:t>
            </w:r>
          </w:p>
        </w:tc>
        <w:tc>
          <w:tcPr>
            <w:tcW w:w="1067" w:type="dxa"/>
            <w:vAlign w:val="bottom"/>
          </w:tcPr>
          <w:p w14:paraId="334C4230">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0.001</w:t>
            </w:r>
          </w:p>
        </w:tc>
        <w:tc>
          <w:tcPr>
            <w:tcW w:w="702" w:type="dxa"/>
            <w:vAlign w:val="bottom"/>
          </w:tcPr>
          <w:p w14:paraId="659A480B">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126</w:t>
            </w:r>
          </w:p>
        </w:tc>
      </w:tr>
      <w:tr w14:paraId="34F08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16" w:type="dxa"/>
            <w:vAlign w:val="bottom"/>
          </w:tcPr>
          <w:p w14:paraId="3BBA544F">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System segregation</w:t>
            </w:r>
          </w:p>
        </w:tc>
        <w:tc>
          <w:tcPr>
            <w:tcW w:w="1348" w:type="dxa"/>
            <w:vAlign w:val="bottom"/>
          </w:tcPr>
          <w:p w14:paraId="052E3962">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−0.024</w:t>
            </w:r>
          </w:p>
        </w:tc>
        <w:tc>
          <w:tcPr>
            <w:tcW w:w="2528" w:type="dxa"/>
            <w:vAlign w:val="bottom"/>
          </w:tcPr>
          <w:p w14:paraId="2F1F31CF">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−0.045 to −0.002</w:t>
            </w:r>
          </w:p>
        </w:tc>
        <w:tc>
          <w:tcPr>
            <w:tcW w:w="1033" w:type="dxa"/>
            <w:vAlign w:val="bottom"/>
          </w:tcPr>
          <w:p w14:paraId="052AA1A4">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0.030</w:t>
            </w:r>
          </w:p>
        </w:tc>
        <w:tc>
          <w:tcPr>
            <w:tcW w:w="1067" w:type="dxa"/>
            <w:vAlign w:val="bottom"/>
          </w:tcPr>
          <w:p w14:paraId="5687521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0.045</w:t>
            </w:r>
          </w:p>
        </w:tc>
        <w:tc>
          <w:tcPr>
            <w:tcW w:w="702" w:type="dxa"/>
            <w:vAlign w:val="bottom"/>
          </w:tcPr>
          <w:p w14:paraId="18BC528A">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126</w:t>
            </w:r>
          </w:p>
        </w:tc>
      </w:tr>
    </w:tbl>
    <w:p w14:paraId="500BD89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eastAsia="Times New Roman" w:cs="Times New Roman"/>
          <w:sz w:val="22"/>
          <w:szCs w:val="21"/>
          <w:lang w:val="en-US" w:eastAsia="zh-CN"/>
        </w:rPr>
      </w:pPr>
      <w:r>
        <w:rPr>
          <w:rFonts w:ascii="Times New Roman" w:hAnsi="Times New Roman" w:eastAsia="Times New Roman" w:cs="Times New Roman"/>
          <w:sz w:val="22"/>
          <w:szCs w:val="21"/>
          <w:lang w:val="en-US" w:eastAsia="zh-CN"/>
        </w:rPr>
        <w:t>Six candidate baseline EEG features were evaluated in relation to short-term frequency increase, defined by third-month MMDs of ≥4 versus &lt;4. Multivariable linear regression models were adjusted for migraine disease duration and PHQ-9 and used HC3 heteroscedasticity-consistent standard errors. β represents the adjusted difference between the ≥4-MMD and &lt;4-MMD groups, with the &lt;4-MMD group as the reference; negative β values indicate lower values and positive β values indicate higher values in the ≥4-MMD group. The 95% CIs were derived from HC3 robust standard errors. P values were corrected across the six prespecified EEG measures using the Benjamini–Hochberg false discovery rate procedure. Sample sizes represent complete-case data available for each model; smaller sample sizes for periodic alpha power reflect unavailable fitted alpha peaks. Periodic alpha power represents fitted peak height above the aperiodic component in log10 power units, and global aperiodic offset represents the intercept of the fixed aperiodic fit in log10 power space.</w:t>
      </w:r>
    </w:p>
    <w:p w14:paraId="17501BBE">
      <w:pPr>
        <w:keepNext w:val="0"/>
        <w:keepLines/>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eastAsia="Times New Roman" w:cs="Times New Roman"/>
          <w:sz w:val="22"/>
          <w:szCs w:val="21"/>
          <w:lang w:val="en-US" w:eastAsia="zh-CN"/>
        </w:rPr>
      </w:pPr>
      <w:r>
        <w:rPr>
          <w:rFonts w:ascii="Times New Roman" w:hAnsi="Times New Roman" w:eastAsia="Times New Roman" w:cs="Times New Roman"/>
          <w:sz w:val="22"/>
          <w:szCs w:val="21"/>
          <w:lang w:val="en-US" w:eastAsia="zh-CN"/>
        </w:rPr>
        <w:t>CI, confidence interval; FDR, false discovery rate; LIM, limbic network; MMDs, monthly migraine days; PHQ-9, 9-item Patient Health Questionnaire; VIS, visual network.</w:t>
      </w:r>
    </w:p>
    <w:p w14:paraId="59122F4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22"/>
          <w:szCs w:val="21"/>
        </w:rPr>
      </w:pPr>
    </w:p>
    <w:p w14:paraId="67AF2CF3">
      <w:pPr>
        <w:keepNext/>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eastAsiaTheme="minorEastAsia"/>
          <w:b/>
          <w:sz w:val="22"/>
          <w:szCs w:val="21"/>
          <w:lang w:val="en-US" w:eastAsia="zh-CN"/>
        </w:rPr>
      </w:pPr>
      <w:r>
        <w:rPr>
          <w:rFonts w:ascii="Times New Roman" w:hAnsi="Times New Roman" w:cs="Times New Roman"/>
          <w:b/>
          <w:sz w:val="22"/>
          <w:szCs w:val="21"/>
        </w:rPr>
        <w:t>Supplementary Table S4. Baseline characteristics by third-month outcome in the development cohort: sensitivity analysis.</w:t>
      </w:r>
    </w:p>
    <w:tbl>
      <w:tblPr>
        <w:tblStyle w:val="15"/>
        <w:tblW w:w="8959"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16"/>
        <w:gridCol w:w="1701"/>
        <w:gridCol w:w="1701"/>
        <w:gridCol w:w="2041"/>
      </w:tblGrid>
      <w:tr w14:paraId="644A087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3516" w:type="dxa"/>
            <w:tcBorders>
              <w:top w:val="single" w:color="auto" w:sz="8" w:space="0"/>
              <w:bottom w:val="single" w:color="auto" w:sz="8" w:space="0"/>
            </w:tcBorders>
          </w:tcPr>
          <w:p w14:paraId="651AC4DF">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bCs/>
                <w:sz w:val="19"/>
                <w:szCs w:val="19"/>
              </w:rPr>
            </w:pPr>
            <w:r>
              <w:rPr>
                <w:rFonts w:ascii="Times New Roman" w:hAnsi="Times New Roman" w:cs="Times New Roman"/>
                <w:b/>
                <w:bCs/>
                <w:sz w:val="19"/>
                <w:szCs w:val="19"/>
              </w:rPr>
              <w:t>Characteristic</w:t>
            </w:r>
          </w:p>
        </w:tc>
        <w:tc>
          <w:tcPr>
            <w:tcW w:w="1701" w:type="dxa"/>
            <w:tcBorders>
              <w:top w:val="single" w:color="auto" w:sz="8" w:space="0"/>
              <w:bottom w:val="single" w:color="auto" w:sz="8" w:space="0"/>
            </w:tcBorders>
          </w:tcPr>
          <w:p w14:paraId="320FD99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bCs/>
                <w:sz w:val="19"/>
                <w:szCs w:val="19"/>
              </w:rPr>
            </w:pPr>
            <w:r>
              <w:rPr>
                <w:rFonts w:ascii="Times New Roman" w:hAnsi="Times New Roman" w:cs="Times New Roman"/>
                <w:b/>
                <w:bCs/>
                <w:sz w:val="19"/>
                <w:szCs w:val="19"/>
              </w:rPr>
              <w:t xml:space="preserve">≥4-MMD group </w:t>
            </w:r>
          </w:p>
          <w:p w14:paraId="3CFDDC7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eastAsiaTheme="minorEastAsia"/>
                <w:b/>
                <w:bCs/>
                <w:sz w:val="19"/>
                <w:szCs w:val="19"/>
                <w:lang w:val="en-US" w:eastAsia="zh-CN"/>
              </w:rPr>
            </w:pPr>
            <w:r>
              <w:rPr>
                <w:rFonts w:ascii="Times New Roman" w:hAnsi="Times New Roman" w:cs="Times New Roman"/>
                <w:b/>
                <w:bCs/>
                <w:sz w:val="19"/>
                <w:szCs w:val="19"/>
              </w:rPr>
              <w:t xml:space="preserve">n = </w:t>
            </w:r>
            <w:r>
              <w:rPr>
                <w:rFonts w:hint="eastAsia" w:ascii="Times New Roman" w:hAnsi="Times New Roman" w:cs="Times New Roman"/>
                <w:b/>
                <w:bCs/>
                <w:sz w:val="19"/>
                <w:szCs w:val="19"/>
                <w:lang w:val="en-US" w:eastAsia="zh-CN"/>
              </w:rPr>
              <w:t>46</w:t>
            </w:r>
          </w:p>
        </w:tc>
        <w:tc>
          <w:tcPr>
            <w:tcW w:w="1701" w:type="dxa"/>
            <w:tcBorders>
              <w:top w:val="single" w:color="auto" w:sz="8" w:space="0"/>
              <w:bottom w:val="single" w:color="auto" w:sz="8" w:space="0"/>
            </w:tcBorders>
          </w:tcPr>
          <w:p w14:paraId="5CBB2930">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bCs/>
                <w:sz w:val="19"/>
                <w:szCs w:val="19"/>
              </w:rPr>
            </w:pPr>
            <w:r>
              <w:rPr>
                <w:rFonts w:ascii="Times New Roman" w:hAnsi="Times New Roman" w:cs="Times New Roman"/>
                <w:b/>
                <w:bCs/>
                <w:sz w:val="19"/>
                <w:szCs w:val="19"/>
              </w:rPr>
              <w:t xml:space="preserve">&lt;4-MMD group </w:t>
            </w:r>
          </w:p>
          <w:p w14:paraId="1F9111A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b/>
                <w:bCs/>
                <w:sz w:val="19"/>
                <w:szCs w:val="19"/>
              </w:rPr>
            </w:pPr>
            <w:r>
              <w:rPr>
                <w:rFonts w:ascii="Times New Roman" w:hAnsi="Times New Roman" w:cs="Times New Roman"/>
                <w:b/>
                <w:bCs/>
                <w:sz w:val="19"/>
                <w:szCs w:val="19"/>
              </w:rPr>
              <w:t>n = 74</w:t>
            </w:r>
          </w:p>
        </w:tc>
        <w:tc>
          <w:tcPr>
            <w:tcW w:w="2041" w:type="dxa"/>
            <w:tcBorders>
              <w:top w:val="single" w:color="auto" w:sz="8" w:space="0"/>
              <w:bottom w:val="single" w:color="auto" w:sz="8" w:space="0"/>
            </w:tcBorders>
          </w:tcPr>
          <w:p w14:paraId="690FAD2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bCs/>
                <w:sz w:val="19"/>
                <w:szCs w:val="19"/>
              </w:rPr>
            </w:pPr>
            <w:r>
              <w:rPr>
                <w:rFonts w:ascii="Times New Roman" w:hAnsi="Times New Roman" w:cs="Times New Roman"/>
                <w:b/>
                <w:bCs/>
                <w:sz w:val="19"/>
                <w:szCs w:val="19"/>
              </w:rPr>
              <w:t>Group comparison</w:t>
            </w:r>
          </w:p>
        </w:tc>
      </w:tr>
      <w:tr w14:paraId="38B053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single" w:color="auto" w:sz="8" w:space="0"/>
              <w:bottom w:val="nil"/>
            </w:tcBorders>
          </w:tcPr>
          <w:p w14:paraId="53290FC7">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Age, median (IQR), years</w:t>
            </w:r>
          </w:p>
        </w:tc>
        <w:tc>
          <w:tcPr>
            <w:tcW w:w="1701" w:type="dxa"/>
            <w:tcBorders>
              <w:top w:val="single" w:color="auto" w:sz="8" w:space="0"/>
              <w:bottom w:val="nil"/>
            </w:tcBorders>
          </w:tcPr>
          <w:p w14:paraId="1D7F843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34.0 (29.</w:t>
            </w:r>
            <w:r>
              <w:rPr>
                <w:rFonts w:hint="eastAsia" w:ascii="Times New Roman" w:hAnsi="Times New Roman" w:cs="Times New Roman"/>
                <w:sz w:val="19"/>
                <w:szCs w:val="19"/>
                <w:lang w:val="en-US" w:eastAsia="zh-CN"/>
              </w:rPr>
              <w:t>2</w:t>
            </w:r>
            <w:r>
              <w:rPr>
                <w:rFonts w:ascii="Times New Roman" w:hAnsi="Times New Roman" w:cs="Times New Roman"/>
                <w:sz w:val="19"/>
                <w:szCs w:val="19"/>
              </w:rPr>
              <w:t>–38.0)</w:t>
            </w:r>
          </w:p>
        </w:tc>
        <w:tc>
          <w:tcPr>
            <w:tcW w:w="1701" w:type="dxa"/>
            <w:tcBorders>
              <w:top w:val="single" w:color="auto" w:sz="8" w:space="0"/>
              <w:bottom w:val="nil"/>
            </w:tcBorders>
          </w:tcPr>
          <w:p w14:paraId="219FD38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33.0 (28.</w:t>
            </w:r>
            <w:r>
              <w:rPr>
                <w:rFonts w:hint="eastAsia" w:ascii="Times New Roman" w:hAnsi="Times New Roman" w:cs="Times New Roman"/>
                <w:sz w:val="19"/>
                <w:szCs w:val="19"/>
                <w:lang w:val="en-US" w:eastAsia="zh-CN"/>
              </w:rPr>
              <w:t>0</w:t>
            </w:r>
            <w:r>
              <w:rPr>
                <w:rFonts w:ascii="Times New Roman" w:hAnsi="Times New Roman" w:cs="Times New Roman"/>
                <w:sz w:val="19"/>
                <w:szCs w:val="19"/>
              </w:rPr>
              <w:t>–3</w:t>
            </w:r>
            <w:r>
              <w:rPr>
                <w:rFonts w:hint="eastAsia" w:ascii="Times New Roman" w:hAnsi="Times New Roman" w:cs="Times New Roman"/>
                <w:sz w:val="19"/>
                <w:szCs w:val="19"/>
                <w:lang w:val="en-US" w:eastAsia="zh-CN"/>
              </w:rPr>
              <w:t>7.0</w:t>
            </w:r>
            <w:r>
              <w:rPr>
                <w:rFonts w:ascii="Times New Roman" w:hAnsi="Times New Roman" w:cs="Times New Roman"/>
                <w:sz w:val="19"/>
                <w:szCs w:val="19"/>
              </w:rPr>
              <w:t>)</w:t>
            </w:r>
          </w:p>
        </w:tc>
        <w:tc>
          <w:tcPr>
            <w:tcW w:w="2041" w:type="dxa"/>
            <w:tcBorders>
              <w:top w:val="single" w:color="auto" w:sz="8" w:space="0"/>
              <w:bottom w:val="nil"/>
            </w:tcBorders>
          </w:tcPr>
          <w:p w14:paraId="0079342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eastAsiaTheme="minorEastAsia"/>
                <w:sz w:val="19"/>
                <w:szCs w:val="19"/>
                <w:lang w:val="en-US" w:eastAsia="zh-CN"/>
              </w:rPr>
            </w:pPr>
            <w:r>
              <w:rPr>
                <w:rFonts w:ascii="Times New Roman" w:hAnsi="Times New Roman" w:cs="Times New Roman"/>
                <w:sz w:val="19"/>
                <w:szCs w:val="19"/>
              </w:rPr>
              <w:t>H = 1.</w:t>
            </w:r>
            <w:r>
              <w:rPr>
                <w:rFonts w:hint="eastAsia" w:ascii="Times New Roman" w:hAnsi="Times New Roman" w:cs="Times New Roman"/>
                <w:sz w:val="19"/>
                <w:szCs w:val="19"/>
                <w:lang w:val="en-US" w:eastAsia="zh-CN"/>
              </w:rPr>
              <w:t>31</w:t>
            </w:r>
            <w:r>
              <w:rPr>
                <w:rFonts w:ascii="Times New Roman" w:hAnsi="Times New Roman" w:cs="Times New Roman"/>
                <w:sz w:val="19"/>
                <w:szCs w:val="19"/>
              </w:rPr>
              <w:t xml:space="preserve">, </w:t>
            </w:r>
            <w:r>
              <w:rPr>
                <w:rFonts w:ascii="Times New Roman" w:hAnsi="Times New Roman" w:cs="Times New Roman"/>
                <w:i/>
                <w:iCs/>
                <w:sz w:val="19"/>
                <w:szCs w:val="19"/>
              </w:rPr>
              <w:t>p</w:t>
            </w:r>
            <w:r>
              <w:rPr>
                <w:rFonts w:ascii="Times New Roman" w:hAnsi="Times New Roman" w:cs="Times New Roman"/>
                <w:sz w:val="19"/>
                <w:szCs w:val="19"/>
              </w:rPr>
              <w:t xml:space="preserve"> = 0.2</w:t>
            </w:r>
            <w:r>
              <w:rPr>
                <w:rFonts w:hint="eastAsia" w:ascii="Times New Roman" w:hAnsi="Times New Roman" w:cs="Times New Roman"/>
                <w:sz w:val="19"/>
                <w:szCs w:val="19"/>
                <w:lang w:val="en-US" w:eastAsia="zh-CN"/>
              </w:rPr>
              <w:t>53</w:t>
            </w:r>
          </w:p>
        </w:tc>
      </w:tr>
      <w:tr w14:paraId="105613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416CCFF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Sex, male/female</w:t>
            </w:r>
          </w:p>
        </w:tc>
        <w:tc>
          <w:tcPr>
            <w:tcW w:w="1701" w:type="dxa"/>
            <w:tcBorders>
              <w:top w:val="nil"/>
              <w:bottom w:val="nil"/>
            </w:tcBorders>
          </w:tcPr>
          <w:p w14:paraId="7C1C4E4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eastAsiaTheme="minorEastAsia"/>
                <w:sz w:val="19"/>
                <w:szCs w:val="19"/>
                <w:lang w:val="en-US" w:eastAsia="zh-CN"/>
              </w:rPr>
            </w:pPr>
            <w:r>
              <w:rPr>
                <w:rFonts w:hint="eastAsia" w:ascii="Times New Roman" w:hAnsi="Times New Roman" w:cs="Times New Roman"/>
                <w:sz w:val="19"/>
                <w:szCs w:val="19"/>
                <w:lang w:val="en-US" w:eastAsia="zh-CN"/>
              </w:rPr>
              <w:t>4</w:t>
            </w:r>
            <w:r>
              <w:rPr>
                <w:rFonts w:ascii="Times New Roman" w:hAnsi="Times New Roman" w:cs="Times New Roman"/>
                <w:sz w:val="19"/>
                <w:szCs w:val="19"/>
              </w:rPr>
              <w:t>/4</w:t>
            </w:r>
            <w:r>
              <w:rPr>
                <w:rFonts w:hint="eastAsia" w:ascii="Times New Roman" w:hAnsi="Times New Roman" w:cs="Times New Roman"/>
                <w:sz w:val="19"/>
                <w:szCs w:val="19"/>
                <w:lang w:val="en-US" w:eastAsia="zh-CN"/>
              </w:rPr>
              <w:t>2</w:t>
            </w:r>
          </w:p>
        </w:tc>
        <w:tc>
          <w:tcPr>
            <w:tcW w:w="1701" w:type="dxa"/>
            <w:tcBorders>
              <w:top w:val="nil"/>
              <w:bottom w:val="nil"/>
            </w:tcBorders>
          </w:tcPr>
          <w:p w14:paraId="69368A11">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13/61</w:t>
            </w:r>
          </w:p>
        </w:tc>
        <w:tc>
          <w:tcPr>
            <w:tcW w:w="2041" w:type="dxa"/>
            <w:tcBorders>
              <w:top w:val="nil"/>
              <w:bottom w:val="nil"/>
            </w:tcBorders>
          </w:tcPr>
          <w:p w14:paraId="65B8FD8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eastAsiaTheme="minorEastAsia"/>
                <w:sz w:val="19"/>
                <w:szCs w:val="19"/>
                <w:lang w:val="en-US" w:eastAsia="zh-CN"/>
              </w:rPr>
            </w:pPr>
            <w:r>
              <w:rPr>
                <w:rFonts w:ascii="Times New Roman" w:hAnsi="Times New Roman" w:eastAsia="Times New Roman" w:cs="Times New Roman"/>
                <w:sz w:val="19"/>
                <w:szCs w:val="19"/>
              </w:rPr>
              <w:t xml:space="preserve">χ² = 1.84, </w:t>
            </w:r>
            <w:r>
              <w:rPr>
                <w:rFonts w:ascii="Times New Roman" w:hAnsi="Times New Roman" w:eastAsia="Times New Roman" w:cs="Times New Roman"/>
                <w:i/>
                <w:iCs/>
                <w:sz w:val="19"/>
                <w:szCs w:val="19"/>
              </w:rPr>
              <w:t xml:space="preserve">p </w:t>
            </w:r>
            <w:r>
              <w:rPr>
                <w:rFonts w:ascii="Times New Roman" w:hAnsi="Times New Roman" w:eastAsia="Times New Roman" w:cs="Times New Roman"/>
                <w:sz w:val="19"/>
                <w:szCs w:val="19"/>
              </w:rPr>
              <w:t>= 0.175</w:t>
            </w:r>
          </w:p>
        </w:tc>
      </w:tr>
      <w:tr w14:paraId="3B722B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1EFB3EE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Male, n (%)</w:t>
            </w:r>
          </w:p>
        </w:tc>
        <w:tc>
          <w:tcPr>
            <w:tcW w:w="1701" w:type="dxa"/>
            <w:tcBorders>
              <w:top w:val="nil"/>
              <w:bottom w:val="nil"/>
            </w:tcBorders>
          </w:tcPr>
          <w:p w14:paraId="5627B836">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 xml:space="preserve">4 </w:t>
            </w:r>
            <w:r>
              <w:rPr>
                <w:rFonts w:ascii="Times New Roman" w:hAnsi="Times New Roman" w:cs="Times New Roman"/>
                <w:sz w:val="19"/>
                <w:szCs w:val="19"/>
              </w:rPr>
              <w:t>(</w:t>
            </w:r>
            <w:r>
              <w:rPr>
                <w:rFonts w:hint="eastAsia" w:ascii="Times New Roman" w:hAnsi="Times New Roman" w:cs="Times New Roman"/>
                <w:sz w:val="19"/>
                <w:szCs w:val="19"/>
                <w:lang w:val="en-US" w:eastAsia="zh-CN"/>
              </w:rPr>
              <w:t>8.7</w:t>
            </w:r>
            <w:r>
              <w:rPr>
                <w:rFonts w:ascii="Times New Roman" w:hAnsi="Times New Roman" w:cs="Times New Roman"/>
                <w:sz w:val="19"/>
                <w:szCs w:val="19"/>
              </w:rPr>
              <w:t>)</w:t>
            </w:r>
          </w:p>
        </w:tc>
        <w:tc>
          <w:tcPr>
            <w:tcW w:w="1701" w:type="dxa"/>
            <w:tcBorders>
              <w:top w:val="nil"/>
              <w:bottom w:val="nil"/>
            </w:tcBorders>
          </w:tcPr>
          <w:p w14:paraId="2598B401">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13 (17.6)</w:t>
            </w:r>
          </w:p>
        </w:tc>
        <w:tc>
          <w:tcPr>
            <w:tcW w:w="2041" w:type="dxa"/>
            <w:tcBorders>
              <w:top w:val="nil"/>
              <w:bottom w:val="nil"/>
            </w:tcBorders>
          </w:tcPr>
          <w:p w14:paraId="7DCD4A6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p>
        </w:tc>
      </w:tr>
      <w:tr w14:paraId="7CF4A8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466A173C">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Female, n (%)</w:t>
            </w:r>
          </w:p>
        </w:tc>
        <w:tc>
          <w:tcPr>
            <w:tcW w:w="1701" w:type="dxa"/>
            <w:tcBorders>
              <w:top w:val="nil"/>
              <w:bottom w:val="nil"/>
            </w:tcBorders>
          </w:tcPr>
          <w:p w14:paraId="13B944D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4</w:t>
            </w:r>
            <w:r>
              <w:rPr>
                <w:rFonts w:hint="eastAsia" w:ascii="Times New Roman" w:hAnsi="Times New Roman" w:cs="Times New Roman"/>
                <w:sz w:val="19"/>
                <w:szCs w:val="19"/>
                <w:lang w:val="en-US" w:eastAsia="zh-CN"/>
              </w:rPr>
              <w:t>2</w:t>
            </w:r>
            <w:r>
              <w:rPr>
                <w:rFonts w:ascii="Times New Roman" w:hAnsi="Times New Roman" w:cs="Times New Roman"/>
                <w:sz w:val="19"/>
                <w:szCs w:val="19"/>
              </w:rPr>
              <w:t xml:space="preserve"> (9</w:t>
            </w:r>
            <w:r>
              <w:rPr>
                <w:rFonts w:hint="eastAsia" w:ascii="Times New Roman" w:hAnsi="Times New Roman" w:cs="Times New Roman"/>
                <w:sz w:val="19"/>
                <w:szCs w:val="19"/>
                <w:lang w:val="en-US" w:eastAsia="zh-CN"/>
              </w:rPr>
              <w:t>1.3</w:t>
            </w:r>
            <w:r>
              <w:rPr>
                <w:rFonts w:ascii="Times New Roman" w:hAnsi="Times New Roman" w:cs="Times New Roman"/>
                <w:sz w:val="19"/>
                <w:szCs w:val="19"/>
              </w:rPr>
              <w:t>)</w:t>
            </w:r>
          </w:p>
        </w:tc>
        <w:tc>
          <w:tcPr>
            <w:tcW w:w="1701" w:type="dxa"/>
            <w:tcBorders>
              <w:top w:val="nil"/>
              <w:bottom w:val="nil"/>
            </w:tcBorders>
          </w:tcPr>
          <w:p w14:paraId="416147E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61 (82.4)</w:t>
            </w:r>
          </w:p>
        </w:tc>
        <w:tc>
          <w:tcPr>
            <w:tcW w:w="2041" w:type="dxa"/>
            <w:tcBorders>
              <w:top w:val="nil"/>
              <w:bottom w:val="nil"/>
            </w:tcBorders>
          </w:tcPr>
          <w:p w14:paraId="575A4A7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p>
        </w:tc>
      </w:tr>
      <w:tr w14:paraId="00A51C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37DFB02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Education level, median (IQR)</w:t>
            </w:r>
          </w:p>
        </w:tc>
        <w:tc>
          <w:tcPr>
            <w:tcW w:w="1701" w:type="dxa"/>
            <w:tcBorders>
              <w:top w:val="nil"/>
              <w:bottom w:val="nil"/>
            </w:tcBorders>
          </w:tcPr>
          <w:p w14:paraId="56010CD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4.0 (4.0–4.0)</w:t>
            </w:r>
          </w:p>
        </w:tc>
        <w:tc>
          <w:tcPr>
            <w:tcW w:w="1701" w:type="dxa"/>
            <w:tcBorders>
              <w:top w:val="nil"/>
              <w:bottom w:val="nil"/>
            </w:tcBorders>
          </w:tcPr>
          <w:p w14:paraId="4F399AE7">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4.0 (3.2–4.0)</w:t>
            </w:r>
          </w:p>
        </w:tc>
        <w:tc>
          <w:tcPr>
            <w:tcW w:w="2041" w:type="dxa"/>
            <w:tcBorders>
              <w:top w:val="nil"/>
              <w:bottom w:val="nil"/>
            </w:tcBorders>
          </w:tcPr>
          <w:p w14:paraId="10D3C18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eastAsiaTheme="minorEastAsia"/>
                <w:sz w:val="19"/>
                <w:szCs w:val="19"/>
                <w:lang w:val="en-US" w:eastAsia="zh-CN"/>
              </w:rPr>
            </w:pPr>
            <w:r>
              <w:rPr>
                <w:rFonts w:ascii="Times New Roman" w:hAnsi="Times New Roman" w:cs="Times New Roman"/>
                <w:sz w:val="19"/>
                <w:szCs w:val="19"/>
              </w:rPr>
              <w:t xml:space="preserve">H = 0.47, </w:t>
            </w:r>
            <w:r>
              <w:rPr>
                <w:rFonts w:ascii="Times New Roman" w:hAnsi="Times New Roman" w:cs="Times New Roman"/>
                <w:i/>
                <w:iCs/>
                <w:sz w:val="19"/>
                <w:szCs w:val="19"/>
              </w:rPr>
              <w:t xml:space="preserve">p </w:t>
            </w:r>
            <w:r>
              <w:rPr>
                <w:rFonts w:ascii="Times New Roman" w:hAnsi="Times New Roman" w:cs="Times New Roman"/>
                <w:sz w:val="19"/>
                <w:szCs w:val="19"/>
              </w:rPr>
              <w:t>= 0.49</w:t>
            </w:r>
            <w:r>
              <w:rPr>
                <w:rFonts w:hint="eastAsia" w:ascii="Times New Roman" w:hAnsi="Times New Roman" w:cs="Times New Roman"/>
                <w:sz w:val="19"/>
                <w:szCs w:val="19"/>
                <w:lang w:val="en-US" w:eastAsia="zh-CN"/>
              </w:rPr>
              <w:t>2</w:t>
            </w:r>
          </w:p>
        </w:tc>
      </w:tr>
      <w:tr w14:paraId="022C51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31B2DA2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Baseline MMDs, median (IQR)</w:t>
            </w:r>
          </w:p>
        </w:tc>
        <w:tc>
          <w:tcPr>
            <w:tcW w:w="1701" w:type="dxa"/>
            <w:tcBorders>
              <w:top w:val="nil"/>
              <w:bottom w:val="nil"/>
            </w:tcBorders>
          </w:tcPr>
          <w:p w14:paraId="08D4F48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2.0 (1.0–3.0)</w:t>
            </w:r>
          </w:p>
        </w:tc>
        <w:tc>
          <w:tcPr>
            <w:tcW w:w="1701" w:type="dxa"/>
            <w:tcBorders>
              <w:top w:val="nil"/>
              <w:bottom w:val="nil"/>
            </w:tcBorders>
          </w:tcPr>
          <w:p w14:paraId="4E3D9C19">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2.0 (2.0–3.0)</w:t>
            </w:r>
          </w:p>
        </w:tc>
        <w:tc>
          <w:tcPr>
            <w:tcW w:w="2041" w:type="dxa"/>
            <w:tcBorders>
              <w:top w:val="nil"/>
              <w:bottom w:val="nil"/>
            </w:tcBorders>
          </w:tcPr>
          <w:p w14:paraId="0ABDB95A">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eastAsiaTheme="minorEastAsia"/>
                <w:sz w:val="19"/>
                <w:szCs w:val="19"/>
                <w:lang w:val="en-US" w:eastAsia="zh-CN"/>
              </w:rPr>
            </w:pPr>
            <w:r>
              <w:rPr>
                <w:rFonts w:ascii="Times New Roman" w:hAnsi="Times New Roman" w:cs="Times New Roman"/>
                <w:sz w:val="19"/>
                <w:szCs w:val="19"/>
              </w:rPr>
              <w:t xml:space="preserve">H = </w:t>
            </w:r>
            <w:r>
              <w:rPr>
                <w:rFonts w:hint="eastAsia" w:ascii="Times New Roman" w:hAnsi="Times New Roman" w:cs="Times New Roman"/>
                <w:sz w:val="19"/>
                <w:szCs w:val="19"/>
                <w:lang w:val="en-US" w:eastAsia="zh-CN"/>
              </w:rPr>
              <w:t>4.48</w:t>
            </w:r>
            <w:r>
              <w:rPr>
                <w:rFonts w:ascii="Times New Roman" w:hAnsi="Times New Roman" w:cs="Times New Roman"/>
                <w:sz w:val="19"/>
                <w:szCs w:val="19"/>
              </w:rPr>
              <w:t xml:space="preserve">, </w:t>
            </w:r>
            <w:r>
              <w:rPr>
                <w:rFonts w:ascii="Times New Roman" w:hAnsi="Times New Roman" w:cs="Times New Roman"/>
                <w:i/>
                <w:iCs/>
                <w:sz w:val="19"/>
                <w:szCs w:val="19"/>
              </w:rPr>
              <w:t>p</w:t>
            </w:r>
            <w:r>
              <w:rPr>
                <w:rFonts w:ascii="Times New Roman" w:hAnsi="Times New Roman" w:cs="Times New Roman"/>
                <w:sz w:val="19"/>
                <w:szCs w:val="19"/>
              </w:rPr>
              <w:t xml:space="preserve"> = 0</w:t>
            </w:r>
            <w:r>
              <w:rPr>
                <w:rFonts w:hint="eastAsia" w:ascii="Times New Roman" w:hAnsi="Times New Roman" w:cs="Times New Roman"/>
                <w:sz w:val="19"/>
                <w:szCs w:val="19"/>
                <w:lang w:val="en-US" w:eastAsia="zh-CN"/>
              </w:rPr>
              <w:t>.034</w:t>
            </w:r>
          </w:p>
        </w:tc>
      </w:tr>
      <w:tr w14:paraId="6610571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17407C1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Migraine disease duration, median (IQR), years</w:t>
            </w:r>
          </w:p>
        </w:tc>
        <w:tc>
          <w:tcPr>
            <w:tcW w:w="1701" w:type="dxa"/>
            <w:tcBorders>
              <w:top w:val="nil"/>
              <w:bottom w:val="nil"/>
            </w:tcBorders>
          </w:tcPr>
          <w:p w14:paraId="7BF9B86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10.0 (5.0–15.0)</w:t>
            </w:r>
          </w:p>
        </w:tc>
        <w:tc>
          <w:tcPr>
            <w:tcW w:w="1701" w:type="dxa"/>
            <w:tcBorders>
              <w:top w:val="nil"/>
              <w:bottom w:val="nil"/>
            </w:tcBorders>
          </w:tcPr>
          <w:p w14:paraId="6051B93F">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6.5 (4.0–10.0)</w:t>
            </w:r>
          </w:p>
        </w:tc>
        <w:tc>
          <w:tcPr>
            <w:tcW w:w="2041" w:type="dxa"/>
            <w:tcBorders>
              <w:top w:val="nil"/>
              <w:bottom w:val="nil"/>
            </w:tcBorders>
          </w:tcPr>
          <w:p w14:paraId="7E27824F">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eastAsiaTheme="minorEastAsia"/>
                <w:sz w:val="19"/>
                <w:szCs w:val="19"/>
                <w:lang w:val="en-US" w:eastAsia="zh-CN"/>
              </w:rPr>
            </w:pPr>
            <w:r>
              <w:rPr>
                <w:rFonts w:ascii="Times New Roman" w:hAnsi="Times New Roman" w:cs="Times New Roman"/>
                <w:sz w:val="19"/>
                <w:szCs w:val="19"/>
              </w:rPr>
              <w:t xml:space="preserve">H = </w:t>
            </w:r>
            <w:r>
              <w:rPr>
                <w:rFonts w:hint="eastAsia" w:ascii="Times New Roman" w:hAnsi="Times New Roman" w:cs="Times New Roman"/>
                <w:sz w:val="19"/>
                <w:szCs w:val="19"/>
                <w:lang w:val="en-US" w:eastAsia="zh-CN"/>
              </w:rPr>
              <w:t>7.11</w:t>
            </w:r>
            <w:r>
              <w:rPr>
                <w:rFonts w:ascii="Times New Roman" w:hAnsi="Times New Roman" w:cs="Times New Roman"/>
                <w:sz w:val="19"/>
                <w:szCs w:val="19"/>
              </w:rPr>
              <w:t xml:space="preserve">, </w:t>
            </w:r>
            <w:r>
              <w:rPr>
                <w:rFonts w:ascii="Times New Roman" w:hAnsi="Times New Roman" w:cs="Times New Roman"/>
                <w:i/>
                <w:iCs/>
                <w:sz w:val="19"/>
                <w:szCs w:val="19"/>
              </w:rPr>
              <w:t>p</w:t>
            </w:r>
            <w:r>
              <w:rPr>
                <w:rFonts w:ascii="Times New Roman" w:hAnsi="Times New Roman" w:cs="Times New Roman"/>
                <w:sz w:val="19"/>
                <w:szCs w:val="19"/>
              </w:rPr>
              <w:t xml:space="preserve"> = 0.00</w:t>
            </w:r>
            <w:r>
              <w:rPr>
                <w:rFonts w:hint="eastAsia" w:ascii="Times New Roman" w:hAnsi="Times New Roman" w:cs="Times New Roman"/>
                <w:sz w:val="19"/>
                <w:szCs w:val="19"/>
                <w:lang w:val="en-US" w:eastAsia="zh-CN"/>
              </w:rPr>
              <w:t>8</w:t>
            </w:r>
          </w:p>
        </w:tc>
      </w:tr>
      <w:tr w14:paraId="7E067A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51347BF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Typical attack duration, median (IQR), h</w:t>
            </w:r>
          </w:p>
        </w:tc>
        <w:tc>
          <w:tcPr>
            <w:tcW w:w="1701" w:type="dxa"/>
            <w:tcBorders>
              <w:top w:val="nil"/>
              <w:bottom w:val="nil"/>
            </w:tcBorders>
          </w:tcPr>
          <w:p w14:paraId="744E621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24.0 (</w:t>
            </w:r>
            <w:r>
              <w:rPr>
                <w:rFonts w:hint="eastAsia" w:ascii="Times New Roman" w:hAnsi="Times New Roman" w:cs="Times New Roman"/>
                <w:sz w:val="19"/>
                <w:szCs w:val="19"/>
                <w:lang w:val="en-US" w:eastAsia="zh-CN"/>
              </w:rPr>
              <w:t>8.0</w:t>
            </w:r>
            <w:r>
              <w:rPr>
                <w:rFonts w:ascii="Times New Roman" w:hAnsi="Times New Roman" w:cs="Times New Roman"/>
                <w:sz w:val="19"/>
                <w:szCs w:val="19"/>
              </w:rPr>
              <w:t>–24.0)</w:t>
            </w:r>
          </w:p>
        </w:tc>
        <w:tc>
          <w:tcPr>
            <w:tcW w:w="1701" w:type="dxa"/>
            <w:tcBorders>
              <w:top w:val="nil"/>
              <w:bottom w:val="nil"/>
            </w:tcBorders>
          </w:tcPr>
          <w:p w14:paraId="2B71038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12.0 (5.0–24.0)</w:t>
            </w:r>
          </w:p>
        </w:tc>
        <w:tc>
          <w:tcPr>
            <w:tcW w:w="2041" w:type="dxa"/>
            <w:tcBorders>
              <w:top w:val="nil"/>
              <w:bottom w:val="nil"/>
            </w:tcBorders>
          </w:tcPr>
          <w:p w14:paraId="6FDD0F16">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eastAsiaTheme="minorEastAsia"/>
                <w:sz w:val="19"/>
                <w:szCs w:val="19"/>
                <w:lang w:val="en-US" w:eastAsia="zh-CN"/>
              </w:rPr>
            </w:pPr>
            <w:r>
              <w:rPr>
                <w:rFonts w:ascii="Times New Roman" w:hAnsi="Times New Roman" w:cs="Times New Roman"/>
                <w:sz w:val="19"/>
                <w:szCs w:val="19"/>
              </w:rPr>
              <w:t xml:space="preserve">H = </w:t>
            </w:r>
            <w:r>
              <w:rPr>
                <w:rFonts w:hint="eastAsia" w:ascii="Times New Roman" w:hAnsi="Times New Roman" w:cs="Times New Roman"/>
                <w:sz w:val="19"/>
                <w:szCs w:val="19"/>
                <w:lang w:val="en-US" w:eastAsia="zh-CN"/>
              </w:rPr>
              <w:t>2.78</w:t>
            </w:r>
            <w:r>
              <w:rPr>
                <w:rFonts w:ascii="Times New Roman" w:hAnsi="Times New Roman" w:cs="Times New Roman"/>
                <w:sz w:val="19"/>
                <w:szCs w:val="19"/>
              </w:rPr>
              <w:t xml:space="preserve">, </w:t>
            </w:r>
            <w:r>
              <w:rPr>
                <w:rFonts w:ascii="Times New Roman" w:hAnsi="Times New Roman" w:cs="Times New Roman"/>
                <w:i/>
                <w:iCs/>
                <w:sz w:val="19"/>
                <w:szCs w:val="19"/>
              </w:rPr>
              <w:t>p</w:t>
            </w:r>
            <w:r>
              <w:rPr>
                <w:rFonts w:ascii="Times New Roman" w:hAnsi="Times New Roman" w:cs="Times New Roman"/>
                <w:sz w:val="19"/>
                <w:szCs w:val="19"/>
              </w:rPr>
              <w:t xml:space="preserve"> = 0.</w:t>
            </w:r>
            <w:r>
              <w:rPr>
                <w:rFonts w:hint="eastAsia" w:ascii="Times New Roman" w:hAnsi="Times New Roman" w:cs="Times New Roman"/>
                <w:sz w:val="19"/>
                <w:szCs w:val="19"/>
                <w:lang w:val="en-US" w:eastAsia="zh-CN"/>
              </w:rPr>
              <w:t>096</w:t>
            </w:r>
          </w:p>
        </w:tc>
      </w:tr>
      <w:tr w14:paraId="2F1F0C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6E399BB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Headache intensity (VAS), median (IQR)</w:t>
            </w:r>
          </w:p>
        </w:tc>
        <w:tc>
          <w:tcPr>
            <w:tcW w:w="1701" w:type="dxa"/>
            <w:tcBorders>
              <w:top w:val="nil"/>
              <w:bottom w:val="nil"/>
            </w:tcBorders>
          </w:tcPr>
          <w:p w14:paraId="2764323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7.0 (5.0–8.0)</w:t>
            </w:r>
          </w:p>
        </w:tc>
        <w:tc>
          <w:tcPr>
            <w:tcW w:w="1701" w:type="dxa"/>
            <w:tcBorders>
              <w:top w:val="nil"/>
              <w:bottom w:val="nil"/>
            </w:tcBorders>
          </w:tcPr>
          <w:p w14:paraId="7C69E0AF">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7.0 (5.0–8.0)</w:t>
            </w:r>
          </w:p>
        </w:tc>
        <w:tc>
          <w:tcPr>
            <w:tcW w:w="2041" w:type="dxa"/>
            <w:tcBorders>
              <w:top w:val="nil"/>
              <w:bottom w:val="nil"/>
            </w:tcBorders>
          </w:tcPr>
          <w:p w14:paraId="3D5B559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eastAsiaTheme="minorEastAsia"/>
                <w:sz w:val="19"/>
                <w:szCs w:val="19"/>
                <w:lang w:val="en-US" w:eastAsia="zh-CN"/>
              </w:rPr>
            </w:pPr>
            <w:r>
              <w:rPr>
                <w:rFonts w:ascii="Times New Roman" w:hAnsi="Times New Roman" w:cs="Times New Roman"/>
                <w:sz w:val="19"/>
                <w:szCs w:val="19"/>
              </w:rPr>
              <w:t>H = 0.</w:t>
            </w:r>
            <w:r>
              <w:rPr>
                <w:rFonts w:hint="eastAsia" w:ascii="Times New Roman" w:hAnsi="Times New Roman" w:cs="Times New Roman"/>
                <w:sz w:val="19"/>
                <w:szCs w:val="19"/>
                <w:lang w:val="en-US" w:eastAsia="zh-CN"/>
              </w:rPr>
              <w:t>06</w:t>
            </w:r>
            <w:r>
              <w:rPr>
                <w:rFonts w:ascii="Times New Roman" w:hAnsi="Times New Roman" w:cs="Times New Roman"/>
                <w:sz w:val="19"/>
                <w:szCs w:val="19"/>
              </w:rPr>
              <w:t xml:space="preserve">, </w:t>
            </w:r>
            <w:r>
              <w:rPr>
                <w:rFonts w:ascii="Times New Roman" w:hAnsi="Times New Roman" w:cs="Times New Roman"/>
                <w:i/>
                <w:iCs/>
                <w:sz w:val="19"/>
                <w:szCs w:val="19"/>
              </w:rPr>
              <w:t>p</w:t>
            </w:r>
            <w:r>
              <w:rPr>
                <w:rFonts w:ascii="Times New Roman" w:hAnsi="Times New Roman" w:cs="Times New Roman"/>
                <w:sz w:val="19"/>
                <w:szCs w:val="19"/>
              </w:rPr>
              <w:t xml:space="preserve"> = 0.</w:t>
            </w:r>
            <w:r>
              <w:rPr>
                <w:rFonts w:hint="eastAsia" w:ascii="Times New Roman" w:hAnsi="Times New Roman" w:cs="Times New Roman"/>
                <w:sz w:val="19"/>
                <w:szCs w:val="19"/>
                <w:lang w:val="en-US" w:eastAsia="zh-CN"/>
              </w:rPr>
              <w:t>812</w:t>
            </w:r>
          </w:p>
        </w:tc>
      </w:tr>
      <w:tr w14:paraId="345433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38B9D0BC">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GAD-7, median (IQR)</w:t>
            </w:r>
          </w:p>
        </w:tc>
        <w:tc>
          <w:tcPr>
            <w:tcW w:w="1701" w:type="dxa"/>
            <w:tcBorders>
              <w:top w:val="nil"/>
              <w:bottom w:val="nil"/>
            </w:tcBorders>
          </w:tcPr>
          <w:p w14:paraId="3BD99F4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4.0 (3.0–6.0)</w:t>
            </w:r>
          </w:p>
        </w:tc>
        <w:tc>
          <w:tcPr>
            <w:tcW w:w="1701" w:type="dxa"/>
            <w:tcBorders>
              <w:top w:val="nil"/>
              <w:bottom w:val="nil"/>
            </w:tcBorders>
          </w:tcPr>
          <w:p w14:paraId="048D105A">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4.0 (2.0–5.0)</w:t>
            </w:r>
          </w:p>
        </w:tc>
        <w:tc>
          <w:tcPr>
            <w:tcW w:w="2041" w:type="dxa"/>
            <w:tcBorders>
              <w:top w:val="nil"/>
              <w:bottom w:val="nil"/>
            </w:tcBorders>
          </w:tcPr>
          <w:p w14:paraId="0017F8E1">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eastAsiaTheme="minorEastAsia"/>
                <w:sz w:val="19"/>
                <w:szCs w:val="19"/>
                <w:lang w:val="en-US" w:eastAsia="zh-CN"/>
              </w:rPr>
            </w:pPr>
            <w:r>
              <w:rPr>
                <w:rFonts w:ascii="Times New Roman" w:hAnsi="Times New Roman" w:cs="Times New Roman"/>
                <w:sz w:val="19"/>
                <w:szCs w:val="19"/>
              </w:rPr>
              <w:t xml:space="preserve">H = </w:t>
            </w:r>
            <w:r>
              <w:rPr>
                <w:rFonts w:hint="eastAsia" w:ascii="Times New Roman" w:hAnsi="Times New Roman" w:cs="Times New Roman"/>
                <w:sz w:val="19"/>
                <w:szCs w:val="19"/>
                <w:lang w:val="en-US" w:eastAsia="zh-CN"/>
              </w:rPr>
              <w:t>1.06</w:t>
            </w:r>
            <w:r>
              <w:rPr>
                <w:rFonts w:ascii="Times New Roman" w:hAnsi="Times New Roman" w:cs="Times New Roman"/>
                <w:sz w:val="19"/>
                <w:szCs w:val="19"/>
              </w:rPr>
              <w:t>,</w:t>
            </w:r>
            <w:r>
              <w:rPr>
                <w:rFonts w:ascii="Times New Roman" w:hAnsi="Times New Roman" w:cs="Times New Roman"/>
                <w:i/>
                <w:iCs/>
                <w:sz w:val="19"/>
                <w:szCs w:val="19"/>
              </w:rPr>
              <w:t xml:space="preserve"> p</w:t>
            </w:r>
            <w:r>
              <w:rPr>
                <w:rFonts w:ascii="Times New Roman" w:hAnsi="Times New Roman" w:cs="Times New Roman"/>
                <w:sz w:val="19"/>
                <w:szCs w:val="19"/>
              </w:rPr>
              <w:t xml:space="preserve"> = 0.3</w:t>
            </w:r>
            <w:r>
              <w:rPr>
                <w:rFonts w:hint="eastAsia" w:ascii="Times New Roman" w:hAnsi="Times New Roman" w:cs="Times New Roman"/>
                <w:sz w:val="19"/>
                <w:szCs w:val="19"/>
                <w:lang w:val="en-US" w:eastAsia="zh-CN"/>
              </w:rPr>
              <w:t>03</w:t>
            </w:r>
          </w:p>
        </w:tc>
      </w:tr>
      <w:tr w14:paraId="37EFB3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1BDAD94F">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PHQ-9, median (IQR)</w:t>
            </w:r>
          </w:p>
        </w:tc>
        <w:tc>
          <w:tcPr>
            <w:tcW w:w="1701" w:type="dxa"/>
            <w:tcBorders>
              <w:top w:val="nil"/>
              <w:bottom w:val="nil"/>
            </w:tcBorders>
          </w:tcPr>
          <w:p w14:paraId="0A88F4EA">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6.0 (4.0–8.0)</w:t>
            </w:r>
          </w:p>
        </w:tc>
        <w:tc>
          <w:tcPr>
            <w:tcW w:w="1701" w:type="dxa"/>
            <w:tcBorders>
              <w:top w:val="nil"/>
              <w:bottom w:val="nil"/>
            </w:tcBorders>
          </w:tcPr>
          <w:p w14:paraId="1152322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5.0 (3.0–6.0)</w:t>
            </w:r>
          </w:p>
        </w:tc>
        <w:tc>
          <w:tcPr>
            <w:tcW w:w="2041" w:type="dxa"/>
            <w:tcBorders>
              <w:top w:val="nil"/>
              <w:bottom w:val="nil"/>
            </w:tcBorders>
          </w:tcPr>
          <w:p w14:paraId="716E11B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eastAsiaTheme="minorEastAsia"/>
                <w:sz w:val="19"/>
                <w:szCs w:val="19"/>
                <w:lang w:val="en-US" w:eastAsia="zh-CN"/>
              </w:rPr>
            </w:pPr>
            <w:r>
              <w:rPr>
                <w:rFonts w:ascii="Times New Roman" w:hAnsi="Times New Roman" w:cs="Times New Roman"/>
                <w:sz w:val="19"/>
                <w:szCs w:val="19"/>
              </w:rPr>
              <w:t xml:space="preserve">H = </w:t>
            </w:r>
            <w:r>
              <w:rPr>
                <w:rFonts w:hint="eastAsia" w:ascii="Times New Roman" w:hAnsi="Times New Roman" w:cs="Times New Roman"/>
                <w:sz w:val="19"/>
                <w:szCs w:val="19"/>
                <w:lang w:val="en-US" w:eastAsia="zh-CN"/>
              </w:rPr>
              <w:t>5.86</w:t>
            </w:r>
            <w:r>
              <w:rPr>
                <w:rFonts w:ascii="Times New Roman" w:hAnsi="Times New Roman" w:cs="Times New Roman"/>
                <w:sz w:val="19"/>
                <w:szCs w:val="19"/>
              </w:rPr>
              <w:t xml:space="preserve">, </w:t>
            </w:r>
            <w:r>
              <w:rPr>
                <w:rFonts w:ascii="Times New Roman" w:hAnsi="Times New Roman" w:cs="Times New Roman"/>
                <w:i/>
                <w:iCs/>
                <w:sz w:val="19"/>
                <w:szCs w:val="19"/>
              </w:rPr>
              <w:t>p</w:t>
            </w:r>
            <w:r>
              <w:rPr>
                <w:rFonts w:ascii="Times New Roman" w:hAnsi="Times New Roman" w:cs="Times New Roman"/>
                <w:sz w:val="19"/>
                <w:szCs w:val="19"/>
              </w:rPr>
              <w:t xml:space="preserve"> = 0.01</w:t>
            </w:r>
            <w:r>
              <w:rPr>
                <w:rFonts w:hint="eastAsia" w:ascii="Times New Roman" w:hAnsi="Times New Roman" w:cs="Times New Roman"/>
                <w:sz w:val="19"/>
                <w:szCs w:val="19"/>
                <w:lang w:val="en-US" w:eastAsia="zh-CN"/>
              </w:rPr>
              <w:t>5</w:t>
            </w:r>
          </w:p>
        </w:tc>
      </w:tr>
      <w:tr w14:paraId="090B3D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single" w:color="auto" w:sz="8" w:space="0"/>
            </w:tcBorders>
          </w:tcPr>
          <w:p w14:paraId="65294D3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PSQI, median (IQR)</w:t>
            </w:r>
          </w:p>
        </w:tc>
        <w:tc>
          <w:tcPr>
            <w:tcW w:w="1701" w:type="dxa"/>
            <w:tcBorders>
              <w:top w:val="nil"/>
              <w:bottom w:val="single" w:color="auto" w:sz="8" w:space="0"/>
            </w:tcBorders>
          </w:tcPr>
          <w:p w14:paraId="6FFF9B70">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7.0 (6.0–8.0)</w:t>
            </w:r>
          </w:p>
        </w:tc>
        <w:tc>
          <w:tcPr>
            <w:tcW w:w="1701" w:type="dxa"/>
            <w:tcBorders>
              <w:top w:val="nil"/>
              <w:bottom w:val="single" w:color="auto" w:sz="8" w:space="0"/>
            </w:tcBorders>
          </w:tcPr>
          <w:p w14:paraId="19209C0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6.0 (5.0–7.0)</w:t>
            </w:r>
          </w:p>
        </w:tc>
        <w:tc>
          <w:tcPr>
            <w:tcW w:w="2041" w:type="dxa"/>
            <w:tcBorders>
              <w:top w:val="nil"/>
              <w:bottom w:val="single" w:color="auto" w:sz="8" w:space="0"/>
            </w:tcBorders>
          </w:tcPr>
          <w:p w14:paraId="26B6AB1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eastAsiaTheme="minorEastAsia"/>
                <w:sz w:val="19"/>
                <w:szCs w:val="19"/>
                <w:lang w:val="en-US" w:eastAsia="zh-CN"/>
              </w:rPr>
            </w:pPr>
            <w:r>
              <w:rPr>
                <w:rFonts w:ascii="Times New Roman" w:hAnsi="Times New Roman" w:cs="Times New Roman"/>
                <w:sz w:val="19"/>
                <w:szCs w:val="19"/>
              </w:rPr>
              <w:t xml:space="preserve">H = </w:t>
            </w:r>
            <w:r>
              <w:rPr>
                <w:rFonts w:hint="eastAsia" w:ascii="Times New Roman" w:hAnsi="Times New Roman" w:cs="Times New Roman"/>
                <w:sz w:val="19"/>
                <w:szCs w:val="19"/>
                <w:lang w:val="en-US" w:eastAsia="zh-CN"/>
              </w:rPr>
              <w:t>1.71</w:t>
            </w:r>
            <w:r>
              <w:rPr>
                <w:rFonts w:ascii="Times New Roman" w:hAnsi="Times New Roman" w:cs="Times New Roman"/>
                <w:sz w:val="19"/>
                <w:szCs w:val="19"/>
              </w:rPr>
              <w:t xml:space="preserve">, </w:t>
            </w:r>
            <w:r>
              <w:rPr>
                <w:rFonts w:ascii="Times New Roman" w:hAnsi="Times New Roman" w:cs="Times New Roman"/>
                <w:i/>
                <w:iCs/>
                <w:sz w:val="19"/>
                <w:szCs w:val="19"/>
              </w:rPr>
              <w:t>p</w:t>
            </w:r>
            <w:r>
              <w:rPr>
                <w:rFonts w:ascii="Times New Roman" w:hAnsi="Times New Roman" w:cs="Times New Roman"/>
                <w:sz w:val="19"/>
                <w:szCs w:val="19"/>
              </w:rPr>
              <w:t xml:space="preserve"> = 0.</w:t>
            </w:r>
            <w:r>
              <w:rPr>
                <w:rFonts w:hint="eastAsia" w:ascii="Times New Roman" w:hAnsi="Times New Roman" w:cs="Times New Roman"/>
                <w:sz w:val="19"/>
                <w:szCs w:val="19"/>
                <w:lang w:val="en-US" w:eastAsia="zh-CN"/>
              </w:rPr>
              <w:t>191</w:t>
            </w:r>
          </w:p>
        </w:tc>
      </w:tr>
    </w:tbl>
    <w:p w14:paraId="0281A1D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22"/>
          <w:szCs w:val="21"/>
        </w:rPr>
      </w:pPr>
      <w:r>
        <w:rPr>
          <w:rFonts w:ascii="Times New Roman" w:hAnsi="Times New Roman" w:eastAsia="Times New Roman" w:cs="Times New Roman"/>
          <w:sz w:val="22"/>
          <w:szCs w:val="21"/>
        </w:rPr>
        <w:t>Continuous and ordinal variables are presented as medians with interquartile ranges, and categorical variables as counts and percentages. Between-group comparisons used the Kruskal–Wallis test for continuous and ordinal variables and Pearson’s χ² test for sex; Fisher’s exact test was used when expected cell counts were insufficient. H denotes the Kruskal–Wallis test statistic, and χ² denotes the Pearson χ² test statistic. The &lt;4-MMD group comprised patients with &lt;4 MMDs during the third month after baseline, whereas the ≥4-MMD group comprised patients with ≥4 MMDs during the third month after baseline. Education level was coded as follows: 1 = primary school or below, 2 = junior high school, 3 = senior high school, 4 = bachelor’s degree, 5 = master’s degree, and 6 = doctoral degree. Migraine disease duration denotes the number of years since migraine onset, and attack duration denotes the reported average duration of a typical migraine attack.</w:t>
      </w:r>
    </w:p>
    <w:p w14:paraId="45E02C1F">
      <w:pPr>
        <w:keepNext w:val="0"/>
        <w:keepLines/>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22"/>
          <w:szCs w:val="21"/>
        </w:rPr>
      </w:pPr>
      <w:r>
        <w:rPr>
          <w:rFonts w:ascii="Times New Roman" w:hAnsi="Times New Roman" w:cs="Times New Roman"/>
          <w:sz w:val="22"/>
          <w:szCs w:val="21"/>
        </w:rPr>
        <w:t>GAD-7, 7-item Generalized Anxiety Disorder scale; IQR, interquartile range; MMDs, monthly migraine days; MO, migraine without aura; PHQ-9, 9-item Patient Health Questionnaire; PSQI, Pittsburgh Sleep Quality Index; VAS, visual analogue scale.</w:t>
      </w:r>
    </w:p>
    <w:p w14:paraId="76214641">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sz w:val="22"/>
          <w:szCs w:val="21"/>
        </w:rPr>
      </w:pPr>
    </w:p>
    <w:p w14:paraId="2CF7819C">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sz w:val="22"/>
          <w:szCs w:val="21"/>
        </w:rPr>
      </w:pPr>
    </w:p>
    <w:p w14:paraId="6EBCCBB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sz w:val="22"/>
          <w:szCs w:val="21"/>
        </w:rPr>
      </w:pPr>
    </w:p>
    <w:p w14:paraId="4FD663C8">
      <w:pPr>
        <w:keepNext/>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sz w:val="22"/>
          <w:szCs w:val="21"/>
        </w:rPr>
      </w:pPr>
      <w:r>
        <w:rPr>
          <w:rFonts w:ascii="Times New Roman" w:hAnsi="Times New Roman" w:cs="Times New Roman"/>
          <w:b/>
          <w:sz w:val="22"/>
          <w:szCs w:val="21"/>
        </w:rPr>
        <w:t>Supplementary Table S5. Baseline characteristics by third-month outcome in the validation cohort: sensitivity analysis.</w:t>
      </w:r>
    </w:p>
    <w:tbl>
      <w:tblPr>
        <w:tblStyle w:val="15"/>
        <w:tblW w:w="8959"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16"/>
        <w:gridCol w:w="1701"/>
        <w:gridCol w:w="1701"/>
        <w:gridCol w:w="2041"/>
      </w:tblGrid>
      <w:tr w14:paraId="3AB168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3516" w:type="dxa"/>
            <w:tcBorders>
              <w:top w:val="single" w:color="auto" w:sz="8" w:space="0"/>
              <w:bottom w:val="single" w:color="auto" w:sz="8" w:space="0"/>
            </w:tcBorders>
          </w:tcPr>
          <w:p w14:paraId="643BF14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bCs/>
                <w:sz w:val="19"/>
                <w:szCs w:val="19"/>
              </w:rPr>
            </w:pPr>
            <w:r>
              <w:rPr>
                <w:rFonts w:ascii="Times New Roman" w:hAnsi="Times New Roman" w:cs="Times New Roman"/>
                <w:b/>
                <w:bCs/>
                <w:sz w:val="19"/>
                <w:szCs w:val="19"/>
              </w:rPr>
              <w:t>Characteristic</w:t>
            </w:r>
          </w:p>
        </w:tc>
        <w:tc>
          <w:tcPr>
            <w:tcW w:w="1701" w:type="dxa"/>
            <w:tcBorders>
              <w:top w:val="single" w:color="auto" w:sz="8" w:space="0"/>
              <w:bottom w:val="single" w:color="auto" w:sz="8" w:space="0"/>
            </w:tcBorders>
          </w:tcPr>
          <w:p w14:paraId="64FE5BA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bCs/>
                <w:sz w:val="19"/>
                <w:szCs w:val="19"/>
              </w:rPr>
            </w:pPr>
            <w:r>
              <w:rPr>
                <w:rFonts w:ascii="Times New Roman" w:hAnsi="Times New Roman" w:cs="Times New Roman"/>
                <w:b/>
                <w:bCs/>
                <w:sz w:val="19"/>
                <w:szCs w:val="19"/>
              </w:rPr>
              <w:t xml:space="preserve">≥4-MMD group </w:t>
            </w:r>
          </w:p>
          <w:p w14:paraId="5ACA08E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eastAsiaTheme="minorEastAsia"/>
                <w:b/>
                <w:bCs/>
                <w:sz w:val="19"/>
                <w:szCs w:val="19"/>
                <w:lang w:val="en-US" w:eastAsia="zh-CN"/>
              </w:rPr>
            </w:pPr>
            <w:r>
              <w:rPr>
                <w:rFonts w:ascii="Times New Roman" w:hAnsi="Times New Roman" w:cs="Times New Roman"/>
                <w:b/>
                <w:bCs/>
                <w:sz w:val="19"/>
                <w:szCs w:val="19"/>
              </w:rPr>
              <w:t xml:space="preserve">n = </w:t>
            </w:r>
            <w:r>
              <w:rPr>
                <w:rFonts w:hint="eastAsia" w:ascii="Times New Roman" w:hAnsi="Times New Roman" w:cs="Times New Roman"/>
                <w:b/>
                <w:bCs/>
                <w:sz w:val="19"/>
                <w:szCs w:val="19"/>
                <w:lang w:val="en-US" w:eastAsia="zh-CN"/>
              </w:rPr>
              <w:t>34</w:t>
            </w:r>
          </w:p>
        </w:tc>
        <w:tc>
          <w:tcPr>
            <w:tcW w:w="1701" w:type="dxa"/>
            <w:tcBorders>
              <w:top w:val="single" w:color="auto" w:sz="8" w:space="0"/>
              <w:bottom w:val="single" w:color="auto" w:sz="8" w:space="0"/>
            </w:tcBorders>
          </w:tcPr>
          <w:p w14:paraId="43178DDA">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bCs/>
                <w:sz w:val="19"/>
                <w:szCs w:val="19"/>
              </w:rPr>
            </w:pPr>
            <w:r>
              <w:rPr>
                <w:rFonts w:ascii="Times New Roman" w:hAnsi="Times New Roman" w:cs="Times New Roman"/>
                <w:b/>
                <w:bCs/>
                <w:sz w:val="19"/>
                <w:szCs w:val="19"/>
              </w:rPr>
              <w:t xml:space="preserve">&lt;4-MMD group </w:t>
            </w:r>
          </w:p>
          <w:p w14:paraId="2803CF0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eastAsiaTheme="minorEastAsia"/>
                <w:b/>
                <w:bCs/>
                <w:sz w:val="19"/>
                <w:szCs w:val="19"/>
                <w:lang w:val="en-US" w:eastAsia="zh-CN"/>
              </w:rPr>
            </w:pPr>
            <w:r>
              <w:rPr>
                <w:rFonts w:ascii="Times New Roman" w:hAnsi="Times New Roman" w:cs="Times New Roman"/>
                <w:b/>
                <w:bCs/>
                <w:sz w:val="19"/>
                <w:szCs w:val="19"/>
              </w:rPr>
              <w:t xml:space="preserve">n = </w:t>
            </w:r>
            <w:r>
              <w:rPr>
                <w:rFonts w:hint="eastAsia" w:ascii="Times New Roman" w:hAnsi="Times New Roman" w:cs="Times New Roman"/>
                <w:b/>
                <w:bCs/>
                <w:sz w:val="19"/>
                <w:szCs w:val="19"/>
                <w:lang w:val="en-US" w:eastAsia="zh-CN"/>
              </w:rPr>
              <w:t>52</w:t>
            </w:r>
          </w:p>
        </w:tc>
        <w:tc>
          <w:tcPr>
            <w:tcW w:w="2041" w:type="dxa"/>
            <w:tcBorders>
              <w:top w:val="single" w:color="auto" w:sz="8" w:space="0"/>
              <w:bottom w:val="single" w:color="auto" w:sz="8" w:space="0"/>
            </w:tcBorders>
          </w:tcPr>
          <w:p w14:paraId="4D09341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bCs/>
                <w:sz w:val="19"/>
                <w:szCs w:val="19"/>
              </w:rPr>
            </w:pPr>
            <w:r>
              <w:rPr>
                <w:rFonts w:ascii="Times New Roman" w:hAnsi="Times New Roman" w:cs="Times New Roman"/>
                <w:b/>
                <w:bCs/>
                <w:sz w:val="19"/>
                <w:szCs w:val="19"/>
              </w:rPr>
              <w:t>Group comparison</w:t>
            </w:r>
          </w:p>
        </w:tc>
      </w:tr>
      <w:tr w14:paraId="5C1D2A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single" w:color="auto" w:sz="8" w:space="0"/>
              <w:bottom w:val="nil"/>
            </w:tcBorders>
          </w:tcPr>
          <w:p w14:paraId="21D689D8">
            <w:pPr>
              <w:keepNext w:val="0"/>
              <w:keepLines w:val="0"/>
              <w:pageBreakBefore w:val="0"/>
              <w:widowControl w:val="0"/>
              <w:kinsoku/>
              <w:wordWrap/>
              <w:overflowPunct/>
              <w:topLinePunct w:val="0"/>
              <w:autoSpaceDE/>
              <w:autoSpaceDN/>
              <w:bidi w:val="0"/>
              <w:adjustRightInd w:val="0"/>
              <w:snapToGrid w:val="0"/>
              <w:spacing w:line="480" w:lineRule="auto"/>
              <w:ind w:left="63" w:leftChars="30"/>
              <w:jc w:val="both"/>
              <w:textAlignment w:val="auto"/>
              <w:rPr>
                <w:rFonts w:ascii="Times New Roman" w:hAnsi="Times New Roman" w:cs="Times New Roman"/>
                <w:sz w:val="19"/>
                <w:szCs w:val="19"/>
              </w:rPr>
            </w:pPr>
            <w:r>
              <w:rPr>
                <w:rFonts w:ascii="Times New Roman" w:hAnsi="Times New Roman" w:cs="Times New Roman"/>
                <w:sz w:val="19"/>
                <w:szCs w:val="19"/>
              </w:rPr>
              <w:t>Age, median (IQR), years</w:t>
            </w:r>
          </w:p>
        </w:tc>
        <w:tc>
          <w:tcPr>
            <w:tcW w:w="1701" w:type="dxa"/>
            <w:tcBorders>
              <w:top w:val="single" w:color="auto" w:sz="8" w:space="0"/>
              <w:bottom w:val="nil"/>
            </w:tcBorders>
          </w:tcPr>
          <w:p w14:paraId="0EF4D48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3</w:t>
            </w:r>
            <w:r>
              <w:rPr>
                <w:rFonts w:hint="eastAsia" w:ascii="Times New Roman" w:hAnsi="Times New Roman" w:cs="Times New Roman"/>
                <w:sz w:val="19"/>
                <w:szCs w:val="19"/>
                <w:lang w:val="en-US" w:eastAsia="zh-CN"/>
              </w:rPr>
              <w:t>3</w:t>
            </w:r>
            <w:r>
              <w:rPr>
                <w:rFonts w:ascii="Times New Roman" w:hAnsi="Times New Roman" w:cs="Times New Roman"/>
                <w:sz w:val="19"/>
                <w:szCs w:val="19"/>
              </w:rPr>
              <w:t>.</w:t>
            </w:r>
            <w:r>
              <w:rPr>
                <w:rFonts w:hint="eastAsia" w:ascii="Times New Roman" w:hAnsi="Times New Roman" w:cs="Times New Roman"/>
                <w:sz w:val="19"/>
                <w:szCs w:val="19"/>
                <w:lang w:val="en-US" w:eastAsia="zh-CN"/>
              </w:rPr>
              <w:t>0</w:t>
            </w:r>
            <w:r>
              <w:rPr>
                <w:rFonts w:ascii="Times New Roman" w:hAnsi="Times New Roman" w:cs="Times New Roman"/>
                <w:sz w:val="19"/>
                <w:szCs w:val="19"/>
              </w:rPr>
              <w:t xml:space="preserve"> (</w:t>
            </w:r>
            <w:r>
              <w:rPr>
                <w:rFonts w:hint="eastAsia" w:ascii="Times New Roman" w:hAnsi="Times New Roman" w:cs="Times New Roman"/>
                <w:sz w:val="19"/>
                <w:szCs w:val="19"/>
                <w:lang w:val="en-US" w:eastAsia="zh-CN"/>
              </w:rPr>
              <w:t>27.0</w:t>
            </w:r>
            <w:r>
              <w:rPr>
                <w:rFonts w:ascii="Times New Roman" w:hAnsi="Times New Roman" w:cs="Times New Roman"/>
                <w:sz w:val="19"/>
                <w:szCs w:val="19"/>
              </w:rPr>
              <w:t>–</w:t>
            </w:r>
            <w:r>
              <w:rPr>
                <w:rFonts w:hint="eastAsia" w:ascii="Times New Roman" w:hAnsi="Times New Roman" w:cs="Times New Roman"/>
                <w:sz w:val="19"/>
                <w:szCs w:val="19"/>
                <w:lang w:val="en-US" w:eastAsia="zh-CN"/>
              </w:rPr>
              <w:t>43</w:t>
            </w:r>
            <w:r>
              <w:rPr>
                <w:rFonts w:ascii="Times New Roman" w:hAnsi="Times New Roman" w:cs="Times New Roman"/>
                <w:sz w:val="19"/>
                <w:szCs w:val="19"/>
              </w:rPr>
              <w:t>.0)</w:t>
            </w:r>
          </w:p>
        </w:tc>
        <w:tc>
          <w:tcPr>
            <w:tcW w:w="1701" w:type="dxa"/>
            <w:tcBorders>
              <w:top w:val="single" w:color="auto" w:sz="8" w:space="0"/>
              <w:bottom w:val="nil"/>
            </w:tcBorders>
          </w:tcPr>
          <w:p w14:paraId="4B6A9D67">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35</w:t>
            </w:r>
            <w:r>
              <w:rPr>
                <w:rFonts w:ascii="Times New Roman" w:hAnsi="Times New Roman" w:cs="Times New Roman"/>
                <w:sz w:val="19"/>
                <w:szCs w:val="19"/>
              </w:rPr>
              <w:t>.</w:t>
            </w:r>
            <w:r>
              <w:rPr>
                <w:rFonts w:hint="eastAsia" w:ascii="Times New Roman" w:hAnsi="Times New Roman" w:cs="Times New Roman"/>
                <w:sz w:val="19"/>
                <w:szCs w:val="19"/>
                <w:lang w:val="en-US" w:eastAsia="zh-CN"/>
              </w:rPr>
              <w:t>5</w:t>
            </w:r>
            <w:r>
              <w:rPr>
                <w:rFonts w:ascii="Times New Roman" w:hAnsi="Times New Roman" w:cs="Times New Roman"/>
                <w:sz w:val="19"/>
                <w:szCs w:val="19"/>
              </w:rPr>
              <w:t xml:space="preserve"> (</w:t>
            </w:r>
            <w:r>
              <w:rPr>
                <w:rFonts w:hint="eastAsia" w:ascii="Times New Roman" w:hAnsi="Times New Roman" w:cs="Times New Roman"/>
                <w:sz w:val="19"/>
                <w:szCs w:val="19"/>
                <w:lang w:val="en-US" w:eastAsia="zh-CN"/>
              </w:rPr>
              <w:t>30.0</w:t>
            </w:r>
            <w:r>
              <w:rPr>
                <w:rFonts w:ascii="Times New Roman" w:hAnsi="Times New Roman" w:cs="Times New Roman"/>
                <w:sz w:val="19"/>
                <w:szCs w:val="19"/>
              </w:rPr>
              <w:t>–</w:t>
            </w:r>
            <w:r>
              <w:rPr>
                <w:rFonts w:hint="eastAsia" w:ascii="Times New Roman" w:hAnsi="Times New Roman" w:cs="Times New Roman"/>
                <w:sz w:val="19"/>
                <w:szCs w:val="19"/>
                <w:lang w:val="en-US" w:eastAsia="zh-CN"/>
              </w:rPr>
              <w:t>41.0</w:t>
            </w:r>
            <w:r>
              <w:rPr>
                <w:rFonts w:ascii="Times New Roman" w:hAnsi="Times New Roman" w:cs="Times New Roman"/>
                <w:sz w:val="19"/>
                <w:szCs w:val="19"/>
              </w:rPr>
              <w:t>)</w:t>
            </w:r>
          </w:p>
        </w:tc>
        <w:tc>
          <w:tcPr>
            <w:tcW w:w="2041" w:type="dxa"/>
            <w:tcBorders>
              <w:top w:val="single" w:color="auto" w:sz="8" w:space="0"/>
              <w:bottom w:val="nil"/>
            </w:tcBorders>
          </w:tcPr>
          <w:p w14:paraId="3C23827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eastAsiaTheme="minorEastAsia"/>
                <w:sz w:val="19"/>
                <w:szCs w:val="19"/>
                <w:lang w:val="en-US" w:eastAsia="zh-CN"/>
              </w:rPr>
            </w:pPr>
            <w:r>
              <w:rPr>
                <w:rFonts w:ascii="Times New Roman" w:hAnsi="Times New Roman" w:cs="Times New Roman"/>
                <w:sz w:val="19"/>
                <w:szCs w:val="19"/>
              </w:rPr>
              <w:t xml:space="preserve">H = </w:t>
            </w:r>
            <w:r>
              <w:rPr>
                <w:rFonts w:hint="eastAsia" w:ascii="Times New Roman" w:hAnsi="Times New Roman" w:cs="Times New Roman"/>
                <w:sz w:val="19"/>
                <w:szCs w:val="19"/>
                <w:lang w:val="en-US" w:eastAsia="zh-CN"/>
              </w:rPr>
              <w:t>0.32</w:t>
            </w:r>
            <w:r>
              <w:rPr>
                <w:rFonts w:ascii="Times New Roman" w:hAnsi="Times New Roman" w:cs="Times New Roman"/>
                <w:sz w:val="19"/>
                <w:szCs w:val="19"/>
              </w:rPr>
              <w:t xml:space="preserve">, </w:t>
            </w:r>
            <w:r>
              <w:rPr>
                <w:rFonts w:ascii="Times New Roman" w:hAnsi="Times New Roman" w:cs="Times New Roman"/>
                <w:i/>
                <w:iCs/>
                <w:sz w:val="19"/>
                <w:szCs w:val="19"/>
              </w:rPr>
              <w:t>p</w:t>
            </w:r>
            <w:r>
              <w:rPr>
                <w:rFonts w:ascii="Times New Roman" w:hAnsi="Times New Roman" w:cs="Times New Roman"/>
                <w:sz w:val="19"/>
                <w:szCs w:val="19"/>
              </w:rPr>
              <w:t xml:space="preserve"> = 0.</w:t>
            </w:r>
            <w:r>
              <w:rPr>
                <w:rFonts w:hint="eastAsia" w:ascii="Times New Roman" w:hAnsi="Times New Roman" w:cs="Times New Roman"/>
                <w:sz w:val="19"/>
                <w:szCs w:val="19"/>
                <w:lang w:val="en-US" w:eastAsia="zh-CN"/>
              </w:rPr>
              <w:t>575</w:t>
            </w:r>
          </w:p>
        </w:tc>
      </w:tr>
      <w:tr w14:paraId="40166B0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0D5F44D6">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Sex, male/female</w:t>
            </w:r>
          </w:p>
        </w:tc>
        <w:tc>
          <w:tcPr>
            <w:tcW w:w="1701" w:type="dxa"/>
            <w:tcBorders>
              <w:top w:val="nil"/>
              <w:bottom w:val="nil"/>
            </w:tcBorders>
          </w:tcPr>
          <w:p w14:paraId="797B95E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eastAsiaTheme="minorEastAsia"/>
                <w:sz w:val="19"/>
                <w:szCs w:val="19"/>
                <w:lang w:val="en-US" w:eastAsia="zh-CN"/>
              </w:rPr>
            </w:pPr>
            <w:r>
              <w:rPr>
                <w:rFonts w:ascii="Times New Roman" w:hAnsi="Times New Roman" w:cs="Times New Roman"/>
                <w:sz w:val="19"/>
                <w:szCs w:val="19"/>
              </w:rPr>
              <w:t>9/</w:t>
            </w:r>
            <w:r>
              <w:rPr>
                <w:rFonts w:hint="eastAsia" w:ascii="Times New Roman" w:hAnsi="Times New Roman" w:cs="Times New Roman"/>
                <w:sz w:val="19"/>
                <w:szCs w:val="19"/>
                <w:lang w:val="en-US" w:eastAsia="zh-CN"/>
              </w:rPr>
              <w:t>25</w:t>
            </w:r>
          </w:p>
        </w:tc>
        <w:tc>
          <w:tcPr>
            <w:tcW w:w="1701" w:type="dxa"/>
            <w:tcBorders>
              <w:top w:val="nil"/>
              <w:bottom w:val="nil"/>
            </w:tcBorders>
          </w:tcPr>
          <w:p w14:paraId="2D1DE8BF">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9/43</w:t>
            </w:r>
          </w:p>
        </w:tc>
        <w:tc>
          <w:tcPr>
            <w:tcW w:w="2041" w:type="dxa"/>
            <w:tcBorders>
              <w:top w:val="nil"/>
              <w:bottom w:val="nil"/>
            </w:tcBorders>
          </w:tcPr>
          <w:p w14:paraId="54789CA9">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eastAsiaTheme="minorEastAsia"/>
                <w:sz w:val="19"/>
                <w:szCs w:val="19"/>
                <w:lang w:val="en-US" w:eastAsia="zh-CN"/>
              </w:rPr>
            </w:pPr>
            <w:r>
              <w:rPr>
                <w:rFonts w:ascii="Times New Roman" w:hAnsi="Times New Roman" w:eastAsia="Times New Roman" w:cs="Times New Roman"/>
                <w:sz w:val="19"/>
                <w:szCs w:val="19"/>
              </w:rPr>
              <w:t xml:space="preserve">χ² = 1.04, </w:t>
            </w:r>
            <w:r>
              <w:rPr>
                <w:rFonts w:ascii="Times New Roman" w:hAnsi="Times New Roman" w:eastAsia="Times New Roman" w:cs="Times New Roman"/>
                <w:i/>
                <w:iCs/>
                <w:sz w:val="19"/>
                <w:szCs w:val="19"/>
              </w:rPr>
              <w:t>p</w:t>
            </w:r>
            <w:r>
              <w:rPr>
                <w:rFonts w:ascii="Times New Roman" w:hAnsi="Times New Roman" w:eastAsia="Times New Roman" w:cs="Times New Roman"/>
                <w:sz w:val="19"/>
                <w:szCs w:val="19"/>
              </w:rPr>
              <w:t xml:space="preserve"> = 0.307</w:t>
            </w:r>
          </w:p>
        </w:tc>
      </w:tr>
      <w:tr w14:paraId="212969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03D86E19">
            <w:pPr>
              <w:keepNext w:val="0"/>
              <w:keepLines w:val="0"/>
              <w:pageBreakBefore w:val="0"/>
              <w:widowControl w:val="0"/>
              <w:kinsoku/>
              <w:wordWrap/>
              <w:overflowPunct/>
              <w:topLinePunct w:val="0"/>
              <w:autoSpaceDE/>
              <w:autoSpaceDN/>
              <w:bidi w:val="0"/>
              <w:adjustRightInd w:val="0"/>
              <w:snapToGrid w:val="0"/>
              <w:spacing w:line="480" w:lineRule="auto"/>
              <w:ind w:left="63" w:leftChars="30"/>
              <w:jc w:val="both"/>
              <w:textAlignment w:val="auto"/>
              <w:rPr>
                <w:rFonts w:ascii="Times New Roman" w:hAnsi="Times New Roman" w:cs="Times New Roman"/>
                <w:sz w:val="19"/>
                <w:szCs w:val="19"/>
              </w:rPr>
            </w:pPr>
            <w:r>
              <w:rPr>
                <w:rFonts w:ascii="Times New Roman" w:hAnsi="Times New Roman" w:cs="Times New Roman"/>
                <w:sz w:val="19"/>
                <w:szCs w:val="19"/>
              </w:rPr>
              <w:t>Male, n (%)</w:t>
            </w:r>
          </w:p>
        </w:tc>
        <w:tc>
          <w:tcPr>
            <w:tcW w:w="1701" w:type="dxa"/>
            <w:tcBorders>
              <w:top w:val="nil"/>
              <w:bottom w:val="nil"/>
            </w:tcBorders>
          </w:tcPr>
          <w:p w14:paraId="6FDB551A">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9 (</w:t>
            </w:r>
            <w:r>
              <w:rPr>
                <w:rFonts w:hint="eastAsia" w:ascii="Times New Roman" w:hAnsi="Times New Roman" w:cs="Times New Roman"/>
                <w:sz w:val="19"/>
                <w:szCs w:val="19"/>
                <w:lang w:val="en-US" w:eastAsia="zh-CN"/>
              </w:rPr>
              <w:t>26.5</w:t>
            </w:r>
            <w:r>
              <w:rPr>
                <w:rFonts w:ascii="Times New Roman" w:hAnsi="Times New Roman" w:cs="Times New Roman"/>
                <w:sz w:val="19"/>
                <w:szCs w:val="19"/>
              </w:rPr>
              <w:t>)</w:t>
            </w:r>
          </w:p>
        </w:tc>
        <w:tc>
          <w:tcPr>
            <w:tcW w:w="1701" w:type="dxa"/>
            <w:tcBorders>
              <w:top w:val="nil"/>
              <w:bottom w:val="nil"/>
            </w:tcBorders>
          </w:tcPr>
          <w:p w14:paraId="079CAA3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9 (17.3)</w:t>
            </w:r>
          </w:p>
        </w:tc>
        <w:tc>
          <w:tcPr>
            <w:tcW w:w="2041" w:type="dxa"/>
            <w:tcBorders>
              <w:top w:val="nil"/>
              <w:bottom w:val="nil"/>
            </w:tcBorders>
          </w:tcPr>
          <w:p w14:paraId="3584F4F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p>
        </w:tc>
      </w:tr>
      <w:tr w14:paraId="0D8368B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649BA4E3">
            <w:pPr>
              <w:keepNext w:val="0"/>
              <w:keepLines w:val="0"/>
              <w:pageBreakBefore w:val="0"/>
              <w:widowControl w:val="0"/>
              <w:kinsoku/>
              <w:wordWrap/>
              <w:overflowPunct/>
              <w:topLinePunct w:val="0"/>
              <w:autoSpaceDE/>
              <w:autoSpaceDN/>
              <w:bidi w:val="0"/>
              <w:adjustRightInd w:val="0"/>
              <w:snapToGrid w:val="0"/>
              <w:spacing w:line="480" w:lineRule="auto"/>
              <w:ind w:left="63" w:leftChars="30"/>
              <w:jc w:val="both"/>
              <w:textAlignment w:val="auto"/>
              <w:rPr>
                <w:rFonts w:ascii="Times New Roman" w:hAnsi="Times New Roman" w:cs="Times New Roman"/>
                <w:sz w:val="19"/>
                <w:szCs w:val="19"/>
              </w:rPr>
            </w:pPr>
            <w:r>
              <w:rPr>
                <w:rFonts w:ascii="Times New Roman" w:hAnsi="Times New Roman" w:cs="Times New Roman"/>
                <w:sz w:val="19"/>
                <w:szCs w:val="19"/>
              </w:rPr>
              <w:t>Female, n (%)</w:t>
            </w:r>
          </w:p>
        </w:tc>
        <w:tc>
          <w:tcPr>
            <w:tcW w:w="1701" w:type="dxa"/>
            <w:tcBorders>
              <w:top w:val="nil"/>
              <w:bottom w:val="nil"/>
            </w:tcBorders>
          </w:tcPr>
          <w:p w14:paraId="27CE2DD7">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2</w:t>
            </w:r>
            <w:r>
              <w:rPr>
                <w:rFonts w:hint="eastAsia" w:ascii="Times New Roman" w:hAnsi="Times New Roman" w:cs="Times New Roman"/>
                <w:sz w:val="19"/>
                <w:szCs w:val="19"/>
                <w:lang w:val="en-US" w:eastAsia="zh-CN"/>
              </w:rPr>
              <w:t xml:space="preserve">5 </w:t>
            </w:r>
            <w:r>
              <w:rPr>
                <w:rFonts w:ascii="Times New Roman" w:hAnsi="Times New Roman" w:cs="Times New Roman"/>
                <w:sz w:val="19"/>
                <w:szCs w:val="19"/>
              </w:rPr>
              <w:t>(</w:t>
            </w:r>
            <w:r>
              <w:rPr>
                <w:rFonts w:hint="eastAsia" w:ascii="Times New Roman" w:hAnsi="Times New Roman" w:cs="Times New Roman"/>
                <w:sz w:val="19"/>
                <w:szCs w:val="19"/>
                <w:lang w:val="en-US" w:eastAsia="zh-CN"/>
              </w:rPr>
              <w:t>73.5</w:t>
            </w:r>
            <w:r>
              <w:rPr>
                <w:rFonts w:ascii="Times New Roman" w:hAnsi="Times New Roman" w:cs="Times New Roman"/>
                <w:sz w:val="19"/>
                <w:szCs w:val="19"/>
              </w:rPr>
              <w:t>)</w:t>
            </w:r>
          </w:p>
        </w:tc>
        <w:tc>
          <w:tcPr>
            <w:tcW w:w="1701" w:type="dxa"/>
            <w:tcBorders>
              <w:top w:val="nil"/>
              <w:bottom w:val="nil"/>
            </w:tcBorders>
          </w:tcPr>
          <w:p w14:paraId="6678D25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43 (82.7)</w:t>
            </w:r>
          </w:p>
        </w:tc>
        <w:tc>
          <w:tcPr>
            <w:tcW w:w="2041" w:type="dxa"/>
            <w:tcBorders>
              <w:top w:val="nil"/>
              <w:bottom w:val="nil"/>
            </w:tcBorders>
          </w:tcPr>
          <w:p w14:paraId="35234BE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p>
        </w:tc>
      </w:tr>
      <w:tr w14:paraId="0878B7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4B1E31D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Education level, median (IQR)</w:t>
            </w:r>
          </w:p>
        </w:tc>
        <w:tc>
          <w:tcPr>
            <w:tcW w:w="1701" w:type="dxa"/>
            <w:tcBorders>
              <w:top w:val="nil"/>
              <w:bottom w:val="nil"/>
            </w:tcBorders>
          </w:tcPr>
          <w:p w14:paraId="542A588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4.0 (4.0–4.0)</w:t>
            </w:r>
          </w:p>
        </w:tc>
        <w:tc>
          <w:tcPr>
            <w:tcW w:w="1701" w:type="dxa"/>
            <w:tcBorders>
              <w:top w:val="nil"/>
              <w:bottom w:val="nil"/>
            </w:tcBorders>
          </w:tcPr>
          <w:p w14:paraId="16EEA04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4.0 (4.0–4.0)</w:t>
            </w:r>
          </w:p>
        </w:tc>
        <w:tc>
          <w:tcPr>
            <w:tcW w:w="2041" w:type="dxa"/>
            <w:tcBorders>
              <w:top w:val="nil"/>
              <w:bottom w:val="nil"/>
            </w:tcBorders>
          </w:tcPr>
          <w:p w14:paraId="7D5470BF">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eastAsiaTheme="minorEastAsia"/>
                <w:sz w:val="19"/>
                <w:szCs w:val="19"/>
                <w:lang w:val="en-US" w:eastAsia="zh-CN"/>
              </w:rPr>
            </w:pPr>
            <w:r>
              <w:rPr>
                <w:rFonts w:ascii="Times New Roman" w:hAnsi="Times New Roman" w:cs="Times New Roman"/>
                <w:sz w:val="19"/>
                <w:szCs w:val="19"/>
              </w:rPr>
              <w:t xml:space="preserve">H = </w:t>
            </w:r>
            <w:r>
              <w:rPr>
                <w:rFonts w:hint="eastAsia" w:ascii="Times New Roman" w:hAnsi="Times New Roman" w:cs="Times New Roman"/>
                <w:sz w:val="19"/>
                <w:szCs w:val="19"/>
                <w:lang w:val="en-US" w:eastAsia="zh-CN"/>
              </w:rPr>
              <w:t>1.17</w:t>
            </w:r>
            <w:r>
              <w:rPr>
                <w:rFonts w:ascii="Times New Roman" w:hAnsi="Times New Roman" w:cs="Times New Roman"/>
                <w:sz w:val="19"/>
                <w:szCs w:val="19"/>
              </w:rPr>
              <w:t xml:space="preserve">, </w:t>
            </w:r>
            <w:r>
              <w:rPr>
                <w:rFonts w:ascii="Times New Roman" w:hAnsi="Times New Roman" w:cs="Times New Roman"/>
                <w:i/>
                <w:iCs/>
                <w:sz w:val="19"/>
                <w:szCs w:val="19"/>
              </w:rPr>
              <w:t>p</w:t>
            </w:r>
            <w:r>
              <w:rPr>
                <w:rFonts w:ascii="Times New Roman" w:hAnsi="Times New Roman" w:cs="Times New Roman"/>
                <w:sz w:val="19"/>
                <w:szCs w:val="19"/>
              </w:rPr>
              <w:t xml:space="preserve"> = 0.</w:t>
            </w:r>
            <w:r>
              <w:rPr>
                <w:rFonts w:hint="eastAsia" w:ascii="Times New Roman" w:hAnsi="Times New Roman" w:cs="Times New Roman"/>
                <w:sz w:val="19"/>
                <w:szCs w:val="19"/>
                <w:lang w:val="en-US" w:eastAsia="zh-CN"/>
              </w:rPr>
              <w:t>280</w:t>
            </w:r>
          </w:p>
        </w:tc>
      </w:tr>
      <w:tr w14:paraId="7F049B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0EF8A307">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Baseline MMDs, median (IQR)</w:t>
            </w:r>
          </w:p>
        </w:tc>
        <w:tc>
          <w:tcPr>
            <w:tcW w:w="1701" w:type="dxa"/>
            <w:tcBorders>
              <w:top w:val="nil"/>
              <w:bottom w:val="nil"/>
            </w:tcBorders>
          </w:tcPr>
          <w:p w14:paraId="3AF53D47">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2.0 (2.0–3.0)</w:t>
            </w:r>
          </w:p>
        </w:tc>
        <w:tc>
          <w:tcPr>
            <w:tcW w:w="1701" w:type="dxa"/>
            <w:tcBorders>
              <w:top w:val="nil"/>
              <w:bottom w:val="nil"/>
            </w:tcBorders>
          </w:tcPr>
          <w:p w14:paraId="0C522F0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2.0 (1.0–3.0)</w:t>
            </w:r>
          </w:p>
        </w:tc>
        <w:tc>
          <w:tcPr>
            <w:tcW w:w="2041" w:type="dxa"/>
            <w:tcBorders>
              <w:top w:val="nil"/>
              <w:bottom w:val="nil"/>
            </w:tcBorders>
          </w:tcPr>
          <w:p w14:paraId="6ED2EFC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eastAsiaTheme="minorEastAsia"/>
                <w:sz w:val="19"/>
                <w:szCs w:val="19"/>
                <w:lang w:val="en-US" w:eastAsia="zh-CN"/>
              </w:rPr>
            </w:pPr>
            <w:r>
              <w:rPr>
                <w:rFonts w:ascii="Times New Roman" w:hAnsi="Times New Roman" w:cs="Times New Roman"/>
                <w:sz w:val="19"/>
                <w:szCs w:val="19"/>
              </w:rPr>
              <w:t>H = 0.</w:t>
            </w:r>
            <w:r>
              <w:rPr>
                <w:rFonts w:hint="eastAsia" w:ascii="Times New Roman" w:hAnsi="Times New Roman" w:cs="Times New Roman"/>
                <w:sz w:val="19"/>
                <w:szCs w:val="19"/>
                <w:lang w:val="en-US" w:eastAsia="zh-CN"/>
              </w:rPr>
              <w:t>01</w:t>
            </w:r>
            <w:r>
              <w:rPr>
                <w:rFonts w:ascii="Times New Roman" w:hAnsi="Times New Roman" w:cs="Times New Roman"/>
                <w:sz w:val="19"/>
                <w:szCs w:val="19"/>
              </w:rPr>
              <w:t xml:space="preserve">, </w:t>
            </w:r>
            <w:r>
              <w:rPr>
                <w:rFonts w:ascii="Times New Roman" w:hAnsi="Times New Roman" w:cs="Times New Roman"/>
                <w:i/>
                <w:iCs/>
                <w:sz w:val="19"/>
                <w:szCs w:val="19"/>
              </w:rPr>
              <w:t>p</w:t>
            </w:r>
            <w:r>
              <w:rPr>
                <w:rFonts w:ascii="Times New Roman" w:hAnsi="Times New Roman" w:cs="Times New Roman"/>
                <w:sz w:val="19"/>
                <w:szCs w:val="19"/>
              </w:rPr>
              <w:t xml:space="preserve"> = 0.</w:t>
            </w:r>
            <w:r>
              <w:rPr>
                <w:rFonts w:hint="eastAsia" w:ascii="Times New Roman" w:hAnsi="Times New Roman" w:cs="Times New Roman"/>
                <w:sz w:val="19"/>
                <w:szCs w:val="19"/>
                <w:lang w:val="en-US" w:eastAsia="zh-CN"/>
              </w:rPr>
              <w:t>918</w:t>
            </w:r>
          </w:p>
        </w:tc>
      </w:tr>
      <w:tr w14:paraId="083A20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733AA8F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Migraine disease duration, median (IQR), years</w:t>
            </w:r>
          </w:p>
        </w:tc>
        <w:tc>
          <w:tcPr>
            <w:tcW w:w="1701" w:type="dxa"/>
            <w:tcBorders>
              <w:top w:val="nil"/>
              <w:bottom w:val="nil"/>
            </w:tcBorders>
          </w:tcPr>
          <w:p w14:paraId="6F70BE4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7.0 (4.0–20.0)</w:t>
            </w:r>
          </w:p>
        </w:tc>
        <w:tc>
          <w:tcPr>
            <w:tcW w:w="1701" w:type="dxa"/>
            <w:tcBorders>
              <w:top w:val="nil"/>
              <w:bottom w:val="nil"/>
            </w:tcBorders>
          </w:tcPr>
          <w:p w14:paraId="692EBF4F">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5.5 (3.0–10.0)</w:t>
            </w:r>
          </w:p>
        </w:tc>
        <w:tc>
          <w:tcPr>
            <w:tcW w:w="2041" w:type="dxa"/>
            <w:tcBorders>
              <w:top w:val="nil"/>
              <w:bottom w:val="nil"/>
            </w:tcBorders>
          </w:tcPr>
          <w:p w14:paraId="0135308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eastAsiaTheme="minorEastAsia"/>
                <w:sz w:val="19"/>
                <w:szCs w:val="19"/>
                <w:lang w:val="en-US" w:eastAsia="zh-CN"/>
              </w:rPr>
            </w:pPr>
            <w:r>
              <w:rPr>
                <w:rFonts w:ascii="Times New Roman" w:hAnsi="Times New Roman" w:cs="Times New Roman"/>
                <w:sz w:val="19"/>
                <w:szCs w:val="19"/>
              </w:rPr>
              <w:t>H = 2.</w:t>
            </w:r>
            <w:r>
              <w:rPr>
                <w:rFonts w:hint="eastAsia" w:ascii="Times New Roman" w:hAnsi="Times New Roman" w:cs="Times New Roman"/>
                <w:sz w:val="19"/>
                <w:szCs w:val="19"/>
                <w:lang w:val="en-US" w:eastAsia="zh-CN"/>
              </w:rPr>
              <w:t>89</w:t>
            </w:r>
            <w:r>
              <w:rPr>
                <w:rFonts w:ascii="Times New Roman" w:hAnsi="Times New Roman" w:cs="Times New Roman"/>
                <w:sz w:val="19"/>
                <w:szCs w:val="19"/>
              </w:rPr>
              <w:t xml:space="preserve">, </w:t>
            </w:r>
            <w:r>
              <w:rPr>
                <w:rFonts w:ascii="Times New Roman" w:hAnsi="Times New Roman" w:cs="Times New Roman"/>
                <w:i/>
                <w:iCs/>
                <w:sz w:val="19"/>
                <w:szCs w:val="19"/>
              </w:rPr>
              <w:t>p</w:t>
            </w:r>
            <w:r>
              <w:rPr>
                <w:rFonts w:ascii="Times New Roman" w:hAnsi="Times New Roman" w:cs="Times New Roman"/>
                <w:sz w:val="19"/>
                <w:szCs w:val="19"/>
              </w:rPr>
              <w:t xml:space="preserve"> = 0.</w:t>
            </w:r>
            <w:r>
              <w:rPr>
                <w:rFonts w:hint="eastAsia" w:ascii="Times New Roman" w:hAnsi="Times New Roman" w:cs="Times New Roman"/>
                <w:sz w:val="19"/>
                <w:szCs w:val="19"/>
                <w:lang w:val="en-US" w:eastAsia="zh-CN"/>
              </w:rPr>
              <w:t>089</w:t>
            </w:r>
          </w:p>
        </w:tc>
      </w:tr>
      <w:tr w14:paraId="4F2202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4038D6A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Typical attack duration, median (IQR), h</w:t>
            </w:r>
          </w:p>
        </w:tc>
        <w:tc>
          <w:tcPr>
            <w:tcW w:w="1701" w:type="dxa"/>
            <w:tcBorders>
              <w:top w:val="nil"/>
              <w:bottom w:val="nil"/>
            </w:tcBorders>
          </w:tcPr>
          <w:p w14:paraId="7FF87170">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24.0 (6.0–24.0)</w:t>
            </w:r>
          </w:p>
        </w:tc>
        <w:tc>
          <w:tcPr>
            <w:tcW w:w="1701" w:type="dxa"/>
            <w:tcBorders>
              <w:top w:val="nil"/>
              <w:bottom w:val="nil"/>
            </w:tcBorders>
          </w:tcPr>
          <w:p w14:paraId="7F6E0307">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24.0 (8.0–24.0)</w:t>
            </w:r>
          </w:p>
        </w:tc>
        <w:tc>
          <w:tcPr>
            <w:tcW w:w="2041" w:type="dxa"/>
            <w:tcBorders>
              <w:top w:val="nil"/>
              <w:bottom w:val="nil"/>
            </w:tcBorders>
          </w:tcPr>
          <w:p w14:paraId="5D4255BC">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eastAsiaTheme="minorEastAsia"/>
                <w:sz w:val="19"/>
                <w:szCs w:val="19"/>
                <w:lang w:val="en-US" w:eastAsia="zh-CN"/>
              </w:rPr>
            </w:pPr>
            <w:r>
              <w:rPr>
                <w:rFonts w:ascii="Times New Roman" w:hAnsi="Times New Roman" w:cs="Times New Roman"/>
                <w:sz w:val="19"/>
                <w:szCs w:val="19"/>
              </w:rPr>
              <w:t>H = 0.</w:t>
            </w:r>
            <w:r>
              <w:rPr>
                <w:rFonts w:hint="eastAsia" w:ascii="Times New Roman" w:hAnsi="Times New Roman" w:cs="Times New Roman"/>
                <w:sz w:val="19"/>
                <w:szCs w:val="19"/>
                <w:lang w:val="en-US" w:eastAsia="zh-CN"/>
              </w:rPr>
              <w:t>27</w:t>
            </w:r>
            <w:r>
              <w:rPr>
                <w:rFonts w:ascii="Times New Roman" w:hAnsi="Times New Roman" w:cs="Times New Roman"/>
                <w:sz w:val="19"/>
                <w:szCs w:val="19"/>
              </w:rPr>
              <w:t xml:space="preserve">, </w:t>
            </w:r>
            <w:r>
              <w:rPr>
                <w:rFonts w:ascii="Times New Roman" w:hAnsi="Times New Roman" w:cs="Times New Roman"/>
                <w:i/>
                <w:iCs/>
                <w:sz w:val="19"/>
                <w:szCs w:val="19"/>
              </w:rPr>
              <w:t>p</w:t>
            </w:r>
            <w:r>
              <w:rPr>
                <w:rFonts w:ascii="Times New Roman" w:hAnsi="Times New Roman" w:cs="Times New Roman"/>
                <w:sz w:val="19"/>
                <w:szCs w:val="19"/>
              </w:rPr>
              <w:t xml:space="preserve"> = 0.</w:t>
            </w:r>
            <w:r>
              <w:rPr>
                <w:rFonts w:hint="eastAsia" w:ascii="Times New Roman" w:hAnsi="Times New Roman" w:cs="Times New Roman"/>
                <w:sz w:val="19"/>
                <w:szCs w:val="19"/>
                <w:lang w:val="en-US" w:eastAsia="zh-CN"/>
              </w:rPr>
              <w:t>601</w:t>
            </w:r>
          </w:p>
        </w:tc>
      </w:tr>
      <w:tr w14:paraId="3C10C04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0B695B2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Headache intensity (VAS), median (IQR)</w:t>
            </w:r>
          </w:p>
        </w:tc>
        <w:tc>
          <w:tcPr>
            <w:tcW w:w="1701" w:type="dxa"/>
            <w:tcBorders>
              <w:top w:val="nil"/>
              <w:bottom w:val="nil"/>
            </w:tcBorders>
          </w:tcPr>
          <w:p w14:paraId="00C98AE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6.0 (5.0–8.0)</w:t>
            </w:r>
          </w:p>
        </w:tc>
        <w:tc>
          <w:tcPr>
            <w:tcW w:w="1701" w:type="dxa"/>
            <w:tcBorders>
              <w:top w:val="nil"/>
              <w:bottom w:val="nil"/>
            </w:tcBorders>
          </w:tcPr>
          <w:p w14:paraId="3A0C0B56">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6.0 (5.0–7.5)</w:t>
            </w:r>
          </w:p>
        </w:tc>
        <w:tc>
          <w:tcPr>
            <w:tcW w:w="2041" w:type="dxa"/>
            <w:tcBorders>
              <w:top w:val="nil"/>
              <w:bottom w:val="nil"/>
            </w:tcBorders>
          </w:tcPr>
          <w:p w14:paraId="47E0FD00">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eastAsiaTheme="minorEastAsia"/>
                <w:sz w:val="19"/>
                <w:szCs w:val="19"/>
                <w:lang w:val="en-US" w:eastAsia="zh-CN"/>
              </w:rPr>
            </w:pPr>
            <w:r>
              <w:rPr>
                <w:rFonts w:ascii="Times New Roman" w:hAnsi="Times New Roman" w:cs="Times New Roman"/>
                <w:sz w:val="19"/>
                <w:szCs w:val="19"/>
              </w:rPr>
              <w:t>H = 0.</w:t>
            </w:r>
            <w:r>
              <w:rPr>
                <w:rFonts w:hint="eastAsia" w:ascii="Times New Roman" w:hAnsi="Times New Roman" w:cs="Times New Roman"/>
                <w:sz w:val="19"/>
                <w:szCs w:val="19"/>
                <w:lang w:val="en-US" w:eastAsia="zh-CN"/>
              </w:rPr>
              <w:t>35</w:t>
            </w:r>
            <w:r>
              <w:rPr>
                <w:rFonts w:ascii="Times New Roman" w:hAnsi="Times New Roman" w:cs="Times New Roman"/>
                <w:sz w:val="19"/>
                <w:szCs w:val="19"/>
              </w:rPr>
              <w:t xml:space="preserve">, </w:t>
            </w:r>
            <w:r>
              <w:rPr>
                <w:rFonts w:ascii="Times New Roman" w:hAnsi="Times New Roman" w:cs="Times New Roman"/>
                <w:i/>
                <w:iCs/>
                <w:sz w:val="19"/>
                <w:szCs w:val="19"/>
              </w:rPr>
              <w:t>p</w:t>
            </w:r>
            <w:r>
              <w:rPr>
                <w:rFonts w:ascii="Times New Roman" w:hAnsi="Times New Roman" w:cs="Times New Roman"/>
                <w:sz w:val="19"/>
                <w:szCs w:val="19"/>
              </w:rPr>
              <w:t xml:space="preserve"> = 0.</w:t>
            </w:r>
            <w:r>
              <w:rPr>
                <w:rFonts w:hint="eastAsia" w:ascii="Times New Roman" w:hAnsi="Times New Roman" w:cs="Times New Roman"/>
                <w:sz w:val="19"/>
                <w:szCs w:val="19"/>
                <w:lang w:val="en-US" w:eastAsia="zh-CN"/>
              </w:rPr>
              <w:t>556</w:t>
            </w:r>
          </w:p>
        </w:tc>
      </w:tr>
      <w:tr w14:paraId="674616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6A36E9A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GAD-7, median (IQR)</w:t>
            </w:r>
          </w:p>
        </w:tc>
        <w:tc>
          <w:tcPr>
            <w:tcW w:w="1701" w:type="dxa"/>
            <w:tcBorders>
              <w:top w:val="nil"/>
              <w:bottom w:val="nil"/>
            </w:tcBorders>
          </w:tcPr>
          <w:p w14:paraId="2839123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5.0 (4.0–6.0)</w:t>
            </w:r>
          </w:p>
        </w:tc>
        <w:tc>
          <w:tcPr>
            <w:tcW w:w="1701" w:type="dxa"/>
            <w:tcBorders>
              <w:top w:val="nil"/>
              <w:bottom w:val="nil"/>
            </w:tcBorders>
          </w:tcPr>
          <w:p w14:paraId="4535777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3.0 (2.0–4.0)</w:t>
            </w:r>
          </w:p>
        </w:tc>
        <w:tc>
          <w:tcPr>
            <w:tcW w:w="2041" w:type="dxa"/>
            <w:tcBorders>
              <w:top w:val="nil"/>
              <w:bottom w:val="nil"/>
            </w:tcBorders>
          </w:tcPr>
          <w:p w14:paraId="4786BAC6">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 xml:space="preserve">H = </w:t>
            </w:r>
            <w:r>
              <w:rPr>
                <w:rFonts w:hint="eastAsia" w:ascii="Times New Roman" w:hAnsi="Times New Roman" w:cs="Times New Roman"/>
                <w:sz w:val="19"/>
                <w:szCs w:val="19"/>
                <w:lang w:val="en-US" w:eastAsia="zh-CN"/>
              </w:rPr>
              <w:t>27.66</w:t>
            </w:r>
            <w:r>
              <w:rPr>
                <w:rFonts w:ascii="Times New Roman" w:hAnsi="Times New Roman" w:cs="Times New Roman"/>
                <w:sz w:val="19"/>
                <w:szCs w:val="19"/>
              </w:rPr>
              <w:t xml:space="preserve">, </w:t>
            </w:r>
            <w:r>
              <w:rPr>
                <w:rFonts w:ascii="Times New Roman" w:hAnsi="Times New Roman" w:cs="Times New Roman"/>
                <w:i/>
                <w:iCs/>
                <w:sz w:val="19"/>
                <w:szCs w:val="19"/>
              </w:rPr>
              <w:t xml:space="preserve">p </w:t>
            </w:r>
            <w:r>
              <w:rPr>
                <w:rFonts w:ascii="Times New Roman" w:hAnsi="Times New Roman" w:cs="Times New Roman"/>
                <w:sz w:val="19"/>
                <w:szCs w:val="19"/>
              </w:rPr>
              <w:t>&lt; 0.001</w:t>
            </w:r>
          </w:p>
        </w:tc>
      </w:tr>
      <w:tr w14:paraId="4B70E46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nil"/>
            </w:tcBorders>
          </w:tcPr>
          <w:p w14:paraId="606D92D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PHQ-9, median (IQR)</w:t>
            </w:r>
          </w:p>
        </w:tc>
        <w:tc>
          <w:tcPr>
            <w:tcW w:w="1701" w:type="dxa"/>
            <w:tcBorders>
              <w:top w:val="nil"/>
              <w:bottom w:val="nil"/>
            </w:tcBorders>
          </w:tcPr>
          <w:p w14:paraId="2E3AE441">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6.0 (5.0–9.0)</w:t>
            </w:r>
          </w:p>
        </w:tc>
        <w:tc>
          <w:tcPr>
            <w:tcW w:w="1701" w:type="dxa"/>
            <w:tcBorders>
              <w:top w:val="nil"/>
              <w:bottom w:val="nil"/>
            </w:tcBorders>
          </w:tcPr>
          <w:p w14:paraId="26EE2B1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4.0 (3.0–5.0)</w:t>
            </w:r>
          </w:p>
        </w:tc>
        <w:tc>
          <w:tcPr>
            <w:tcW w:w="2041" w:type="dxa"/>
            <w:tcBorders>
              <w:top w:val="nil"/>
              <w:bottom w:val="nil"/>
            </w:tcBorders>
          </w:tcPr>
          <w:p w14:paraId="32679781">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 xml:space="preserve">H = </w:t>
            </w:r>
            <w:r>
              <w:rPr>
                <w:rFonts w:hint="eastAsia" w:ascii="Times New Roman" w:hAnsi="Times New Roman" w:cs="Times New Roman"/>
                <w:sz w:val="19"/>
                <w:szCs w:val="19"/>
                <w:lang w:val="en-US" w:eastAsia="zh-CN"/>
              </w:rPr>
              <w:t>27.20</w:t>
            </w:r>
            <w:r>
              <w:rPr>
                <w:rFonts w:ascii="Times New Roman" w:hAnsi="Times New Roman" w:cs="Times New Roman"/>
                <w:sz w:val="19"/>
                <w:szCs w:val="19"/>
              </w:rPr>
              <w:t xml:space="preserve">, </w:t>
            </w:r>
            <w:r>
              <w:rPr>
                <w:rFonts w:ascii="Times New Roman" w:hAnsi="Times New Roman" w:cs="Times New Roman"/>
                <w:i/>
                <w:iCs/>
                <w:sz w:val="19"/>
                <w:szCs w:val="19"/>
              </w:rPr>
              <w:t>p</w:t>
            </w:r>
            <w:r>
              <w:rPr>
                <w:rFonts w:ascii="Times New Roman" w:hAnsi="Times New Roman" w:cs="Times New Roman"/>
                <w:sz w:val="19"/>
                <w:szCs w:val="19"/>
              </w:rPr>
              <w:t xml:space="preserve"> &lt; 0.001</w:t>
            </w:r>
          </w:p>
        </w:tc>
      </w:tr>
      <w:tr w14:paraId="1956889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516" w:type="dxa"/>
            <w:tcBorders>
              <w:top w:val="nil"/>
              <w:bottom w:val="single" w:color="auto" w:sz="8" w:space="0"/>
            </w:tcBorders>
          </w:tcPr>
          <w:p w14:paraId="460EC2AA">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rPr>
              <w:t>PSQI, median (IQR)</w:t>
            </w:r>
          </w:p>
        </w:tc>
        <w:tc>
          <w:tcPr>
            <w:tcW w:w="1701" w:type="dxa"/>
            <w:tcBorders>
              <w:top w:val="nil"/>
              <w:bottom w:val="single" w:color="auto" w:sz="8" w:space="0"/>
            </w:tcBorders>
          </w:tcPr>
          <w:p w14:paraId="5E0568C6">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8.0 (5.0–10.0)</w:t>
            </w:r>
          </w:p>
        </w:tc>
        <w:tc>
          <w:tcPr>
            <w:tcW w:w="1701" w:type="dxa"/>
            <w:tcBorders>
              <w:top w:val="nil"/>
              <w:bottom w:val="single" w:color="auto" w:sz="8" w:space="0"/>
            </w:tcBorders>
          </w:tcPr>
          <w:p w14:paraId="3E4F347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eastAsia="Times New Roman" w:cs="Times New Roman"/>
                <w:sz w:val="19"/>
                <w:szCs w:val="19"/>
              </w:rPr>
              <w:t>6.0 (5.0–7.0)</w:t>
            </w:r>
          </w:p>
        </w:tc>
        <w:tc>
          <w:tcPr>
            <w:tcW w:w="2041" w:type="dxa"/>
            <w:tcBorders>
              <w:top w:val="nil"/>
              <w:bottom w:val="single" w:color="auto" w:sz="8" w:space="0"/>
            </w:tcBorders>
          </w:tcPr>
          <w:p w14:paraId="1DFE636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eastAsiaTheme="minorEastAsia"/>
                <w:sz w:val="19"/>
                <w:szCs w:val="19"/>
                <w:lang w:val="en-US" w:eastAsia="zh-CN"/>
              </w:rPr>
            </w:pPr>
            <w:r>
              <w:rPr>
                <w:rFonts w:ascii="Times New Roman" w:hAnsi="Times New Roman" w:cs="Times New Roman"/>
                <w:sz w:val="19"/>
                <w:szCs w:val="19"/>
              </w:rPr>
              <w:t xml:space="preserve">H = </w:t>
            </w:r>
            <w:r>
              <w:rPr>
                <w:rFonts w:hint="eastAsia" w:ascii="Times New Roman" w:hAnsi="Times New Roman" w:cs="Times New Roman"/>
                <w:sz w:val="19"/>
                <w:szCs w:val="19"/>
                <w:lang w:val="en-US" w:eastAsia="zh-CN"/>
              </w:rPr>
              <w:t>7.57</w:t>
            </w:r>
            <w:r>
              <w:rPr>
                <w:rFonts w:ascii="Times New Roman" w:hAnsi="Times New Roman" w:cs="Times New Roman"/>
                <w:sz w:val="19"/>
                <w:szCs w:val="19"/>
              </w:rPr>
              <w:t xml:space="preserve">, </w:t>
            </w:r>
            <w:r>
              <w:rPr>
                <w:rFonts w:ascii="Times New Roman" w:hAnsi="Times New Roman" w:cs="Times New Roman"/>
                <w:i/>
                <w:iCs/>
                <w:sz w:val="19"/>
                <w:szCs w:val="19"/>
              </w:rPr>
              <w:t>p</w:t>
            </w:r>
            <w:r>
              <w:rPr>
                <w:rFonts w:ascii="Times New Roman" w:hAnsi="Times New Roman" w:cs="Times New Roman"/>
                <w:sz w:val="19"/>
                <w:szCs w:val="19"/>
              </w:rPr>
              <w:t xml:space="preserve"> = 0.00</w:t>
            </w:r>
            <w:r>
              <w:rPr>
                <w:rFonts w:hint="eastAsia" w:ascii="Times New Roman" w:hAnsi="Times New Roman" w:cs="Times New Roman"/>
                <w:sz w:val="19"/>
                <w:szCs w:val="19"/>
                <w:lang w:val="en-US" w:eastAsia="zh-CN"/>
              </w:rPr>
              <w:t>6</w:t>
            </w:r>
          </w:p>
        </w:tc>
      </w:tr>
    </w:tbl>
    <w:p w14:paraId="306E5E4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22"/>
          <w:szCs w:val="21"/>
        </w:rPr>
      </w:pPr>
      <w:r>
        <w:rPr>
          <w:rFonts w:ascii="Times New Roman" w:hAnsi="Times New Roman" w:eastAsia="Times New Roman" w:cs="Times New Roman"/>
          <w:sz w:val="22"/>
          <w:szCs w:val="21"/>
        </w:rPr>
        <w:t>Continuous and ordinal variables are presented as medians with interquartile ranges, and categorical variables as counts and percentages. Between-group comparisons used the Kruskal–Wallis test for continuous and ordinal variables and Pearson’s χ² test for sex; Fisher’s exact test was used when expected cell counts were insufficient. H denotes the Kruskal–Wallis test statistic, and χ² denotes the Pearson χ² test statistic. The &lt;4-MMD group comprised patients with &lt;4 MMDs during the third month after baseline, whereas the ≥4-MMD group comprised patients with ≥4 MMDs during the third month after baseline. Education level was coded as follows: 1 = primary school or below, 2 = junior high school, 3 = senior high school, 4 = bachelor’s degree, 5 = master’s degree, and 6 = doctoral degree. Migraine disease duration denotes the number of years since migraine onset, and attack duration denotes the reported average duration of a typical migraine attack.</w:t>
      </w:r>
    </w:p>
    <w:p w14:paraId="35173CDB">
      <w:pPr>
        <w:keepNext w:val="0"/>
        <w:keepLines/>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22"/>
          <w:szCs w:val="21"/>
        </w:rPr>
      </w:pPr>
      <w:r>
        <w:rPr>
          <w:rFonts w:ascii="Times New Roman" w:hAnsi="Times New Roman" w:cs="Times New Roman"/>
          <w:sz w:val="22"/>
          <w:szCs w:val="21"/>
        </w:rPr>
        <w:t>GAD-7, 7-item Generalized Anxiety Disorder scale; IQR, interquartile range; MMDs, monthly migraine days; MO, migraine without aura; PHQ-9, 9-item Patient Health Questionnaire; PSQI, Pittsburgh Sleep Quality Index; VAS, visual analogue scale.</w:t>
      </w:r>
    </w:p>
    <w:p w14:paraId="1CBC3FA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rPr>
      </w:pPr>
    </w:p>
    <w:p w14:paraId="1F50A33C">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rPr>
      </w:pPr>
    </w:p>
    <w:p w14:paraId="024B2B99">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rPr>
      </w:pPr>
    </w:p>
    <w:p w14:paraId="192D697E">
      <w:pPr>
        <w:keepNext/>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eastAsiaTheme="minorEastAsia"/>
          <w:lang w:val="en-US" w:eastAsia="zh-CN"/>
        </w:rPr>
      </w:pPr>
      <w:r>
        <w:rPr>
          <w:rFonts w:ascii="Times New Roman" w:hAnsi="Times New Roman" w:cs="Times New Roman"/>
          <w:b/>
          <w:sz w:val="22"/>
          <w:szCs w:val="21"/>
        </w:rPr>
        <w:t>Supplementary Table S</w:t>
      </w:r>
      <w:r>
        <w:rPr>
          <w:rFonts w:hint="eastAsia" w:ascii="Times New Roman" w:hAnsi="Times New Roman" w:cs="Times New Roman"/>
          <w:b/>
          <w:sz w:val="22"/>
          <w:szCs w:val="21"/>
          <w:lang w:val="en-US" w:eastAsia="zh-CN"/>
        </w:rPr>
        <w:t xml:space="preserve">6. </w:t>
      </w:r>
      <w:r>
        <w:rPr>
          <w:rFonts w:ascii="Times New Roman" w:hAnsi="Times New Roman" w:cs="Times New Roman"/>
          <w:b/>
          <w:sz w:val="22"/>
          <w:szCs w:val="21"/>
        </w:rPr>
        <w:t>Associations between baseline EEG measures and short-term frequency increase: sensitivity analysis</w:t>
      </w:r>
      <w:r>
        <w:rPr>
          <w:rFonts w:hint="eastAsia" w:ascii="Times New Roman" w:hAnsi="Times New Roman" w:cs="Times New Roman"/>
          <w:b/>
          <w:sz w:val="22"/>
          <w:szCs w:val="21"/>
          <w:lang w:val="en-US" w:eastAsia="zh-CN"/>
        </w:rPr>
        <w:t>.</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6"/>
        <w:gridCol w:w="1348"/>
        <w:gridCol w:w="2528"/>
        <w:gridCol w:w="1033"/>
        <w:gridCol w:w="1067"/>
        <w:gridCol w:w="702"/>
      </w:tblGrid>
      <w:tr w14:paraId="7592A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3516" w:type="dxa"/>
          </w:tcPr>
          <w:p w14:paraId="03C16DD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bCs/>
                <w:sz w:val="19"/>
                <w:szCs w:val="19"/>
              </w:rPr>
            </w:pPr>
            <w:r>
              <w:rPr>
                <w:rFonts w:ascii="Times New Roman" w:hAnsi="Times New Roman" w:cs="Times New Roman"/>
                <w:b/>
                <w:bCs/>
                <w:sz w:val="19"/>
                <w:szCs w:val="19"/>
              </w:rPr>
              <w:t>EEG measure</w:t>
            </w:r>
          </w:p>
        </w:tc>
        <w:tc>
          <w:tcPr>
            <w:tcW w:w="1348" w:type="dxa"/>
          </w:tcPr>
          <w:p w14:paraId="7006034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b/>
                <w:bCs/>
                <w:sz w:val="19"/>
                <w:szCs w:val="19"/>
              </w:rPr>
            </w:pPr>
            <w:r>
              <w:rPr>
                <w:rFonts w:ascii="Times New Roman" w:hAnsi="Times New Roman" w:cs="Times New Roman"/>
                <w:b/>
                <w:bCs/>
                <w:sz w:val="19"/>
                <w:szCs w:val="19"/>
              </w:rPr>
              <w:t>β</w:t>
            </w:r>
          </w:p>
        </w:tc>
        <w:tc>
          <w:tcPr>
            <w:tcW w:w="2528" w:type="dxa"/>
          </w:tcPr>
          <w:p w14:paraId="3EBAE617">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b/>
                <w:bCs/>
                <w:sz w:val="19"/>
                <w:szCs w:val="19"/>
              </w:rPr>
            </w:pPr>
            <w:r>
              <w:rPr>
                <w:rFonts w:ascii="Times New Roman" w:hAnsi="Times New Roman" w:cs="Times New Roman"/>
                <w:b/>
                <w:bCs/>
                <w:sz w:val="19"/>
                <w:szCs w:val="19"/>
              </w:rPr>
              <w:t>95% CI</w:t>
            </w:r>
          </w:p>
        </w:tc>
        <w:tc>
          <w:tcPr>
            <w:tcW w:w="1033" w:type="dxa"/>
          </w:tcPr>
          <w:p w14:paraId="1473291B">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b/>
                <w:bCs/>
                <w:sz w:val="19"/>
                <w:szCs w:val="19"/>
              </w:rPr>
            </w:pPr>
            <w:r>
              <w:rPr>
                <w:rFonts w:ascii="Times New Roman" w:hAnsi="Times New Roman" w:cs="Times New Roman"/>
                <w:b/>
                <w:bCs/>
                <w:i/>
                <w:iCs/>
                <w:sz w:val="19"/>
                <w:szCs w:val="19"/>
              </w:rPr>
              <w:t>p</w:t>
            </w:r>
            <w:r>
              <w:rPr>
                <w:rFonts w:ascii="Times New Roman" w:hAnsi="Times New Roman" w:cs="Times New Roman"/>
                <w:b/>
                <w:bCs/>
                <w:sz w:val="19"/>
                <w:szCs w:val="19"/>
              </w:rPr>
              <w:t xml:space="preserve"> value</w:t>
            </w:r>
          </w:p>
        </w:tc>
        <w:tc>
          <w:tcPr>
            <w:tcW w:w="1067" w:type="dxa"/>
          </w:tcPr>
          <w:p w14:paraId="0071CB7A">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b/>
                <w:bCs/>
                <w:sz w:val="19"/>
                <w:szCs w:val="19"/>
              </w:rPr>
            </w:pPr>
            <w:r>
              <w:rPr>
                <w:rFonts w:ascii="Times New Roman" w:hAnsi="Times New Roman" w:cs="Times New Roman"/>
                <w:b/>
                <w:bCs/>
                <w:i/>
                <w:iCs/>
                <w:sz w:val="19"/>
                <w:szCs w:val="19"/>
              </w:rPr>
              <w:t xml:space="preserve">q </w:t>
            </w:r>
            <w:r>
              <w:rPr>
                <w:rFonts w:ascii="Times New Roman" w:hAnsi="Times New Roman" w:cs="Times New Roman"/>
                <w:b/>
                <w:bCs/>
                <w:sz w:val="19"/>
                <w:szCs w:val="19"/>
              </w:rPr>
              <w:t>value</w:t>
            </w:r>
          </w:p>
        </w:tc>
        <w:tc>
          <w:tcPr>
            <w:tcW w:w="702" w:type="dxa"/>
          </w:tcPr>
          <w:p w14:paraId="47ABE54B">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b/>
                <w:bCs/>
                <w:sz w:val="19"/>
                <w:szCs w:val="19"/>
              </w:rPr>
            </w:pPr>
            <w:r>
              <w:rPr>
                <w:rFonts w:ascii="Times New Roman" w:hAnsi="Times New Roman" w:cs="Times New Roman"/>
                <w:b/>
                <w:bCs/>
                <w:sz w:val="19"/>
                <w:szCs w:val="19"/>
              </w:rPr>
              <w:t>n</w:t>
            </w:r>
          </w:p>
        </w:tc>
      </w:tr>
      <w:tr w14:paraId="4C18F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16" w:type="dxa"/>
            <w:shd w:val="clear" w:color="auto" w:fill="auto"/>
            <w:vAlign w:val="bottom"/>
          </w:tcPr>
          <w:p w14:paraId="1865E8C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sz w:val="19"/>
                <w:szCs w:val="19"/>
                <w:lang w:val="en-US" w:eastAsia="zh-CN"/>
              </w:rPr>
            </w:pPr>
            <w:r>
              <w:rPr>
                <w:rFonts w:hint="eastAsia" w:ascii="Times New Roman" w:hAnsi="Times New Roman" w:eastAsia="Times New Roman" w:cs="Times New Roman"/>
                <w:sz w:val="19"/>
                <w:szCs w:val="19"/>
                <w:lang w:val="en-US" w:eastAsia="zh-CN"/>
              </w:rPr>
              <w:t>Periodic VIS alpha power</w:t>
            </w:r>
          </w:p>
        </w:tc>
        <w:tc>
          <w:tcPr>
            <w:tcW w:w="1348" w:type="dxa"/>
            <w:vAlign w:val="bottom"/>
          </w:tcPr>
          <w:p w14:paraId="6480A444">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−0.082</w:t>
            </w:r>
          </w:p>
        </w:tc>
        <w:tc>
          <w:tcPr>
            <w:tcW w:w="2528" w:type="dxa"/>
            <w:vAlign w:val="bottom"/>
          </w:tcPr>
          <w:p w14:paraId="12522A36">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−0.198 to 0.034</w:t>
            </w:r>
          </w:p>
        </w:tc>
        <w:tc>
          <w:tcPr>
            <w:tcW w:w="1033" w:type="dxa"/>
            <w:vAlign w:val="bottom"/>
          </w:tcPr>
          <w:p w14:paraId="118B2F14">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default" w:ascii="Times New Roman" w:hAnsi="Times New Roman" w:cs="Times New Roman"/>
                <w:sz w:val="19"/>
                <w:szCs w:val="19"/>
                <w:lang w:val="en-US"/>
              </w:rPr>
            </w:pPr>
            <w:r>
              <w:rPr>
                <w:rFonts w:hint="eastAsia" w:ascii="Times New Roman" w:hAnsi="Times New Roman" w:cs="Times New Roman"/>
                <w:sz w:val="19"/>
                <w:szCs w:val="19"/>
                <w:lang w:val="en-US" w:eastAsia="zh-CN"/>
              </w:rPr>
              <w:t>0.165</w:t>
            </w:r>
          </w:p>
        </w:tc>
        <w:tc>
          <w:tcPr>
            <w:tcW w:w="1067" w:type="dxa"/>
            <w:vAlign w:val="bottom"/>
          </w:tcPr>
          <w:p w14:paraId="5F43BEC7">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0.198</w:t>
            </w:r>
          </w:p>
        </w:tc>
        <w:tc>
          <w:tcPr>
            <w:tcW w:w="702" w:type="dxa"/>
            <w:vAlign w:val="bottom"/>
          </w:tcPr>
          <w:p w14:paraId="4B45ED16">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114</w:t>
            </w:r>
          </w:p>
        </w:tc>
      </w:tr>
      <w:tr w14:paraId="4554E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16" w:type="dxa"/>
            <w:shd w:val="clear" w:color="auto" w:fill="auto"/>
            <w:vAlign w:val="bottom"/>
          </w:tcPr>
          <w:p w14:paraId="10EF72BF">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sz w:val="19"/>
                <w:szCs w:val="19"/>
                <w:lang w:val="en-US" w:eastAsia="zh-CN"/>
              </w:rPr>
            </w:pPr>
            <w:r>
              <w:rPr>
                <w:rFonts w:hint="eastAsia" w:ascii="Times New Roman" w:hAnsi="Times New Roman" w:eastAsia="Times New Roman" w:cs="Times New Roman"/>
                <w:sz w:val="19"/>
                <w:szCs w:val="19"/>
                <w:lang w:val="en-US" w:eastAsia="zh-CN"/>
              </w:rPr>
              <w:t>Periodic LIM alpha power</w:t>
            </w:r>
          </w:p>
        </w:tc>
        <w:tc>
          <w:tcPr>
            <w:tcW w:w="1348" w:type="dxa"/>
            <w:vAlign w:val="bottom"/>
          </w:tcPr>
          <w:p w14:paraId="795E7FDD">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−0.041</w:t>
            </w:r>
          </w:p>
        </w:tc>
        <w:tc>
          <w:tcPr>
            <w:tcW w:w="2528" w:type="dxa"/>
            <w:vAlign w:val="bottom"/>
          </w:tcPr>
          <w:p w14:paraId="686F7DCE">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−0.119 to 0.036</w:t>
            </w:r>
          </w:p>
        </w:tc>
        <w:tc>
          <w:tcPr>
            <w:tcW w:w="1033" w:type="dxa"/>
            <w:vAlign w:val="bottom"/>
          </w:tcPr>
          <w:p w14:paraId="5CC7E742">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0.291</w:t>
            </w:r>
          </w:p>
        </w:tc>
        <w:tc>
          <w:tcPr>
            <w:tcW w:w="1067" w:type="dxa"/>
            <w:vAlign w:val="bottom"/>
          </w:tcPr>
          <w:p w14:paraId="53EFC852">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0.291</w:t>
            </w:r>
          </w:p>
        </w:tc>
        <w:tc>
          <w:tcPr>
            <w:tcW w:w="702" w:type="dxa"/>
            <w:vAlign w:val="bottom"/>
          </w:tcPr>
          <w:p w14:paraId="2A0C96B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98</w:t>
            </w:r>
          </w:p>
        </w:tc>
      </w:tr>
      <w:tr w14:paraId="1ECE5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16" w:type="dxa"/>
            <w:vAlign w:val="bottom"/>
          </w:tcPr>
          <w:p w14:paraId="590CC43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Global aperiodic offset</w:t>
            </w:r>
          </w:p>
        </w:tc>
        <w:tc>
          <w:tcPr>
            <w:tcW w:w="1348" w:type="dxa"/>
            <w:vAlign w:val="bottom"/>
          </w:tcPr>
          <w:p w14:paraId="49DA5B0D">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−0.364</w:t>
            </w:r>
          </w:p>
        </w:tc>
        <w:tc>
          <w:tcPr>
            <w:tcW w:w="2528" w:type="dxa"/>
            <w:vAlign w:val="bottom"/>
          </w:tcPr>
          <w:p w14:paraId="5DDC477A">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−0.617 to −0.110</w:t>
            </w:r>
          </w:p>
        </w:tc>
        <w:tc>
          <w:tcPr>
            <w:tcW w:w="1033" w:type="dxa"/>
            <w:vAlign w:val="bottom"/>
          </w:tcPr>
          <w:p w14:paraId="5B9B25BE">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0.005</w:t>
            </w:r>
          </w:p>
        </w:tc>
        <w:tc>
          <w:tcPr>
            <w:tcW w:w="1067" w:type="dxa"/>
            <w:vAlign w:val="bottom"/>
          </w:tcPr>
          <w:p w14:paraId="1FD7EEDE">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0.010</w:t>
            </w:r>
          </w:p>
        </w:tc>
        <w:tc>
          <w:tcPr>
            <w:tcW w:w="702" w:type="dxa"/>
            <w:vAlign w:val="bottom"/>
          </w:tcPr>
          <w:p w14:paraId="16BAC47F">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120</w:t>
            </w:r>
          </w:p>
        </w:tc>
      </w:tr>
      <w:tr w14:paraId="4CF7B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16" w:type="dxa"/>
            <w:vAlign w:val="bottom"/>
          </w:tcPr>
          <w:p w14:paraId="02E060F9">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VIS–VIS alpha connectivity</w:t>
            </w:r>
          </w:p>
        </w:tc>
        <w:tc>
          <w:tcPr>
            <w:tcW w:w="1348" w:type="dxa"/>
            <w:vAlign w:val="bottom"/>
          </w:tcPr>
          <w:p w14:paraId="15874BF7">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−0.139</w:t>
            </w:r>
          </w:p>
        </w:tc>
        <w:tc>
          <w:tcPr>
            <w:tcW w:w="2528" w:type="dxa"/>
            <w:vAlign w:val="bottom"/>
          </w:tcPr>
          <w:p w14:paraId="1713486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−0.179 to −0.100</w:t>
            </w:r>
          </w:p>
        </w:tc>
        <w:tc>
          <w:tcPr>
            <w:tcW w:w="1033" w:type="dxa"/>
            <w:vAlign w:val="bottom"/>
          </w:tcPr>
          <w:p w14:paraId="4A71DB50">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default" w:ascii="Times New Roman" w:hAnsi="Times New Roman" w:cs="Times New Roman"/>
                <w:sz w:val="19"/>
                <w:szCs w:val="19"/>
                <w:lang w:val="en-US" w:eastAsia="zh-CN"/>
              </w:rPr>
            </w:pPr>
            <w:r>
              <w:rPr>
                <w:rFonts w:hint="eastAsia" w:ascii="Times New Roman" w:hAnsi="Times New Roman" w:cs="Times New Roman"/>
                <w:sz w:val="19"/>
                <w:szCs w:val="19"/>
                <w:lang w:val="en-US" w:eastAsia="zh-CN"/>
              </w:rPr>
              <w:t>&lt;0.001</w:t>
            </w:r>
          </w:p>
        </w:tc>
        <w:tc>
          <w:tcPr>
            <w:tcW w:w="1067" w:type="dxa"/>
            <w:vAlign w:val="bottom"/>
          </w:tcPr>
          <w:p w14:paraId="4A729E5E">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&lt;0.001</w:t>
            </w:r>
          </w:p>
        </w:tc>
        <w:tc>
          <w:tcPr>
            <w:tcW w:w="702" w:type="dxa"/>
            <w:vAlign w:val="bottom"/>
          </w:tcPr>
          <w:p w14:paraId="0F23CA40">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120</w:t>
            </w:r>
          </w:p>
        </w:tc>
      </w:tr>
      <w:tr w14:paraId="49E8C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16" w:type="dxa"/>
            <w:vAlign w:val="bottom"/>
          </w:tcPr>
          <w:p w14:paraId="1881887A">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Mean participation coefficient</w:t>
            </w:r>
          </w:p>
        </w:tc>
        <w:tc>
          <w:tcPr>
            <w:tcW w:w="1348" w:type="dxa"/>
            <w:vAlign w:val="bottom"/>
          </w:tcPr>
          <w:p w14:paraId="7D561050">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0.056</w:t>
            </w:r>
          </w:p>
        </w:tc>
        <w:tc>
          <w:tcPr>
            <w:tcW w:w="2528" w:type="dxa"/>
            <w:vAlign w:val="bottom"/>
          </w:tcPr>
          <w:p w14:paraId="2B7DE5BE">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0.025 to 0.087</w:t>
            </w:r>
          </w:p>
        </w:tc>
        <w:tc>
          <w:tcPr>
            <w:tcW w:w="1033" w:type="dxa"/>
            <w:vAlign w:val="bottom"/>
          </w:tcPr>
          <w:p w14:paraId="5A61D8A9">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default" w:ascii="Times New Roman" w:hAnsi="Times New Roman" w:cs="Times New Roman"/>
                <w:sz w:val="19"/>
                <w:szCs w:val="19"/>
                <w:lang w:val="en-US"/>
              </w:rPr>
            </w:pPr>
            <w:r>
              <w:rPr>
                <w:rFonts w:hint="eastAsia" w:ascii="Times New Roman" w:hAnsi="Times New Roman" w:cs="Times New Roman"/>
                <w:sz w:val="19"/>
                <w:szCs w:val="19"/>
                <w:lang w:val="en-US" w:eastAsia="zh-CN"/>
              </w:rPr>
              <w:t>&lt;0.001</w:t>
            </w:r>
          </w:p>
        </w:tc>
        <w:tc>
          <w:tcPr>
            <w:tcW w:w="1067" w:type="dxa"/>
            <w:vAlign w:val="bottom"/>
          </w:tcPr>
          <w:p w14:paraId="7B5069AC">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0.001</w:t>
            </w:r>
          </w:p>
        </w:tc>
        <w:tc>
          <w:tcPr>
            <w:tcW w:w="702" w:type="dxa"/>
            <w:vAlign w:val="bottom"/>
          </w:tcPr>
          <w:p w14:paraId="759D726F">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120</w:t>
            </w:r>
          </w:p>
        </w:tc>
      </w:tr>
      <w:tr w14:paraId="73C89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16" w:type="dxa"/>
            <w:vAlign w:val="bottom"/>
          </w:tcPr>
          <w:p w14:paraId="6000083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System segregation</w:t>
            </w:r>
          </w:p>
        </w:tc>
        <w:tc>
          <w:tcPr>
            <w:tcW w:w="1348" w:type="dxa"/>
            <w:vAlign w:val="bottom"/>
          </w:tcPr>
          <w:p w14:paraId="2F8038BB">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−0.023</w:t>
            </w:r>
          </w:p>
        </w:tc>
        <w:tc>
          <w:tcPr>
            <w:tcW w:w="2528" w:type="dxa"/>
            <w:vAlign w:val="bottom"/>
          </w:tcPr>
          <w:p w14:paraId="79B5E7C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−0.046 to −0.001</w:t>
            </w:r>
          </w:p>
        </w:tc>
        <w:tc>
          <w:tcPr>
            <w:tcW w:w="1033" w:type="dxa"/>
            <w:vAlign w:val="bottom"/>
          </w:tcPr>
          <w:p w14:paraId="6F7DDA89">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eastAsia="Times New Roman" w:cs="Times New Roman"/>
                <w:sz w:val="19"/>
                <w:szCs w:val="19"/>
                <w:lang w:val="en-US" w:eastAsia="zh-CN"/>
              </w:rPr>
              <w:t>0.043</w:t>
            </w:r>
          </w:p>
        </w:tc>
        <w:tc>
          <w:tcPr>
            <w:tcW w:w="1067" w:type="dxa"/>
            <w:vAlign w:val="bottom"/>
          </w:tcPr>
          <w:p w14:paraId="229CAA0C">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0.065</w:t>
            </w:r>
          </w:p>
        </w:tc>
        <w:tc>
          <w:tcPr>
            <w:tcW w:w="702" w:type="dxa"/>
            <w:vAlign w:val="bottom"/>
          </w:tcPr>
          <w:p w14:paraId="11FED29E">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rPr>
            </w:pPr>
            <w:r>
              <w:rPr>
                <w:rFonts w:hint="eastAsia" w:ascii="Times New Roman" w:hAnsi="Times New Roman" w:cs="Times New Roman"/>
                <w:sz w:val="19"/>
                <w:szCs w:val="19"/>
                <w:lang w:val="en-US" w:eastAsia="zh-CN"/>
              </w:rPr>
              <w:t>120</w:t>
            </w:r>
          </w:p>
        </w:tc>
      </w:tr>
    </w:tbl>
    <w:p w14:paraId="50078B8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eastAsia="Times New Roman" w:cs="Times New Roman"/>
          <w:sz w:val="22"/>
          <w:szCs w:val="21"/>
        </w:rPr>
      </w:pPr>
      <w:r>
        <w:rPr>
          <w:rFonts w:ascii="Times New Roman" w:hAnsi="Times New Roman" w:eastAsia="Times New Roman" w:cs="Times New Roman"/>
          <w:sz w:val="22"/>
          <w:szCs w:val="21"/>
        </w:rPr>
        <w:t>Multivariable linear regression models were adjusted for migraine disease duration and PHQ-9 and used HC3 heteroscedasticity-consistent standard errors. β represents the adjusted difference between the ≥4-MMD and &lt;4-MMD groups, with the &lt;4-MMD group as the reference. P values were corrected across the six EEG measures using the Benjamini–Hochberg false discovery rate procedure.</w:t>
      </w:r>
    </w:p>
    <w:p w14:paraId="4B7E5650">
      <w:pPr>
        <w:keepNext w:val="0"/>
        <w:keepLines/>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eastAsia="Times New Roman" w:cs="Times New Roman"/>
          <w:sz w:val="22"/>
          <w:szCs w:val="21"/>
        </w:rPr>
      </w:pPr>
      <w:r>
        <w:rPr>
          <w:rFonts w:ascii="Times New Roman" w:hAnsi="Times New Roman" w:eastAsia="Times New Roman" w:cs="Times New Roman"/>
          <w:sz w:val="22"/>
          <w:szCs w:val="21"/>
        </w:rPr>
        <w:t>CI, confidence interval; FDR, false discovery rate; MMDs, monthly migraine days; PHQ-9, 9-item Patient Health Questionnaire.</w:t>
      </w:r>
    </w:p>
    <w:p w14:paraId="53DD79D4">
      <w:pPr>
        <w:keepNext/>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eastAsiaTheme="minorEastAsia"/>
          <w:lang w:val="en-US" w:eastAsia="zh-CN"/>
        </w:rPr>
      </w:pPr>
      <w:r>
        <w:rPr>
          <w:rFonts w:hint="eastAsia" w:ascii="Times New Roman" w:hAnsi="Times New Roman" w:eastAsia="Times New Roman" w:cs="Times New Roman"/>
          <w:b/>
          <w:sz w:val="22"/>
          <w:szCs w:val="21"/>
        </w:rPr>
        <w:t>Supplementary Table S7. Performance of the clinical, EEG, and combined models in the sensitivity analysis.</w:t>
      </w:r>
    </w:p>
    <w:tbl>
      <w:tblPr>
        <w:tblStyle w:val="15"/>
        <w:tblW w:w="9822" w:type="dxa"/>
        <w:tblInd w:w="-1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411"/>
        <w:gridCol w:w="1411"/>
        <w:gridCol w:w="1411"/>
        <w:gridCol w:w="1411"/>
        <w:gridCol w:w="1411"/>
        <w:gridCol w:w="1411"/>
      </w:tblGrid>
      <w:tr w14:paraId="4C96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356" w:type="dxa"/>
            <w:vMerge w:val="restart"/>
            <w:tcBorders>
              <w:top w:val="single" w:color="auto" w:sz="4" w:space="0"/>
              <w:left w:val="nil"/>
              <w:bottom w:val="nil"/>
              <w:right w:val="nil"/>
            </w:tcBorders>
          </w:tcPr>
          <w:p w14:paraId="33524D07">
            <w:pPr>
              <w:keepNext w:val="0"/>
              <w:keepLines w:val="0"/>
              <w:pageBreakBefore w:val="0"/>
              <w:widowControl w:val="0"/>
              <w:kinsoku/>
              <w:wordWrap/>
              <w:overflowPunct/>
              <w:topLinePunct w:val="0"/>
              <w:autoSpaceDE/>
              <w:autoSpaceDN/>
              <w:bidi w:val="0"/>
              <w:adjustRightInd w:val="0"/>
              <w:snapToGrid w:val="0"/>
              <w:spacing w:line="480" w:lineRule="auto"/>
              <w:jc w:val="left"/>
              <w:textAlignment w:val="auto"/>
              <w:rPr>
                <w:rFonts w:ascii="Times New Roman" w:hAnsi="Times New Roman" w:cs="Times New Roman"/>
                <w:b/>
                <w:bCs/>
                <w:sz w:val="18"/>
                <w:szCs w:val="18"/>
              </w:rPr>
            </w:pPr>
            <w:r>
              <w:rPr>
                <w:rFonts w:hint="eastAsia" w:ascii="Times New Roman" w:hAnsi="Times New Roman" w:cs="Times New Roman"/>
                <w:b/>
                <w:bCs/>
                <w:sz w:val="18"/>
                <w:szCs w:val="18"/>
              </w:rPr>
              <w:t>Performance metric</w:t>
            </w:r>
          </w:p>
        </w:tc>
        <w:tc>
          <w:tcPr>
            <w:tcW w:w="2822" w:type="dxa"/>
            <w:gridSpan w:val="2"/>
            <w:tcBorders>
              <w:top w:val="single" w:color="auto" w:sz="4" w:space="0"/>
              <w:left w:val="nil"/>
              <w:bottom w:val="nil"/>
              <w:right w:val="nil"/>
            </w:tcBorders>
          </w:tcPr>
          <w:p w14:paraId="46311545">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b/>
                <w:bCs/>
                <w:sz w:val="18"/>
                <w:szCs w:val="18"/>
              </w:rPr>
            </w:pPr>
            <w:r>
              <w:rPr>
                <w:rFonts w:hint="eastAsia" w:ascii="Times New Roman" w:hAnsi="Times New Roman" w:cs="Times New Roman"/>
                <w:b/>
                <w:bCs/>
                <w:sz w:val="18"/>
                <w:szCs w:val="18"/>
              </w:rPr>
              <w:t>Clinical model</w:t>
            </w:r>
          </w:p>
        </w:tc>
        <w:tc>
          <w:tcPr>
            <w:tcW w:w="2822" w:type="dxa"/>
            <w:gridSpan w:val="2"/>
            <w:tcBorders>
              <w:top w:val="single" w:color="auto" w:sz="4" w:space="0"/>
              <w:left w:val="nil"/>
              <w:bottom w:val="nil"/>
              <w:right w:val="nil"/>
            </w:tcBorders>
          </w:tcPr>
          <w:p w14:paraId="790E99FE">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b/>
                <w:bCs/>
                <w:sz w:val="18"/>
                <w:szCs w:val="18"/>
              </w:rPr>
            </w:pPr>
            <w:r>
              <w:rPr>
                <w:rFonts w:ascii="Times New Roman" w:hAnsi="Times New Roman" w:cs="Times New Roman"/>
                <w:b/>
                <w:bCs/>
                <w:sz w:val="18"/>
                <w:szCs w:val="18"/>
              </w:rPr>
              <w:t>EEG model</w:t>
            </w:r>
          </w:p>
        </w:tc>
        <w:tc>
          <w:tcPr>
            <w:tcW w:w="2822" w:type="dxa"/>
            <w:gridSpan w:val="2"/>
            <w:tcBorders>
              <w:top w:val="single" w:color="auto" w:sz="4" w:space="0"/>
              <w:left w:val="nil"/>
              <w:bottom w:val="nil"/>
              <w:right w:val="nil"/>
            </w:tcBorders>
          </w:tcPr>
          <w:p w14:paraId="77BABE1C">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b/>
                <w:bCs/>
                <w:sz w:val="18"/>
                <w:szCs w:val="18"/>
              </w:rPr>
            </w:pPr>
            <w:r>
              <w:rPr>
                <w:rFonts w:ascii="Times New Roman" w:hAnsi="Times New Roman" w:cs="Times New Roman"/>
                <w:b/>
                <w:bCs/>
                <w:sz w:val="18"/>
                <w:szCs w:val="18"/>
              </w:rPr>
              <w:t>Combined model</w:t>
            </w:r>
          </w:p>
        </w:tc>
      </w:tr>
      <w:tr w14:paraId="61638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356" w:type="dxa"/>
            <w:vMerge w:val="continue"/>
            <w:tcBorders>
              <w:top w:val="nil"/>
              <w:left w:val="nil"/>
              <w:bottom w:val="single" w:color="auto" w:sz="4" w:space="0"/>
              <w:right w:val="nil"/>
            </w:tcBorders>
          </w:tcPr>
          <w:p w14:paraId="495F0175">
            <w:pPr>
              <w:keepNext w:val="0"/>
              <w:keepLines w:val="0"/>
              <w:pageBreakBefore w:val="0"/>
              <w:widowControl w:val="0"/>
              <w:kinsoku/>
              <w:wordWrap/>
              <w:overflowPunct/>
              <w:topLinePunct w:val="0"/>
              <w:autoSpaceDE/>
              <w:autoSpaceDN/>
              <w:bidi w:val="0"/>
              <w:adjustRightInd w:val="0"/>
              <w:snapToGrid w:val="0"/>
              <w:spacing w:line="480" w:lineRule="auto"/>
              <w:jc w:val="left"/>
              <w:textAlignment w:val="auto"/>
              <w:rPr>
                <w:rFonts w:ascii="Times New Roman" w:hAnsi="Times New Roman" w:cs="Times New Roman"/>
                <w:b w:val="0"/>
                <w:bCs w:val="0"/>
                <w:sz w:val="18"/>
                <w:szCs w:val="18"/>
              </w:rPr>
            </w:pPr>
          </w:p>
        </w:tc>
        <w:tc>
          <w:tcPr>
            <w:tcW w:w="1411" w:type="dxa"/>
            <w:tcBorders>
              <w:top w:val="nil"/>
              <w:left w:val="nil"/>
              <w:bottom w:val="single" w:color="auto" w:sz="4" w:space="0"/>
              <w:right w:val="nil"/>
            </w:tcBorders>
          </w:tcPr>
          <w:p w14:paraId="104504B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b w:val="0"/>
                <w:bCs w:val="0"/>
                <w:sz w:val="18"/>
                <w:szCs w:val="18"/>
              </w:rPr>
            </w:pPr>
            <w:r>
              <w:rPr>
                <w:rFonts w:ascii="Times New Roman" w:hAnsi="Times New Roman" w:cs="Times New Roman"/>
                <w:b w:val="0"/>
                <w:bCs w:val="0"/>
                <w:sz w:val="18"/>
                <w:szCs w:val="18"/>
              </w:rPr>
              <w:t>Development</w:t>
            </w:r>
          </w:p>
        </w:tc>
        <w:tc>
          <w:tcPr>
            <w:tcW w:w="1411" w:type="dxa"/>
            <w:tcBorders>
              <w:top w:val="nil"/>
              <w:left w:val="nil"/>
              <w:bottom w:val="single" w:color="auto" w:sz="4" w:space="0"/>
              <w:right w:val="nil"/>
            </w:tcBorders>
          </w:tcPr>
          <w:p w14:paraId="121FF4FF">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b w:val="0"/>
                <w:bCs w:val="0"/>
                <w:sz w:val="18"/>
                <w:szCs w:val="18"/>
              </w:rPr>
            </w:pPr>
            <w:r>
              <w:rPr>
                <w:rFonts w:ascii="Times New Roman" w:hAnsi="Times New Roman" w:cs="Times New Roman"/>
                <w:b w:val="0"/>
                <w:bCs w:val="0"/>
                <w:sz w:val="18"/>
                <w:szCs w:val="18"/>
              </w:rPr>
              <w:t>Validation</w:t>
            </w:r>
          </w:p>
        </w:tc>
        <w:tc>
          <w:tcPr>
            <w:tcW w:w="1411" w:type="dxa"/>
            <w:tcBorders>
              <w:top w:val="nil"/>
              <w:left w:val="nil"/>
              <w:bottom w:val="single" w:color="auto" w:sz="4" w:space="0"/>
              <w:right w:val="nil"/>
            </w:tcBorders>
          </w:tcPr>
          <w:p w14:paraId="091F0A36">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b w:val="0"/>
                <w:bCs w:val="0"/>
                <w:sz w:val="18"/>
                <w:szCs w:val="18"/>
              </w:rPr>
            </w:pPr>
            <w:r>
              <w:rPr>
                <w:rFonts w:ascii="Times New Roman" w:hAnsi="Times New Roman" w:cs="Times New Roman"/>
                <w:b w:val="0"/>
                <w:bCs w:val="0"/>
                <w:sz w:val="18"/>
                <w:szCs w:val="18"/>
              </w:rPr>
              <w:t>Development</w:t>
            </w:r>
          </w:p>
        </w:tc>
        <w:tc>
          <w:tcPr>
            <w:tcW w:w="1411" w:type="dxa"/>
            <w:tcBorders>
              <w:top w:val="nil"/>
              <w:left w:val="nil"/>
              <w:bottom w:val="single" w:color="auto" w:sz="4" w:space="0"/>
              <w:right w:val="nil"/>
            </w:tcBorders>
          </w:tcPr>
          <w:p w14:paraId="3EE299FB">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b w:val="0"/>
                <w:bCs w:val="0"/>
                <w:sz w:val="18"/>
                <w:szCs w:val="18"/>
              </w:rPr>
            </w:pPr>
            <w:r>
              <w:rPr>
                <w:rFonts w:ascii="Times New Roman" w:hAnsi="Times New Roman" w:cs="Times New Roman"/>
                <w:b w:val="0"/>
                <w:bCs w:val="0"/>
                <w:sz w:val="18"/>
                <w:szCs w:val="18"/>
              </w:rPr>
              <w:t>Validation</w:t>
            </w:r>
          </w:p>
        </w:tc>
        <w:tc>
          <w:tcPr>
            <w:tcW w:w="1411" w:type="dxa"/>
            <w:tcBorders>
              <w:top w:val="nil"/>
              <w:left w:val="nil"/>
              <w:bottom w:val="single" w:color="auto" w:sz="4" w:space="0"/>
              <w:right w:val="nil"/>
            </w:tcBorders>
          </w:tcPr>
          <w:p w14:paraId="779C05C4">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b w:val="0"/>
                <w:bCs w:val="0"/>
                <w:sz w:val="18"/>
                <w:szCs w:val="18"/>
              </w:rPr>
            </w:pPr>
            <w:r>
              <w:rPr>
                <w:rFonts w:ascii="Times New Roman" w:hAnsi="Times New Roman" w:cs="Times New Roman"/>
                <w:b w:val="0"/>
                <w:bCs w:val="0"/>
                <w:sz w:val="18"/>
                <w:szCs w:val="18"/>
              </w:rPr>
              <w:t>Development</w:t>
            </w:r>
          </w:p>
        </w:tc>
        <w:tc>
          <w:tcPr>
            <w:tcW w:w="1411" w:type="dxa"/>
            <w:tcBorders>
              <w:top w:val="nil"/>
              <w:left w:val="nil"/>
              <w:bottom w:val="single" w:color="auto" w:sz="4" w:space="0"/>
              <w:right w:val="nil"/>
            </w:tcBorders>
          </w:tcPr>
          <w:p w14:paraId="099F2459">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b w:val="0"/>
                <w:bCs w:val="0"/>
                <w:sz w:val="18"/>
                <w:szCs w:val="18"/>
              </w:rPr>
            </w:pPr>
            <w:r>
              <w:rPr>
                <w:rFonts w:ascii="Times New Roman" w:hAnsi="Times New Roman" w:cs="Times New Roman"/>
                <w:b w:val="0"/>
                <w:bCs w:val="0"/>
                <w:sz w:val="18"/>
                <w:szCs w:val="18"/>
              </w:rPr>
              <w:t>Validation</w:t>
            </w:r>
          </w:p>
        </w:tc>
      </w:tr>
      <w:tr w14:paraId="68E87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56" w:type="dxa"/>
            <w:tcBorders>
              <w:top w:val="single" w:color="auto" w:sz="4" w:space="0"/>
              <w:left w:val="nil"/>
              <w:bottom w:val="nil"/>
              <w:right w:val="nil"/>
            </w:tcBorders>
            <w:vAlign w:val="center"/>
          </w:tcPr>
          <w:p w14:paraId="012F5C81">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AUROC (95% CI)</w:t>
            </w:r>
          </w:p>
        </w:tc>
        <w:tc>
          <w:tcPr>
            <w:tcW w:w="1411" w:type="dxa"/>
            <w:tcBorders>
              <w:top w:val="single" w:color="auto" w:sz="4" w:space="0"/>
              <w:left w:val="nil"/>
              <w:bottom w:val="nil"/>
              <w:right w:val="nil"/>
            </w:tcBorders>
            <w:vAlign w:val="center"/>
          </w:tcPr>
          <w:p w14:paraId="58B83819">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0.707 (0.611–0.804)</w:t>
            </w:r>
          </w:p>
        </w:tc>
        <w:tc>
          <w:tcPr>
            <w:tcW w:w="1411" w:type="dxa"/>
            <w:tcBorders>
              <w:top w:val="single" w:color="auto" w:sz="4" w:space="0"/>
              <w:left w:val="nil"/>
              <w:bottom w:val="nil"/>
              <w:right w:val="nil"/>
            </w:tcBorders>
            <w:vAlign w:val="center"/>
          </w:tcPr>
          <w:p w14:paraId="450F7719">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0.772 (0.663–0.880)</w:t>
            </w:r>
          </w:p>
        </w:tc>
        <w:tc>
          <w:tcPr>
            <w:tcW w:w="1411" w:type="dxa"/>
            <w:tcBorders>
              <w:top w:val="single" w:color="auto" w:sz="4" w:space="0"/>
              <w:left w:val="nil"/>
              <w:bottom w:val="nil"/>
              <w:right w:val="nil"/>
            </w:tcBorders>
            <w:vAlign w:val="center"/>
          </w:tcPr>
          <w:p w14:paraId="4EE1FB07">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0.809 (0.731–0.887)</w:t>
            </w:r>
          </w:p>
        </w:tc>
        <w:tc>
          <w:tcPr>
            <w:tcW w:w="1411" w:type="dxa"/>
            <w:tcBorders>
              <w:top w:val="single" w:color="auto" w:sz="4" w:space="0"/>
              <w:left w:val="nil"/>
              <w:bottom w:val="nil"/>
              <w:right w:val="nil"/>
            </w:tcBorders>
            <w:vAlign w:val="center"/>
          </w:tcPr>
          <w:p w14:paraId="3D6A3CEA">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0.751 (0.648–0.853)</w:t>
            </w:r>
          </w:p>
        </w:tc>
        <w:tc>
          <w:tcPr>
            <w:tcW w:w="1411" w:type="dxa"/>
            <w:tcBorders>
              <w:top w:val="single" w:color="auto" w:sz="4" w:space="0"/>
              <w:left w:val="nil"/>
              <w:bottom w:val="nil"/>
              <w:right w:val="nil"/>
            </w:tcBorders>
            <w:vAlign w:val="center"/>
          </w:tcPr>
          <w:p w14:paraId="73E4CA1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0.828 (0.756–0.900)</w:t>
            </w:r>
          </w:p>
        </w:tc>
        <w:tc>
          <w:tcPr>
            <w:tcW w:w="1411" w:type="dxa"/>
            <w:tcBorders>
              <w:top w:val="single" w:color="auto" w:sz="4" w:space="0"/>
              <w:left w:val="nil"/>
              <w:bottom w:val="nil"/>
              <w:right w:val="nil"/>
            </w:tcBorders>
            <w:vAlign w:val="center"/>
          </w:tcPr>
          <w:p w14:paraId="624C72F9">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0.799 (0.701–0.896)</w:t>
            </w:r>
          </w:p>
        </w:tc>
      </w:tr>
      <w:tr w14:paraId="1F17D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56" w:type="dxa"/>
            <w:tcBorders>
              <w:top w:val="nil"/>
              <w:left w:val="nil"/>
              <w:bottom w:val="nil"/>
              <w:right w:val="nil"/>
            </w:tcBorders>
            <w:vAlign w:val="center"/>
          </w:tcPr>
          <w:p w14:paraId="564185F9">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AUPRC</w:t>
            </w:r>
          </w:p>
        </w:tc>
        <w:tc>
          <w:tcPr>
            <w:tcW w:w="1411" w:type="dxa"/>
            <w:tcBorders>
              <w:top w:val="nil"/>
              <w:left w:val="nil"/>
              <w:bottom w:val="nil"/>
              <w:right w:val="nil"/>
            </w:tcBorders>
            <w:vAlign w:val="center"/>
          </w:tcPr>
          <w:p w14:paraId="2667EFA6">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0.596</w:t>
            </w:r>
          </w:p>
        </w:tc>
        <w:tc>
          <w:tcPr>
            <w:tcW w:w="1411" w:type="dxa"/>
            <w:tcBorders>
              <w:top w:val="nil"/>
              <w:left w:val="nil"/>
              <w:bottom w:val="nil"/>
              <w:right w:val="nil"/>
            </w:tcBorders>
            <w:vAlign w:val="center"/>
          </w:tcPr>
          <w:p w14:paraId="51ED2D1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0.744</w:t>
            </w:r>
          </w:p>
        </w:tc>
        <w:tc>
          <w:tcPr>
            <w:tcW w:w="1411" w:type="dxa"/>
            <w:tcBorders>
              <w:top w:val="nil"/>
              <w:left w:val="nil"/>
              <w:bottom w:val="nil"/>
              <w:right w:val="nil"/>
            </w:tcBorders>
            <w:vAlign w:val="center"/>
          </w:tcPr>
          <w:p w14:paraId="2F0F5F96">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0.768</w:t>
            </w:r>
          </w:p>
        </w:tc>
        <w:tc>
          <w:tcPr>
            <w:tcW w:w="1411" w:type="dxa"/>
            <w:tcBorders>
              <w:top w:val="nil"/>
              <w:left w:val="nil"/>
              <w:bottom w:val="nil"/>
              <w:right w:val="nil"/>
            </w:tcBorders>
            <w:vAlign w:val="center"/>
          </w:tcPr>
          <w:p w14:paraId="1CA8559C">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0.686</w:t>
            </w:r>
          </w:p>
        </w:tc>
        <w:tc>
          <w:tcPr>
            <w:tcW w:w="1411" w:type="dxa"/>
            <w:tcBorders>
              <w:top w:val="nil"/>
              <w:left w:val="nil"/>
              <w:bottom w:val="nil"/>
              <w:right w:val="nil"/>
            </w:tcBorders>
            <w:vAlign w:val="center"/>
          </w:tcPr>
          <w:p w14:paraId="14350041">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0.765</w:t>
            </w:r>
          </w:p>
        </w:tc>
        <w:tc>
          <w:tcPr>
            <w:tcW w:w="1411" w:type="dxa"/>
            <w:tcBorders>
              <w:top w:val="nil"/>
              <w:left w:val="nil"/>
              <w:bottom w:val="nil"/>
              <w:right w:val="nil"/>
            </w:tcBorders>
            <w:vAlign w:val="center"/>
          </w:tcPr>
          <w:p w14:paraId="2F19FF1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0.786</w:t>
            </w:r>
          </w:p>
        </w:tc>
      </w:tr>
      <w:tr w14:paraId="342DF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56" w:type="dxa"/>
            <w:tcBorders>
              <w:top w:val="nil"/>
              <w:left w:val="nil"/>
              <w:bottom w:val="nil"/>
              <w:right w:val="nil"/>
            </w:tcBorders>
            <w:vAlign w:val="center"/>
          </w:tcPr>
          <w:p w14:paraId="23900D7A">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Brier score</w:t>
            </w:r>
          </w:p>
        </w:tc>
        <w:tc>
          <w:tcPr>
            <w:tcW w:w="1411" w:type="dxa"/>
            <w:tcBorders>
              <w:top w:val="nil"/>
              <w:left w:val="nil"/>
              <w:bottom w:val="nil"/>
              <w:right w:val="nil"/>
            </w:tcBorders>
            <w:vAlign w:val="center"/>
          </w:tcPr>
          <w:p w14:paraId="46488B3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0.209</w:t>
            </w:r>
          </w:p>
        </w:tc>
        <w:tc>
          <w:tcPr>
            <w:tcW w:w="1411" w:type="dxa"/>
            <w:tcBorders>
              <w:top w:val="nil"/>
              <w:left w:val="nil"/>
              <w:bottom w:val="nil"/>
              <w:right w:val="nil"/>
            </w:tcBorders>
            <w:vAlign w:val="center"/>
          </w:tcPr>
          <w:p w14:paraId="53D42C3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0.187</w:t>
            </w:r>
          </w:p>
        </w:tc>
        <w:tc>
          <w:tcPr>
            <w:tcW w:w="1411" w:type="dxa"/>
            <w:tcBorders>
              <w:top w:val="nil"/>
              <w:left w:val="nil"/>
              <w:bottom w:val="nil"/>
              <w:right w:val="nil"/>
            </w:tcBorders>
            <w:vAlign w:val="center"/>
          </w:tcPr>
          <w:p w14:paraId="312BB791">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0.188</w:t>
            </w:r>
          </w:p>
        </w:tc>
        <w:tc>
          <w:tcPr>
            <w:tcW w:w="1411" w:type="dxa"/>
            <w:tcBorders>
              <w:top w:val="nil"/>
              <w:left w:val="nil"/>
              <w:bottom w:val="nil"/>
              <w:right w:val="nil"/>
            </w:tcBorders>
            <w:vAlign w:val="center"/>
          </w:tcPr>
          <w:p w14:paraId="7763A8C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0.212</w:t>
            </w:r>
          </w:p>
        </w:tc>
        <w:tc>
          <w:tcPr>
            <w:tcW w:w="1411" w:type="dxa"/>
            <w:tcBorders>
              <w:top w:val="nil"/>
              <w:left w:val="nil"/>
              <w:bottom w:val="nil"/>
              <w:right w:val="nil"/>
            </w:tcBorders>
            <w:vAlign w:val="center"/>
          </w:tcPr>
          <w:p w14:paraId="2FF79C66">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0.160</w:t>
            </w:r>
          </w:p>
        </w:tc>
        <w:tc>
          <w:tcPr>
            <w:tcW w:w="1411" w:type="dxa"/>
            <w:tcBorders>
              <w:top w:val="nil"/>
              <w:left w:val="nil"/>
              <w:bottom w:val="nil"/>
              <w:right w:val="nil"/>
            </w:tcBorders>
            <w:vAlign w:val="center"/>
          </w:tcPr>
          <w:p w14:paraId="5CDED7D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0.183</w:t>
            </w:r>
          </w:p>
        </w:tc>
      </w:tr>
      <w:tr w14:paraId="32D3E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56" w:type="dxa"/>
            <w:tcBorders>
              <w:top w:val="nil"/>
              <w:left w:val="nil"/>
              <w:bottom w:val="nil"/>
              <w:right w:val="nil"/>
            </w:tcBorders>
            <w:vAlign w:val="center"/>
          </w:tcPr>
          <w:p w14:paraId="0E5207C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Calibration intercept (95% CI)</w:t>
            </w:r>
          </w:p>
        </w:tc>
        <w:tc>
          <w:tcPr>
            <w:tcW w:w="1411" w:type="dxa"/>
            <w:tcBorders>
              <w:top w:val="nil"/>
              <w:left w:val="nil"/>
              <w:bottom w:val="nil"/>
              <w:right w:val="nil"/>
            </w:tcBorders>
            <w:vAlign w:val="center"/>
          </w:tcPr>
          <w:p w14:paraId="411B845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0.027 (−0.361–0.405)</w:t>
            </w:r>
          </w:p>
        </w:tc>
        <w:tc>
          <w:tcPr>
            <w:tcW w:w="1411" w:type="dxa"/>
            <w:tcBorders>
              <w:top w:val="nil"/>
              <w:left w:val="nil"/>
              <w:bottom w:val="nil"/>
              <w:right w:val="nil"/>
            </w:tcBorders>
            <w:vAlign w:val="center"/>
          </w:tcPr>
          <w:p w14:paraId="2982C53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0.109 (−0.361–0.566)</w:t>
            </w:r>
          </w:p>
        </w:tc>
        <w:tc>
          <w:tcPr>
            <w:tcW w:w="1411" w:type="dxa"/>
            <w:tcBorders>
              <w:top w:val="nil"/>
              <w:left w:val="nil"/>
              <w:bottom w:val="nil"/>
              <w:right w:val="nil"/>
            </w:tcBorders>
            <w:vAlign w:val="center"/>
          </w:tcPr>
          <w:p w14:paraId="6E080BB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0.001 (−0.383–0.375)</w:t>
            </w:r>
          </w:p>
        </w:tc>
        <w:tc>
          <w:tcPr>
            <w:tcW w:w="1411" w:type="dxa"/>
            <w:tcBorders>
              <w:top w:val="nil"/>
              <w:left w:val="nil"/>
              <w:bottom w:val="nil"/>
              <w:right w:val="nil"/>
            </w:tcBorders>
            <w:vAlign w:val="center"/>
          </w:tcPr>
          <w:p w14:paraId="318E234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0.273 (−0.175–0.708)</w:t>
            </w:r>
          </w:p>
        </w:tc>
        <w:tc>
          <w:tcPr>
            <w:tcW w:w="1411" w:type="dxa"/>
            <w:tcBorders>
              <w:top w:val="nil"/>
              <w:left w:val="nil"/>
              <w:bottom w:val="nil"/>
              <w:right w:val="nil"/>
            </w:tcBorders>
            <w:vAlign w:val="center"/>
          </w:tcPr>
          <w:p w14:paraId="4D459E67">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0.006 (−0.414–0.415)</w:t>
            </w:r>
          </w:p>
        </w:tc>
        <w:tc>
          <w:tcPr>
            <w:tcW w:w="1411" w:type="dxa"/>
            <w:tcBorders>
              <w:top w:val="nil"/>
              <w:left w:val="nil"/>
              <w:bottom w:val="nil"/>
              <w:right w:val="nil"/>
            </w:tcBorders>
            <w:vAlign w:val="center"/>
          </w:tcPr>
          <w:p w14:paraId="38D24A3A">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1.044 (0.467–1.615)</w:t>
            </w:r>
          </w:p>
        </w:tc>
      </w:tr>
      <w:tr w14:paraId="33F37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56" w:type="dxa"/>
            <w:tcBorders>
              <w:top w:val="nil"/>
              <w:left w:val="nil"/>
              <w:bottom w:val="nil"/>
              <w:right w:val="nil"/>
            </w:tcBorders>
            <w:vAlign w:val="center"/>
          </w:tcPr>
          <w:p w14:paraId="60E39D1C">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Calibration slope (95% CI)</w:t>
            </w:r>
          </w:p>
        </w:tc>
        <w:tc>
          <w:tcPr>
            <w:tcW w:w="1411" w:type="dxa"/>
            <w:tcBorders>
              <w:top w:val="nil"/>
              <w:left w:val="nil"/>
              <w:bottom w:val="nil"/>
              <w:right w:val="nil"/>
            </w:tcBorders>
            <w:vAlign w:val="center"/>
          </w:tcPr>
          <w:p w14:paraId="3949F307">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1.331 (0.620–2.130)</w:t>
            </w:r>
          </w:p>
        </w:tc>
        <w:tc>
          <w:tcPr>
            <w:tcW w:w="1411" w:type="dxa"/>
            <w:tcBorders>
              <w:top w:val="nil"/>
              <w:left w:val="nil"/>
              <w:bottom w:val="nil"/>
              <w:right w:val="nil"/>
            </w:tcBorders>
            <w:vAlign w:val="center"/>
          </w:tcPr>
          <w:p w14:paraId="0BC38ED9">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1.512 (0.815–2.340)</w:t>
            </w:r>
          </w:p>
        </w:tc>
        <w:tc>
          <w:tcPr>
            <w:tcW w:w="1411" w:type="dxa"/>
            <w:tcBorders>
              <w:top w:val="nil"/>
              <w:left w:val="nil"/>
              <w:bottom w:val="nil"/>
              <w:right w:val="nil"/>
            </w:tcBorders>
            <w:vAlign w:val="center"/>
          </w:tcPr>
          <w:p w14:paraId="7E28038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3.517 (2.225–5.129)</w:t>
            </w:r>
          </w:p>
        </w:tc>
        <w:tc>
          <w:tcPr>
            <w:tcW w:w="1411" w:type="dxa"/>
            <w:tcBorders>
              <w:top w:val="nil"/>
              <w:left w:val="nil"/>
              <w:bottom w:val="nil"/>
              <w:right w:val="nil"/>
            </w:tcBorders>
            <w:vAlign w:val="center"/>
          </w:tcPr>
          <w:p w14:paraId="1C855D3A">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2.939 (1.512–4.689)</w:t>
            </w:r>
          </w:p>
        </w:tc>
        <w:tc>
          <w:tcPr>
            <w:tcW w:w="1411" w:type="dxa"/>
            <w:tcBorders>
              <w:top w:val="nil"/>
              <w:left w:val="nil"/>
              <w:bottom w:val="nil"/>
              <w:right w:val="nil"/>
            </w:tcBorders>
            <w:vAlign w:val="center"/>
          </w:tcPr>
          <w:p w14:paraId="4B2E260A">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1.545 (1.007–2.212)</w:t>
            </w:r>
          </w:p>
        </w:tc>
        <w:tc>
          <w:tcPr>
            <w:tcW w:w="1411" w:type="dxa"/>
            <w:tcBorders>
              <w:top w:val="nil"/>
              <w:left w:val="nil"/>
              <w:bottom w:val="nil"/>
              <w:right w:val="nil"/>
            </w:tcBorders>
            <w:vAlign w:val="center"/>
          </w:tcPr>
          <w:p w14:paraId="643882C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0.617 (0.350–0.956)</w:t>
            </w:r>
          </w:p>
        </w:tc>
      </w:tr>
      <w:tr w14:paraId="53E4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56" w:type="dxa"/>
            <w:tcBorders>
              <w:top w:val="nil"/>
              <w:left w:val="nil"/>
              <w:bottom w:val="nil"/>
              <w:right w:val="nil"/>
            </w:tcBorders>
            <w:vAlign w:val="center"/>
          </w:tcPr>
          <w:p w14:paraId="04A44EA7">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Threshold</w:t>
            </w:r>
          </w:p>
        </w:tc>
        <w:tc>
          <w:tcPr>
            <w:tcW w:w="1411" w:type="dxa"/>
            <w:tcBorders>
              <w:top w:val="nil"/>
              <w:left w:val="nil"/>
              <w:bottom w:val="nil"/>
              <w:right w:val="nil"/>
            </w:tcBorders>
            <w:vAlign w:val="center"/>
          </w:tcPr>
          <w:p w14:paraId="4B76E1C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0.363</w:t>
            </w:r>
          </w:p>
        </w:tc>
        <w:tc>
          <w:tcPr>
            <w:tcW w:w="1411" w:type="dxa"/>
            <w:tcBorders>
              <w:top w:val="nil"/>
              <w:left w:val="nil"/>
              <w:bottom w:val="nil"/>
              <w:right w:val="nil"/>
            </w:tcBorders>
            <w:vAlign w:val="center"/>
          </w:tcPr>
          <w:p w14:paraId="7F4E773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0.363</w:t>
            </w:r>
          </w:p>
        </w:tc>
        <w:tc>
          <w:tcPr>
            <w:tcW w:w="1411" w:type="dxa"/>
            <w:tcBorders>
              <w:top w:val="nil"/>
              <w:left w:val="nil"/>
              <w:bottom w:val="nil"/>
              <w:right w:val="nil"/>
            </w:tcBorders>
            <w:vAlign w:val="center"/>
          </w:tcPr>
          <w:p w14:paraId="0D44BC9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0.347</w:t>
            </w:r>
          </w:p>
        </w:tc>
        <w:tc>
          <w:tcPr>
            <w:tcW w:w="1411" w:type="dxa"/>
            <w:tcBorders>
              <w:top w:val="nil"/>
              <w:left w:val="nil"/>
              <w:bottom w:val="nil"/>
              <w:right w:val="nil"/>
            </w:tcBorders>
            <w:vAlign w:val="center"/>
          </w:tcPr>
          <w:p w14:paraId="1B33DF7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0.347</w:t>
            </w:r>
          </w:p>
        </w:tc>
        <w:tc>
          <w:tcPr>
            <w:tcW w:w="1411" w:type="dxa"/>
            <w:tcBorders>
              <w:top w:val="nil"/>
              <w:left w:val="nil"/>
              <w:bottom w:val="nil"/>
              <w:right w:val="nil"/>
            </w:tcBorders>
            <w:vAlign w:val="center"/>
          </w:tcPr>
          <w:p w14:paraId="0DCE359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0.309</w:t>
            </w:r>
          </w:p>
        </w:tc>
        <w:tc>
          <w:tcPr>
            <w:tcW w:w="1411" w:type="dxa"/>
            <w:tcBorders>
              <w:top w:val="nil"/>
              <w:left w:val="nil"/>
              <w:bottom w:val="nil"/>
              <w:right w:val="nil"/>
            </w:tcBorders>
            <w:vAlign w:val="center"/>
          </w:tcPr>
          <w:p w14:paraId="29EED55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0.309</w:t>
            </w:r>
          </w:p>
        </w:tc>
      </w:tr>
      <w:tr w14:paraId="4BB9C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56" w:type="dxa"/>
            <w:tcBorders>
              <w:top w:val="nil"/>
              <w:left w:val="nil"/>
              <w:bottom w:val="nil"/>
              <w:right w:val="nil"/>
            </w:tcBorders>
            <w:vAlign w:val="center"/>
          </w:tcPr>
          <w:p w14:paraId="4A647A6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Balanced accuracy</w:t>
            </w:r>
          </w:p>
        </w:tc>
        <w:tc>
          <w:tcPr>
            <w:tcW w:w="1411" w:type="dxa"/>
            <w:tcBorders>
              <w:top w:val="nil"/>
              <w:left w:val="nil"/>
              <w:bottom w:val="nil"/>
              <w:right w:val="nil"/>
            </w:tcBorders>
            <w:vAlign w:val="center"/>
          </w:tcPr>
          <w:p w14:paraId="1B60662C">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0.678</w:t>
            </w:r>
          </w:p>
        </w:tc>
        <w:tc>
          <w:tcPr>
            <w:tcW w:w="1411" w:type="dxa"/>
            <w:tcBorders>
              <w:top w:val="nil"/>
              <w:left w:val="nil"/>
              <w:bottom w:val="nil"/>
              <w:right w:val="nil"/>
            </w:tcBorders>
            <w:vAlign w:val="center"/>
          </w:tcPr>
          <w:p w14:paraId="491957E6">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0.714</w:t>
            </w:r>
          </w:p>
        </w:tc>
        <w:tc>
          <w:tcPr>
            <w:tcW w:w="1411" w:type="dxa"/>
            <w:tcBorders>
              <w:top w:val="nil"/>
              <w:left w:val="nil"/>
              <w:bottom w:val="nil"/>
              <w:right w:val="nil"/>
            </w:tcBorders>
            <w:vAlign w:val="center"/>
          </w:tcPr>
          <w:p w14:paraId="73F7839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0.732</w:t>
            </w:r>
          </w:p>
        </w:tc>
        <w:tc>
          <w:tcPr>
            <w:tcW w:w="1411" w:type="dxa"/>
            <w:tcBorders>
              <w:top w:val="nil"/>
              <w:left w:val="nil"/>
              <w:bottom w:val="nil"/>
              <w:right w:val="nil"/>
            </w:tcBorders>
            <w:vAlign w:val="center"/>
          </w:tcPr>
          <w:p w14:paraId="119977F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0.660</w:t>
            </w:r>
          </w:p>
        </w:tc>
        <w:tc>
          <w:tcPr>
            <w:tcW w:w="1411" w:type="dxa"/>
            <w:tcBorders>
              <w:top w:val="nil"/>
              <w:left w:val="nil"/>
              <w:bottom w:val="nil"/>
              <w:right w:val="nil"/>
            </w:tcBorders>
            <w:vAlign w:val="center"/>
          </w:tcPr>
          <w:p w14:paraId="735A7BB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0.752</w:t>
            </w:r>
          </w:p>
        </w:tc>
        <w:tc>
          <w:tcPr>
            <w:tcW w:w="1411" w:type="dxa"/>
            <w:tcBorders>
              <w:top w:val="nil"/>
              <w:left w:val="nil"/>
              <w:bottom w:val="nil"/>
              <w:right w:val="nil"/>
            </w:tcBorders>
            <w:vAlign w:val="center"/>
          </w:tcPr>
          <w:p w14:paraId="7907D9B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0.688</w:t>
            </w:r>
          </w:p>
        </w:tc>
      </w:tr>
      <w:tr w14:paraId="555C1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56" w:type="dxa"/>
            <w:tcBorders>
              <w:top w:val="nil"/>
              <w:left w:val="nil"/>
              <w:bottom w:val="nil"/>
              <w:right w:val="nil"/>
            </w:tcBorders>
            <w:vAlign w:val="center"/>
          </w:tcPr>
          <w:p w14:paraId="4D77E14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Sensitivity (95% CI)</w:t>
            </w:r>
          </w:p>
        </w:tc>
        <w:tc>
          <w:tcPr>
            <w:tcW w:w="1411" w:type="dxa"/>
            <w:tcBorders>
              <w:top w:val="nil"/>
              <w:left w:val="nil"/>
              <w:bottom w:val="nil"/>
              <w:right w:val="nil"/>
            </w:tcBorders>
            <w:vAlign w:val="center"/>
          </w:tcPr>
          <w:p w14:paraId="41748AC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0.761 (0.612–0.874)</w:t>
            </w:r>
          </w:p>
        </w:tc>
        <w:tc>
          <w:tcPr>
            <w:tcW w:w="1411" w:type="dxa"/>
            <w:tcBorders>
              <w:top w:val="nil"/>
              <w:left w:val="nil"/>
              <w:bottom w:val="nil"/>
              <w:right w:val="nil"/>
            </w:tcBorders>
            <w:vAlign w:val="center"/>
          </w:tcPr>
          <w:p w14:paraId="0A4DFF4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0.735 (0.556–0.871)</w:t>
            </w:r>
          </w:p>
        </w:tc>
        <w:tc>
          <w:tcPr>
            <w:tcW w:w="1411" w:type="dxa"/>
            <w:tcBorders>
              <w:top w:val="nil"/>
              <w:left w:val="nil"/>
              <w:bottom w:val="nil"/>
              <w:right w:val="nil"/>
            </w:tcBorders>
            <w:vAlign w:val="center"/>
          </w:tcPr>
          <w:p w14:paraId="427D60E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0.870 (0.737–0.951)</w:t>
            </w:r>
          </w:p>
        </w:tc>
        <w:tc>
          <w:tcPr>
            <w:tcW w:w="1411" w:type="dxa"/>
            <w:tcBorders>
              <w:top w:val="nil"/>
              <w:left w:val="nil"/>
              <w:bottom w:val="nil"/>
              <w:right w:val="nil"/>
            </w:tcBorders>
            <w:vAlign w:val="center"/>
          </w:tcPr>
          <w:p w14:paraId="1838AAC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0.647 (0.465–0.803)</w:t>
            </w:r>
          </w:p>
        </w:tc>
        <w:tc>
          <w:tcPr>
            <w:tcW w:w="1411" w:type="dxa"/>
            <w:tcBorders>
              <w:top w:val="nil"/>
              <w:left w:val="nil"/>
              <w:bottom w:val="nil"/>
              <w:right w:val="nil"/>
            </w:tcBorders>
            <w:vAlign w:val="center"/>
          </w:tcPr>
          <w:p w14:paraId="1D666C8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0.870 (0.737–0.951)</w:t>
            </w:r>
          </w:p>
        </w:tc>
        <w:tc>
          <w:tcPr>
            <w:tcW w:w="1411" w:type="dxa"/>
            <w:tcBorders>
              <w:top w:val="nil"/>
              <w:left w:val="nil"/>
              <w:bottom w:val="nil"/>
              <w:right w:val="nil"/>
            </w:tcBorders>
            <w:vAlign w:val="center"/>
          </w:tcPr>
          <w:p w14:paraId="22B8486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rPr>
            </w:pPr>
            <w:r>
              <w:rPr>
                <w:rFonts w:ascii="Times New Roman" w:hAnsi="Times New Roman" w:cs="Times New Roman"/>
                <w:sz w:val="19"/>
                <w:szCs w:val="19"/>
                <w:lang w:val="en-US" w:eastAsia="zh-CN"/>
              </w:rPr>
              <w:t>0.529 (0.351–0.702)</w:t>
            </w:r>
          </w:p>
        </w:tc>
      </w:tr>
      <w:tr w14:paraId="143E1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56" w:type="dxa"/>
            <w:tcBorders>
              <w:top w:val="nil"/>
              <w:left w:val="nil"/>
              <w:bottom w:val="single" w:color="auto" w:sz="4" w:space="0"/>
              <w:right w:val="nil"/>
            </w:tcBorders>
            <w:vAlign w:val="center"/>
          </w:tcPr>
          <w:p w14:paraId="370BC291">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Specificity (95% CI)</w:t>
            </w:r>
          </w:p>
        </w:tc>
        <w:tc>
          <w:tcPr>
            <w:tcW w:w="1411" w:type="dxa"/>
            <w:tcBorders>
              <w:top w:val="nil"/>
              <w:left w:val="nil"/>
              <w:bottom w:val="single" w:color="auto" w:sz="4" w:space="0"/>
              <w:right w:val="nil"/>
            </w:tcBorders>
            <w:vAlign w:val="center"/>
          </w:tcPr>
          <w:p w14:paraId="3BF8D44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0.595 (0.474–0.707)</w:t>
            </w:r>
          </w:p>
        </w:tc>
        <w:tc>
          <w:tcPr>
            <w:tcW w:w="1411" w:type="dxa"/>
            <w:tcBorders>
              <w:top w:val="nil"/>
              <w:left w:val="nil"/>
              <w:bottom w:val="single" w:color="auto" w:sz="4" w:space="0"/>
              <w:right w:val="nil"/>
            </w:tcBorders>
            <w:vAlign w:val="center"/>
          </w:tcPr>
          <w:p w14:paraId="500AA3C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0.692 (0.549–0.813)</w:t>
            </w:r>
          </w:p>
        </w:tc>
        <w:tc>
          <w:tcPr>
            <w:tcW w:w="1411" w:type="dxa"/>
            <w:tcBorders>
              <w:top w:val="nil"/>
              <w:left w:val="nil"/>
              <w:bottom w:val="single" w:color="auto" w:sz="4" w:space="0"/>
              <w:right w:val="nil"/>
            </w:tcBorders>
            <w:vAlign w:val="center"/>
          </w:tcPr>
          <w:p w14:paraId="4604DC06">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0.595 (0.474–0.707)</w:t>
            </w:r>
          </w:p>
        </w:tc>
        <w:tc>
          <w:tcPr>
            <w:tcW w:w="1411" w:type="dxa"/>
            <w:tcBorders>
              <w:top w:val="nil"/>
              <w:left w:val="nil"/>
              <w:bottom w:val="single" w:color="auto" w:sz="4" w:space="0"/>
              <w:right w:val="nil"/>
            </w:tcBorders>
            <w:vAlign w:val="center"/>
          </w:tcPr>
          <w:p w14:paraId="5358E3DA">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0.673 (0.529–0.797)</w:t>
            </w:r>
          </w:p>
        </w:tc>
        <w:tc>
          <w:tcPr>
            <w:tcW w:w="1411" w:type="dxa"/>
            <w:tcBorders>
              <w:top w:val="nil"/>
              <w:left w:val="nil"/>
              <w:bottom w:val="single" w:color="auto" w:sz="4" w:space="0"/>
              <w:right w:val="nil"/>
            </w:tcBorders>
            <w:vAlign w:val="center"/>
          </w:tcPr>
          <w:p w14:paraId="69A5444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0.635 (0.515–0.744)</w:t>
            </w:r>
          </w:p>
        </w:tc>
        <w:tc>
          <w:tcPr>
            <w:tcW w:w="1411" w:type="dxa"/>
            <w:tcBorders>
              <w:top w:val="nil"/>
              <w:left w:val="nil"/>
              <w:bottom w:val="single" w:color="auto" w:sz="4" w:space="0"/>
              <w:right w:val="nil"/>
            </w:tcBorders>
            <w:vAlign w:val="center"/>
          </w:tcPr>
          <w:p w14:paraId="6127E0FA">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0.846 (0.719–0.931)</w:t>
            </w:r>
          </w:p>
        </w:tc>
      </w:tr>
    </w:tbl>
    <w:p w14:paraId="68BA3D1F">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ascii="Times New Roman" w:hAnsi="Times New Roman" w:eastAsia="Times New Roman" w:cs="Times New Roman"/>
          <w:sz w:val="22"/>
          <w:szCs w:val="21"/>
        </w:rPr>
      </w:pPr>
      <w:r>
        <w:rPr>
          <w:rFonts w:ascii="Times New Roman" w:hAnsi="Times New Roman" w:eastAsia="Times New Roman" w:cs="Times New Roman"/>
          <w:sz w:val="22"/>
          <w:szCs w:val="21"/>
        </w:rPr>
        <w:t>In the sensitivity analysis, performance in the development cohort was estimated from repeat-averaged out-of-fold predictions. Performance in the validation cohort was evaluated using the locked models without refitting or recalibration. Classification thresholds were determined from the out-of-fold development-cohort predictions using the Youden index and applied unchanged to the validation cohort. Lower Brier scores indicate better probabilistic accuracy. The ideal values for the calibration intercept and slope are 0 and 1, respectively.</w:t>
      </w:r>
    </w:p>
    <w:p w14:paraId="45A51F9A">
      <w:pPr>
        <w:keepNext w:val="0"/>
        <w:keepLines/>
        <w:pageBreakBefore w:val="0"/>
        <w:widowControl w:val="0"/>
        <w:kinsoku/>
        <w:wordWrap/>
        <w:overflowPunct/>
        <w:topLinePunct w:val="0"/>
        <w:autoSpaceDE/>
        <w:autoSpaceDN/>
        <w:bidi w:val="0"/>
        <w:adjustRightInd w:val="0"/>
        <w:snapToGrid w:val="0"/>
        <w:spacing w:line="360" w:lineRule="auto"/>
        <w:jc w:val="both"/>
        <w:textAlignment w:val="auto"/>
        <w:rPr>
          <w:rFonts w:ascii="Times New Roman" w:hAnsi="Times New Roman" w:eastAsia="Times New Roman" w:cs="Times New Roman"/>
          <w:sz w:val="22"/>
          <w:szCs w:val="21"/>
        </w:rPr>
      </w:pPr>
      <w:r>
        <w:rPr>
          <w:rFonts w:ascii="Times New Roman" w:hAnsi="Times New Roman" w:eastAsia="Times New Roman" w:cs="Times New Roman"/>
          <w:sz w:val="22"/>
          <w:szCs w:val="21"/>
        </w:rPr>
        <w:t>AUPRC, area under the precision–recall curve; AUROC, area under the receiver operating characteristic curve; CI, confidence interval; EEG, electroencephalography.</w:t>
      </w:r>
    </w:p>
    <w:p w14:paraId="181D2821">
      <w:pPr>
        <w:keepNext w:val="0"/>
        <w:keepLines/>
        <w:pageBreakBefore w:val="0"/>
        <w:widowControl w:val="0"/>
        <w:kinsoku/>
        <w:wordWrap/>
        <w:overflowPunct/>
        <w:topLinePunct w:val="0"/>
        <w:autoSpaceDE/>
        <w:autoSpaceDN/>
        <w:bidi w:val="0"/>
        <w:adjustRightInd w:val="0"/>
        <w:snapToGrid w:val="0"/>
        <w:spacing w:line="360" w:lineRule="auto"/>
        <w:jc w:val="both"/>
        <w:textAlignment w:val="auto"/>
        <w:rPr>
          <w:rFonts w:ascii="Times New Roman" w:hAnsi="Times New Roman" w:eastAsia="Times New Roman" w:cs="Times New Roman"/>
          <w:sz w:val="22"/>
          <w:szCs w:val="21"/>
        </w:rPr>
      </w:pPr>
    </w:p>
    <w:p w14:paraId="0F26047B">
      <w:pPr>
        <w:keepNext/>
        <w:keepLines w:val="0"/>
        <w:pageBreakBefore w:val="0"/>
        <w:widowControl w:val="0"/>
        <w:kinsoku/>
        <w:wordWrap/>
        <w:overflowPunct/>
        <w:topLinePunct w:val="0"/>
        <w:autoSpaceDE/>
        <w:autoSpaceDN/>
        <w:bidi w:val="0"/>
        <w:adjustRightInd w:val="0"/>
        <w:snapToGrid w:val="0"/>
        <w:spacing w:after="60" w:line="480" w:lineRule="auto"/>
        <w:jc w:val="both"/>
        <w:textAlignment w:val="auto"/>
        <w:rPr>
          <w:rFonts w:hint="eastAsia" w:eastAsiaTheme="minorEastAsia"/>
          <w:lang w:val="en-US" w:eastAsia="zh-CN"/>
        </w:rPr>
      </w:pPr>
      <w:r>
        <w:rPr>
          <w:rFonts w:hint="eastAsia" w:ascii="Times New Roman" w:hAnsi="Times New Roman" w:eastAsia="Times New Roman" w:cs="Times New Roman"/>
          <w:b/>
          <w:sz w:val="22"/>
          <w:szCs w:val="21"/>
        </w:rPr>
        <w:t>Supplementary Table S8. Pairwise AUROC comparisons among the clinical, simplified, and combined models in the sensitivity analysis.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1"/>
        <w:gridCol w:w="2131"/>
        <w:gridCol w:w="2131"/>
        <w:gridCol w:w="2132"/>
      </w:tblGrid>
      <w:tr w14:paraId="77F6B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131" w:type="dxa"/>
            <w:vAlign w:val="center"/>
          </w:tcPr>
          <w:p w14:paraId="50CEC43C">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bCs/>
                <w:sz w:val="19"/>
                <w:szCs w:val="19"/>
                <w:lang w:val="en-US" w:eastAsia="zh-CN"/>
              </w:rPr>
            </w:pPr>
            <w:r>
              <w:rPr>
                <w:rFonts w:ascii="Times New Roman" w:hAnsi="Times New Roman" w:cs="Times New Roman"/>
                <w:b/>
                <w:bCs/>
                <w:sz w:val="19"/>
                <w:szCs w:val="19"/>
                <w:lang w:val="en-US" w:eastAsia="zh-CN"/>
              </w:rPr>
              <w:t>Cohort</w:t>
            </w:r>
          </w:p>
        </w:tc>
        <w:tc>
          <w:tcPr>
            <w:tcW w:w="2131" w:type="dxa"/>
            <w:vAlign w:val="center"/>
          </w:tcPr>
          <w:p w14:paraId="6B070261">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b/>
                <w:bCs/>
                <w:sz w:val="19"/>
                <w:szCs w:val="19"/>
                <w:lang w:val="en-US" w:eastAsia="zh-CN"/>
              </w:rPr>
            </w:pPr>
            <w:r>
              <w:rPr>
                <w:rFonts w:ascii="Times New Roman" w:hAnsi="Times New Roman" w:cs="Times New Roman"/>
                <w:b/>
                <w:bCs/>
                <w:sz w:val="19"/>
                <w:szCs w:val="19"/>
                <w:lang w:val="en-US" w:eastAsia="zh-CN"/>
              </w:rPr>
              <w:t>Comparison</w:t>
            </w:r>
          </w:p>
        </w:tc>
        <w:tc>
          <w:tcPr>
            <w:tcW w:w="2131" w:type="dxa"/>
            <w:vAlign w:val="center"/>
          </w:tcPr>
          <w:p w14:paraId="356C46E2">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b/>
                <w:bCs/>
                <w:sz w:val="19"/>
                <w:szCs w:val="19"/>
                <w:lang w:val="en-US" w:eastAsia="zh-CN"/>
              </w:rPr>
            </w:pPr>
            <w:r>
              <w:rPr>
                <w:rFonts w:ascii="Times New Roman" w:hAnsi="Times New Roman" w:cs="Times New Roman"/>
                <w:b/>
                <w:bCs/>
                <w:sz w:val="19"/>
                <w:szCs w:val="19"/>
                <w:lang w:val="en-US" w:eastAsia="zh-CN"/>
              </w:rPr>
              <w:t>ΔAUROC (95% CI)</w:t>
            </w:r>
          </w:p>
        </w:tc>
        <w:tc>
          <w:tcPr>
            <w:tcW w:w="2132" w:type="dxa"/>
            <w:vAlign w:val="center"/>
          </w:tcPr>
          <w:p w14:paraId="58EEDAE5">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b/>
                <w:bCs/>
                <w:sz w:val="19"/>
                <w:szCs w:val="19"/>
                <w:lang w:val="en-US" w:eastAsia="zh-CN"/>
              </w:rPr>
            </w:pPr>
            <w:r>
              <w:rPr>
                <w:rFonts w:ascii="Times New Roman" w:hAnsi="Times New Roman" w:cs="Times New Roman"/>
                <w:b/>
                <w:bCs/>
                <w:i/>
                <w:iCs/>
                <w:sz w:val="19"/>
                <w:szCs w:val="19"/>
                <w:lang w:val="en-US" w:eastAsia="zh-CN"/>
              </w:rPr>
              <w:t>p</w:t>
            </w:r>
            <w:r>
              <w:rPr>
                <w:rFonts w:ascii="Times New Roman" w:hAnsi="Times New Roman" w:cs="Times New Roman"/>
                <w:b/>
                <w:bCs/>
                <w:sz w:val="19"/>
                <w:szCs w:val="19"/>
                <w:lang w:val="en-US" w:eastAsia="zh-CN"/>
              </w:rPr>
              <w:t xml:space="preserve"> value</w:t>
            </w:r>
          </w:p>
        </w:tc>
      </w:tr>
      <w:tr w14:paraId="5A5D6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31" w:type="dxa"/>
            <w:vAlign w:val="center"/>
          </w:tcPr>
          <w:p w14:paraId="6918708E">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Development</w:t>
            </w:r>
          </w:p>
        </w:tc>
        <w:tc>
          <w:tcPr>
            <w:tcW w:w="2131" w:type="dxa"/>
            <w:vAlign w:val="center"/>
          </w:tcPr>
          <w:p w14:paraId="3A22B662">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Combined vs. clinical</w:t>
            </w:r>
          </w:p>
        </w:tc>
        <w:tc>
          <w:tcPr>
            <w:tcW w:w="2131" w:type="dxa"/>
            <w:vAlign w:val="center"/>
          </w:tcPr>
          <w:p w14:paraId="328E7E67">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0.121 (0.031–0.210)</w:t>
            </w:r>
          </w:p>
        </w:tc>
        <w:tc>
          <w:tcPr>
            <w:tcW w:w="2132" w:type="dxa"/>
            <w:vAlign w:val="center"/>
          </w:tcPr>
          <w:p w14:paraId="56EEFE1B">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0.008</w:t>
            </w:r>
          </w:p>
        </w:tc>
      </w:tr>
      <w:tr w14:paraId="540C5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31" w:type="dxa"/>
            <w:vAlign w:val="center"/>
          </w:tcPr>
          <w:p w14:paraId="6D6BC10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Development</w:t>
            </w:r>
          </w:p>
        </w:tc>
        <w:tc>
          <w:tcPr>
            <w:tcW w:w="2131" w:type="dxa"/>
            <w:vAlign w:val="center"/>
          </w:tcPr>
          <w:p w14:paraId="7A0BE6A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Simplified vs. clinical</w:t>
            </w:r>
          </w:p>
        </w:tc>
        <w:tc>
          <w:tcPr>
            <w:tcW w:w="2131" w:type="dxa"/>
            <w:vAlign w:val="center"/>
          </w:tcPr>
          <w:p w14:paraId="1ECE888A">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0.153 (0.071–0.235)</w:t>
            </w:r>
          </w:p>
        </w:tc>
        <w:tc>
          <w:tcPr>
            <w:tcW w:w="2132" w:type="dxa"/>
            <w:vAlign w:val="center"/>
          </w:tcPr>
          <w:p w14:paraId="6D09CFAD">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&lt;0.001</w:t>
            </w:r>
          </w:p>
        </w:tc>
      </w:tr>
      <w:tr w14:paraId="443EA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31" w:type="dxa"/>
            <w:vAlign w:val="center"/>
          </w:tcPr>
          <w:p w14:paraId="03A4B77F">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Development</w:t>
            </w:r>
          </w:p>
        </w:tc>
        <w:tc>
          <w:tcPr>
            <w:tcW w:w="2131" w:type="dxa"/>
            <w:vAlign w:val="center"/>
          </w:tcPr>
          <w:p w14:paraId="3E4D15CD">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Combined vs. simplified</w:t>
            </w:r>
          </w:p>
        </w:tc>
        <w:tc>
          <w:tcPr>
            <w:tcW w:w="2131" w:type="dxa"/>
            <w:vAlign w:val="center"/>
          </w:tcPr>
          <w:p w14:paraId="5605A2E9">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−0.032 (−0.074–0.010)</w:t>
            </w:r>
          </w:p>
        </w:tc>
        <w:tc>
          <w:tcPr>
            <w:tcW w:w="2132" w:type="dxa"/>
            <w:vAlign w:val="center"/>
          </w:tcPr>
          <w:p w14:paraId="65DAF641">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0.136</w:t>
            </w:r>
          </w:p>
        </w:tc>
      </w:tr>
      <w:tr w14:paraId="1BFF7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31" w:type="dxa"/>
            <w:vAlign w:val="center"/>
          </w:tcPr>
          <w:p w14:paraId="2C6AAB66">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Validation</w:t>
            </w:r>
          </w:p>
        </w:tc>
        <w:tc>
          <w:tcPr>
            <w:tcW w:w="2131" w:type="dxa"/>
            <w:vAlign w:val="center"/>
          </w:tcPr>
          <w:p w14:paraId="1F843B46">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Combined vs. clinical</w:t>
            </w:r>
          </w:p>
        </w:tc>
        <w:tc>
          <w:tcPr>
            <w:tcW w:w="2131" w:type="dxa"/>
            <w:vAlign w:val="center"/>
          </w:tcPr>
          <w:p w14:paraId="3376DDA3">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0.027 (−0.065–0.119)</w:t>
            </w:r>
          </w:p>
        </w:tc>
        <w:tc>
          <w:tcPr>
            <w:tcW w:w="2132" w:type="dxa"/>
            <w:vAlign w:val="center"/>
          </w:tcPr>
          <w:p w14:paraId="3A234B57">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0.568</w:t>
            </w:r>
          </w:p>
        </w:tc>
      </w:tr>
      <w:tr w14:paraId="16135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31" w:type="dxa"/>
            <w:vAlign w:val="center"/>
          </w:tcPr>
          <w:p w14:paraId="716EDAE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Validation</w:t>
            </w:r>
          </w:p>
        </w:tc>
        <w:tc>
          <w:tcPr>
            <w:tcW w:w="2131" w:type="dxa"/>
            <w:vAlign w:val="center"/>
          </w:tcPr>
          <w:p w14:paraId="4E18783E">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Simplified vs. clinical</w:t>
            </w:r>
          </w:p>
        </w:tc>
        <w:tc>
          <w:tcPr>
            <w:tcW w:w="2131" w:type="dxa"/>
            <w:vAlign w:val="center"/>
          </w:tcPr>
          <w:p w14:paraId="4BDDABDE">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0.027 (−0.059–0.113)</w:t>
            </w:r>
          </w:p>
        </w:tc>
        <w:tc>
          <w:tcPr>
            <w:tcW w:w="2132" w:type="dxa"/>
            <w:vAlign w:val="center"/>
          </w:tcPr>
          <w:p w14:paraId="626B534E">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0.541</w:t>
            </w:r>
          </w:p>
        </w:tc>
      </w:tr>
      <w:tr w14:paraId="72035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31" w:type="dxa"/>
            <w:vAlign w:val="center"/>
          </w:tcPr>
          <w:p w14:paraId="2196EBF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Validation</w:t>
            </w:r>
          </w:p>
        </w:tc>
        <w:tc>
          <w:tcPr>
            <w:tcW w:w="2131" w:type="dxa"/>
            <w:vAlign w:val="center"/>
          </w:tcPr>
          <w:p w14:paraId="2E4289B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Combined vs. simplified</w:t>
            </w:r>
          </w:p>
        </w:tc>
        <w:tc>
          <w:tcPr>
            <w:tcW w:w="2131" w:type="dxa"/>
            <w:vAlign w:val="center"/>
          </w:tcPr>
          <w:p w14:paraId="7107C48E">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0.000 (−0.027–0.027)</w:t>
            </w:r>
          </w:p>
        </w:tc>
        <w:tc>
          <w:tcPr>
            <w:tcW w:w="2132" w:type="dxa"/>
            <w:vAlign w:val="center"/>
          </w:tcPr>
          <w:p w14:paraId="422F1619">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1.000</w:t>
            </w:r>
          </w:p>
        </w:tc>
      </w:tr>
    </w:tbl>
    <w:p w14:paraId="657F59A8">
      <w:pPr>
        <w:keepNext w:val="0"/>
        <w:keepLines/>
        <w:pageBreakBefore w:val="0"/>
        <w:widowControl w:val="0"/>
        <w:kinsoku/>
        <w:wordWrap/>
        <w:overflowPunct/>
        <w:topLinePunct w:val="0"/>
        <w:autoSpaceDE/>
        <w:autoSpaceDN/>
        <w:bidi w:val="0"/>
        <w:adjustRightInd w:val="0"/>
        <w:snapToGrid w:val="0"/>
        <w:spacing w:line="360" w:lineRule="auto"/>
        <w:jc w:val="both"/>
        <w:textAlignment w:val="auto"/>
        <w:rPr>
          <w:rFonts w:hint="eastAsia" w:ascii="Times New Roman" w:hAnsi="Times New Roman" w:eastAsia="Times New Roman" w:cs="Times New Roman"/>
          <w:sz w:val="22"/>
          <w:szCs w:val="21"/>
        </w:rPr>
      </w:pPr>
      <w:r>
        <w:rPr>
          <w:rFonts w:hint="eastAsia" w:ascii="Times New Roman" w:hAnsi="Times New Roman" w:eastAsia="Times New Roman" w:cs="Times New Roman"/>
          <w:sz w:val="22"/>
          <w:szCs w:val="21"/>
        </w:rPr>
        <w:t>In the sensitivity analysis, AUROC differences were calculated as the AUROC of the first model minus that of the second model. Positive values favor the first model. Comparisons were performed using paired DeLong tests. The simplified model included the six clinical predictors and within-VIS alpha-band connectivity.</w:t>
      </w:r>
    </w:p>
    <w:p w14:paraId="4A6AECEC">
      <w:pPr>
        <w:keepNext w:val="0"/>
        <w:keepLines/>
        <w:pageBreakBefore w:val="0"/>
        <w:widowControl w:val="0"/>
        <w:kinsoku/>
        <w:wordWrap/>
        <w:overflowPunct/>
        <w:topLinePunct w:val="0"/>
        <w:autoSpaceDE/>
        <w:autoSpaceDN/>
        <w:bidi w:val="0"/>
        <w:adjustRightInd w:val="0"/>
        <w:snapToGrid w:val="0"/>
        <w:spacing w:line="360" w:lineRule="auto"/>
        <w:jc w:val="both"/>
        <w:textAlignment w:val="auto"/>
        <w:rPr>
          <w:rFonts w:ascii="Times New Roman" w:hAnsi="Times New Roman" w:eastAsia="Times New Roman" w:cs="Times New Roman"/>
          <w:sz w:val="22"/>
          <w:szCs w:val="21"/>
        </w:rPr>
      </w:pPr>
      <w:r>
        <w:rPr>
          <w:rFonts w:hint="eastAsia" w:ascii="Times New Roman" w:hAnsi="Times New Roman" w:eastAsia="Times New Roman" w:cs="Times New Roman"/>
          <w:sz w:val="22"/>
          <w:szCs w:val="21"/>
        </w:rPr>
        <w:t>AUROC, area under the receiver operating characteristic curve; CI, confidence interval; VIS, visual network.</w:t>
      </w:r>
    </w:p>
    <w:p w14:paraId="5EF5D9D3">
      <w:pPr>
        <w:keepNext w:val="0"/>
        <w:keepLines/>
        <w:pageBreakBefore w:val="0"/>
        <w:widowControl w:val="0"/>
        <w:kinsoku/>
        <w:wordWrap/>
        <w:overflowPunct/>
        <w:topLinePunct w:val="0"/>
        <w:autoSpaceDE/>
        <w:autoSpaceDN/>
        <w:bidi w:val="0"/>
        <w:adjustRightInd w:val="0"/>
        <w:snapToGrid w:val="0"/>
        <w:spacing w:line="360" w:lineRule="auto"/>
        <w:jc w:val="both"/>
        <w:textAlignment w:val="auto"/>
        <w:rPr>
          <w:rFonts w:ascii="Times New Roman" w:hAnsi="Times New Roman" w:eastAsia="Times New Roman" w:cs="Times New Roman"/>
          <w:sz w:val="22"/>
          <w:szCs w:val="21"/>
        </w:rPr>
      </w:pPr>
    </w:p>
    <w:p w14:paraId="09DC9532">
      <w:pPr>
        <w:keepNext/>
        <w:keepLines w:val="0"/>
        <w:pageBreakBefore w:val="0"/>
        <w:widowControl w:val="0"/>
        <w:kinsoku/>
        <w:wordWrap/>
        <w:overflowPunct/>
        <w:topLinePunct w:val="0"/>
        <w:autoSpaceDE/>
        <w:autoSpaceDN/>
        <w:bidi w:val="0"/>
        <w:adjustRightInd w:val="0"/>
        <w:snapToGrid w:val="0"/>
        <w:spacing w:after="60" w:line="480" w:lineRule="auto"/>
        <w:jc w:val="both"/>
        <w:textAlignment w:val="auto"/>
        <w:rPr>
          <w:rFonts w:hint="eastAsia"/>
        </w:rPr>
      </w:pPr>
      <w:r>
        <w:rPr>
          <w:rFonts w:hint="eastAsia" w:ascii="Times New Roman" w:hAnsi="Times New Roman" w:eastAsia="Times New Roman" w:cs="Times New Roman"/>
          <w:b/>
          <w:sz w:val="22"/>
          <w:szCs w:val="21"/>
        </w:rPr>
        <w:t>Supplementary Table S9. Performance of the sensor-space EEG and clinical–sensor-space EEG models.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1982"/>
        <w:gridCol w:w="1982"/>
        <w:gridCol w:w="1982"/>
        <w:gridCol w:w="1983"/>
      </w:tblGrid>
      <w:tr w14:paraId="542C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Merge w:val="restart"/>
            <w:tcBorders>
              <w:left w:val="nil"/>
              <w:bottom w:val="nil"/>
              <w:right w:val="nil"/>
            </w:tcBorders>
            <w:vAlign w:val="center"/>
          </w:tcPr>
          <w:p w14:paraId="40EFD859">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Performance metric</w:t>
            </w:r>
          </w:p>
        </w:tc>
        <w:tc>
          <w:tcPr>
            <w:tcW w:w="1984" w:type="dxa"/>
            <w:gridSpan w:val="2"/>
            <w:tcBorders>
              <w:left w:val="nil"/>
              <w:bottom w:val="nil"/>
              <w:right w:val="nil"/>
            </w:tcBorders>
            <w:vAlign w:val="center"/>
          </w:tcPr>
          <w:p w14:paraId="45AC7D8D">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Sensor-space EEG model</w:t>
            </w:r>
          </w:p>
        </w:tc>
        <w:tc>
          <w:tcPr>
            <w:tcW w:w="1984" w:type="dxa"/>
            <w:gridSpan w:val="2"/>
            <w:tcBorders>
              <w:left w:val="nil"/>
              <w:bottom w:val="nil"/>
              <w:right w:val="nil"/>
            </w:tcBorders>
            <w:vAlign w:val="center"/>
          </w:tcPr>
          <w:p w14:paraId="61C5B264">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Clinical–sensor-space EEG model</w:t>
            </w:r>
          </w:p>
        </w:tc>
      </w:tr>
      <w:tr w14:paraId="2908D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Merge w:val="continue"/>
            <w:tcBorders>
              <w:top w:val="nil"/>
              <w:left w:val="nil"/>
              <w:bottom w:val="single" w:color="auto" w:sz="4" w:space="0"/>
              <w:right w:val="nil"/>
            </w:tcBorders>
            <w:vAlign w:val="center"/>
          </w:tcPr>
          <w:p w14:paraId="62DD17BB">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sz w:val="19"/>
                <w:szCs w:val="19"/>
                <w:lang w:val="en-US" w:eastAsia="zh-CN"/>
              </w:rPr>
            </w:pPr>
          </w:p>
        </w:tc>
        <w:tc>
          <w:tcPr>
            <w:tcW w:w="1984" w:type="dxa"/>
            <w:tcBorders>
              <w:top w:val="nil"/>
              <w:left w:val="nil"/>
              <w:bottom w:val="single" w:color="auto" w:sz="4" w:space="0"/>
              <w:right w:val="nil"/>
            </w:tcBorders>
            <w:vAlign w:val="center"/>
          </w:tcPr>
          <w:p w14:paraId="2729DAD5">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Development</w:t>
            </w:r>
          </w:p>
        </w:tc>
        <w:tc>
          <w:tcPr>
            <w:tcW w:w="1984" w:type="dxa"/>
            <w:tcBorders>
              <w:top w:val="nil"/>
              <w:left w:val="nil"/>
              <w:bottom w:val="single" w:color="auto" w:sz="4" w:space="0"/>
              <w:right w:val="nil"/>
            </w:tcBorders>
            <w:vAlign w:val="center"/>
          </w:tcPr>
          <w:p w14:paraId="59344D76">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Validation</w:t>
            </w:r>
          </w:p>
        </w:tc>
        <w:tc>
          <w:tcPr>
            <w:tcW w:w="1984" w:type="dxa"/>
            <w:tcBorders>
              <w:top w:val="nil"/>
              <w:left w:val="nil"/>
              <w:bottom w:val="single" w:color="auto" w:sz="4" w:space="0"/>
              <w:right w:val="nil"/>
            </w:tcBorders>
            <w:vAlign w:val="center"/>
          </w:tcPr>
          <w:p w14:paraId="502E4A84">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Development</w:t>
            </w:r>
          </w:p>
        </w:tc>
        <w:tc>
          <w:tcPr>
            <w:tcW w:w="1984" w:type="dxa"/>
            <w:tcBorders>
              <w:top w:val="nil"/>
              <w:left w:val="nil"/>
              <w:bottom w:val="single" w:color="auto" w:sz="4" w:space="0"/>
              <w:right w:val="nil"/>
            </w:tcBorders>
            <w:vAlign w:val="center"/>
          </w:tcPr>
          <w:p w14:paraId="3781942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Validation</w:t>
            </w:r>
          </w:p>
        </w:tc>
      </w:tr>
      <w:tr w14:paraId="41FED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Borders>
              <w:top w:val="single" w:color="auto" w:sz="4" w:space="0"/>
              <w:left w:val="nil"/>
              <w:bottom w:val="nil"/>
              <w:right w:val="nil"/>
            </w:tcBorders>
            <w:vAlign w:val="center"/>
          </w:tcPr>
          <w:p w14:paraId="1AE333D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AUROC (95% CI)</w:t>
            </w:r>
          </w:p>
        </w:tc>
        <w:tc>
          <w:tcPr>
            <w:tcW w:w="1984" w:type="dxa"/>
            <w:tcBorders>
              <w:top w:val="single" w:color="auto" w:sz="4" w:space="0"/>
              <w:left w:val="nil"/>
              <w:bottom w:val="nil"/>
              <w:right w:val="nil"/>
            </w:tcBorders>
            <w:vAlign w:val="center"/>
          </w:tcPr>
          <w:p w14:paraId="70F77684">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0.719 (0.630–0.808)</w:t>
            </w:r>
          </w:p>
        </w:tc>
        <w:tc>
          <w:tcPr>
            <w:tcW w:w="1984" w:type="dxa"/>
            <w:tcBorders>
              <w:top w:val="single" w:color="auto" w:sz="4" w:space="0"/>
              <w:left w:val="nil"/>
              <w:bottom w:val="nil"/>
              <w:right w:val="nil"/>
            </w:tcBorders>
            <w:vAlign w:val="center"/>
          </w:tcPr>
          <w:p w14:paraId="3C47DD9F">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0.586 (0.464–0.707)</w:t>
            </w:r>
          </w:p>
        </w:tc>
        <w:tc>
          <w:tcPr>
            <w:tcW w:w="1984" w:type="dxa"/>
            <w:tcBorders>
              <w:top w:val="single" w:color="auto" w:sz="4" w:space="0"/>
              <w:left w:val="nil"/>
              <w:bottom w:val="nil"/>
              <w:right w:val="nil"/>
            </w:tcBorders>
            <w:vAlign w:val="center"/>
          </w:tcPr>
          <w:p w14:paraId="71C62629">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0.790 (0.709–0.871)</w:t>
            </w:r>
          </w:p>
        </w:tc>
        <w:tc>
          <w:tcPr>
            <w:tcW w:w="1984" w:type="dxa"/>
            <w:tcBorders>
              <w:top w:val="single" w:color="auto" w:sz="4" w:space="0"/>
              <w:left w:val="nil"/>
              <w:bottom w:val="nil"/>
              <w:right w:val="nil"/>
            </w:tcBorders>
            <w:vAlign w:val="center"/>
          </w:tcPr>
          <w:p w14:paraId="27AC2EC7">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0.746 (0.639–0.854)</w:t>
            </w:r>
          </w:p>
        </w:tc>
      </w:tr>
      <w:tr w14:paraId="72A8C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Borders>
              <w:top w:val="nil"/>
              <w:left w:val="nil"/>
              <w:bottom w:val="nil"/>
              <w:right w:val="nil"/>
            </w:tcBorders>
            <w:vAlign w:val="center"/>
          </w:tcPr>
          <w:p w14:paraId="5D8F7AC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AUPRC</w:t>
            </w:r>
          </w:p>
        </w:tc>
        <w:tc>
          <w:tcPr>
            <w:tcW w:w="1984" w:type="dxa"/>
            <w:tcBorders>
              <w:top w:val="nil"/>
              <w:left w:val="nil"/>
              <w:bottom w:val="nil"/>
              <w:right w:val="nil"/>
            </w:tcBorders>
            <w:vAlign w:val="center"/>
          </w:tcPr>
          <w:p w14:paraId="0D74F27E">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0.668</w:t>
            </w:r>
          </w:p>
        </w:tc>
        <w:tc>
          <w:tcPr>
            <w:tcW w:w="1984" w:type="dxa"/>
            <w:tcBorders>
              <w:top w:val="nil"/>
              <w:left w:val="nil"/>
              <w:bottom w:val="nil"/>
              <w:right w:val="nil"/>
            </w:tcBorders>
            <w:vAlign w:val="center"/>
          </w:tcPr>
          <w:p w14:paraId="48059BA3">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0.568</w:t>
            </w:r>
          </w:p>
        </w:tc>
        <w:tc>
          <w:tcPr>
            <w:tcW w:w="1984" w:type="dxa"/>
            <w:tcBorders>
              <w:top w:val="nil"/>
              <w:left w:val="nil"/>
              <w:bottom w:val="nil"/>
              <w:right w:val="nil"/>
            </w:tcBorders>
            <w:vAlign w:val="center"/>
          </w:tcPr>
          <w:p w14:paraId="621F2D26">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0.729</w:t>
            </w:r>
          </w:p>
        </w:tc>
        <w:tc>
          <w:tcPr>
            <w:tcW w:w="1984" w:type="dxa"/>
            <w:tcBorders>
              <w:top w:val="nil"/>
              <w:left w:val="nil"/>
              <w:bottom w:val="nil"/>
              <w:right w:val="nil"/>
            </w:tcBorders>
            <w:vAlign w:val="center"/>
          </w:tcPr>
          <w:p w14:paraId="6F080A4D">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0.753</w:t>
            </w:r>
          </w:p>
        </w:tc>
      </w:tr>
      <w:tr w14:paraId="473FA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Borders>
              <w:top w:val="nil"/>
              <w:left w:val="nil"/>
              <w:bottom w:val="nil"/>
              <w:right w:val="nil"/>
            </w:tcBorders>
            <w:vAlign w:val="center"/>
          </w:tcPr>
          <w:p w14:paraId="3D5EFD3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Brier score</w:t>
            </w:r>
          </w:p>
        </w:tc>
        <w:tc>
          <w:tcPr>
            <w:tcW w:w="1984" w:type="dxa"/>
            <w:tcBorders>
              <w:top w:val="nil"/>
              <w:left w:val="nil"/>
              <w:bottom w:val="nil"/>
              <w:right w:val="nil"/>
            </w:tcBorders>
            <w:vAlign w:val="center"/>
          </w:tcPr>
          <w:p w14:paraId="3BD3964A">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0.206</w:t>
            </w:r>
          </w:p>
        </w:tc>
        <w:tc>
          <w:tcPr>
            <w:tcW w:w="1984" w:type="dxa"/>
            <w:tcBorders>
              <w:top w:val="nil"/>
              <w:left w:val="nil"/>
              <w:bottom w:val="nil"/>
              <w:right w:val="nil"/>
            </w:tcBorders>
            <w:vAlign w:val="center"/>
          </w:tcPr>
          <w:p w14:paraId="6B1B871C">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0.256</w:t>
            </w:r>
          </w:p>
        </w:tc>
        <w:tc>
          <w:tcPr>
            <w:tcW w:w="1984" w:type="dxa"/>
            <w:tcBorders>
              <w:top w:val="nil"/>
              <w:left w:val="nil"/>
              <w:bottom w:val="nil"/>
              <w:right w:val="nil"/>
            </w:tcBorders>
            <w:vAlign w:val="center"/>
          </w:tcPr>
          <w:p w14:paraId="6B2B19CC">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0.184</w:t>
            </w:r>
          </w:p>
        </w:tc>
        <w:tc>
          <w:tcPr>
            <w:tcW w:w="1984" w:type="dxa"/>
            <w:tcBorders>
              <w:top w:val="nil"/>
              <w:left w:val="nil"/>
              <w:bottom w:val="nil"/>
              <w:right w:val="nil"/>
            </w:tcBorders>
            <w:vAlign w:val="center"/>
          </w:tcPr>
          <w:p w14:paraId="0D417B3F">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0.195</w:t>
            </w:r>
          </w:p>
        </w:tc>
      </w:tr>
      <w:tr w14:paraId="6898A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Borders>
              <w:top w:val="nil"/>
              <w:left w:val="nil"/>
              <w:bottom w:val="nil"/>
              <w:right w:val="nil"/>
            </w:tcBorders>
            <w:vAlign w:val="center"/>
          </w:tcPr>
          <w:p w14:paraId="46B1715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Calibration intercept</w:t>
            </w:r>
          </w:p>
        </w:tc>
        <w:tc>
          <w:tcPr>
            <w:tcW w:w="1984" w:type="dxa"/>
            <w:tcBorders>
              <w:top w:val="nil"/>
              <w:left w:val="nil"/>
              <w:bottom w:val="nil"/>
              <w:right w:val="nil"/>
            </w:tcBorders>
            <w:vAlign w:val="center"/>
          </w:tcPr>
          <w:p w14:paraId="00612E8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0.000</w:t>
            </w:r>
          </w:p>
        </w:tc>
        <w:tc>
          <w:tcPr>
            <w:tcW w:w="1984" w:type="dxa"/>
            <w:tcBorders>
              <w:top w:val="nil"/>
              <w:left w:val="nil"/>
              <w:bottom w:val="nil"/>
              <w:right w:val="nil"/>
            </w:tcBorders>
            <w:vAlign w:val="center"/>
          </w:tcPr>
          <w:p w14:paraId="107B3E50">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0.379</w:t>
            </w:r>
          </w:p>
        </w:tc>
        <w:tc>
          <w:tcPr>
            <w:tcW w:w="1984" w:type="dxa"/>
            <w:tcBorders>
              <w:top w:val="nil"/>
              <w:left w:val="nil"/>
              <w:bottom w:val="nil"/>
              <w:right w:val="nil"/>
            </w:tcBorders>
            <w:vAlign w:val="center"/>
          </w:tcPr>
          <w:p w14:paraId="25E733BC">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−0.007</w:t>
            </w:r>
          </w:p>
        </w:tc>
        <w:tc>
          <w:tcPr>
            <w:tcW w:w="1984" w:type="dxa"/>
            <w:tcBorders>
              <w:top w:val="nil"/>
              <w:left w:val="nil"/>
              <w:bottom w:val="nil"/>
              <w:right w:val="nil"/>
            </w:tcBorders>
            <w:vAlign w:val="center"/>
          </w:tcPr>
          <w:p w14:paraId="77DDD04F">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0.366</w:t>
            </w:r>
          </w:p>
        </w:tc>
      </w:tr>
      <w:tr w14:paraId="6E91D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Borders>
              <w:top w:val="nil"/>
              <w:left w:val="nil"/>
              <w:bottom w:val="nil"/>
              <w:right w:val="nil"/>
            </w:tcBorders>
            <w:vAlign w:val="center"/>
          </w:tcPr>
          <w:p w14:paraId="71787AF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Calibration slope</w:t>
            </w:r>
          </w:p>
        </w:tc>
        <w:tc>
          <w:tcPr>
            <w:tcW w:w="1984" w:type="dxa"/>
            <w:tcBorders>
              <w:top w:val="nil"/>
              <w:left w:val="nil"/>
              <w:bottom w:val="nil"/>
              <w:right w:val="nil"/>
            </w:tcBorders>
            <w:vAlign w:val="center"/>
          </w:tcPr>
          <w:p w14:paraId="35C8CEAB">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1.162</w:t>
            </w:r>
          </w:p>
        </w:tc>
        <w:tc>
          <w:tcPr>
            <w:tcW w:w="1984" w:type="dxa"/>
            <w:tcBorders>
              <w:top w:val="nil"/>
              <w:left w:val="nil"/>
              <w:bottom w:val="nil"/>
              <w:right w:val="nil"/>
            </w:tcBorders>
            <w:vAlign w:val="center"/>
          </w:tcPr>
          <w:p w14:paraId="27E79C6E">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0.323</w:t>
            </w:r>
          </w:p>
        </w:tc>
        <w:tc>
          <w:tcPr>
            <w:tcW w:w="1984" w:type="dxa"/>
            <w:tcBorders>
              <w:top w:val="nil"/>
              <w:left w:val="nil"/>
              <w:bottom w:val="nil"/>
              <w:right w:val="nil"/>
            </w:tcBorders>
            <w:vAlign w:val="center"/>
          </w:tcPr>
          <w:p w14:paraId="5EAA7803">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1.201</w:t>
            </w:r>
          </w:p>
        </w:tc>
        <w:tc>
          <w:tcPr>
            <w:tcW w:w="1984" w:type="dxa"/>
            <w:tcBorders>
              <w:top w:val="nil"/>
              <w:left w:val="nil"/>
              <w:bottom w:val="nil"/>
              <w:right w:val="nil"/>
            </w:tcBorders>
            <w:vAlign w:val="center"/>
          </w:tcPr>
          <w:p w14:paraId="614A4904">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0.864</w:t>
            </w:r>
          </w:p>
        </w:tc>
      </w:tr>
      <w:tr w14:paraId="6B116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Borders>
              <w:top w:val="nil"/>
              <w:left w:val="nil"/>
              <w:bottom w:val="nil"/>
              <w:right w:val="nil"/>
            </w:tcBorders>
            <w:vAlign w:val="center"/>
          </w:tcPr>
          <w:p w14:paraId="7F56E35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Threshold</w:t>
            </w:r>
          </w:p>
        </w:tc>
        <w:tc>
          <w:tcPr>
            <w:tcW w:w="1984" w:type="dxa"/>
            <w:tcBorders>
              <w:top w:val="nil"/>
              <w:left w:val="nil"/>
              <w:bottom w:val="nil"/>
              <w:right w:val="nil"/>
            </w:tcBorders>
            <w:vAlign w:val="center"/>
          </w:tcPr>
          <w:p w14:paraId="75A55A4B">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0.438</w:t>
            </w:r>
          </w:p>
        </w:tc>
        <w:tc>
          <w:tcPr>
            <w:tcW w:w="1984" w:type="dxa"/>
            <w:tcBorders>
              <w:top w:val="nil"/>
              <w:left w:val="nil"/>
              <w:bottom w:val="nil"/>
              <w:right w:val="nil"/>
            </w:tcBorders>
            <w:vAlign w:val="center"/>
          </w:tcPr>
          <w:p w14:paraId="436035B6">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0.438</w:t>
            </w:r>
          </w:p>
        </w:tc>
        <w:tc>
          <w:tcPr>
            <w:tcW w:w="1984" w:type="dxa"/>
            <w:tcBorders>
              <w:top w:val="nil"/>
              <w:left w:val="nil"/>
              <w:bottom w:val="nil"/>
              <w:right w:val="nil"/>
            </w:tcBorders>
            <w:vAlign w:val="center"/>
          </w:tcPr>
          <w:p w14:paraId="550C8E49">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0.489</w:t>
            </w:r>
          </w:p>
        </w:tc>
        <w:tc>
          <w:tcPr>
            <w:tcW w:w="1984" w:type="dxa"/>
            <w:tcBorders>
              <w:top w:val="nil"/>
              <w:left w:val="nil"/>
              <w:bottom w:val="nil"/>
              <w:right w:val="nil"/>
            </w:tcBorders>
            <w:vAlign w:val="center"/>
          </w:tcPr>
          <w:p w14:paraId="29004EA1">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0.489</w:t>
            </w:r>
          </w:p>
        </w:tc>
      </w:tr>
      <w:tr w14:paraId="777AB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Borders>
              <w:top w:val="nil"/>
              <w:left w:val="nil"/>
              <w:bottom w:val="nil"/>
              <w:right w:val="nil"/>
            </w:tcBorders>
            <w:vAlign w:val="center"/>
          </w:tcPr>
          <w:p w14:paraId="668042CF">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Balanced accuracy</w:t>
            </w:r>
          </w:p>
        </w:tc>
        <w:tc>
          <w:tcPr>
            <w:tcW w:w="1984" w:type="dxa"/>
            <w:tcBorders>
              <w:top w:val="nil"/>
              <w:left w:val="nil"/>
              <w:bottom w:val="nil"/>
              <w:right w:val="nil"/>
            </w:tcBorders>
            <w:vAlign w:val="center"/>
          </w:tcPr>
          <w:p w14:paraId="0007B359">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0.659</w:t>
            </w:r>
          </w:p>
        </w:tc>
        <w:tc>
          <w:tcPr>
            <w:tcW w:w="1984" w:type="dxa"/>
            <w:tcBorders>
              <w:top w:val="nil"/>
              <w:left w:val="nil"/>
              <w:bottom w:val="nil"/>
              <w:right w:val="nil"/>
            </w:tcBorders>
            <w:vAlign w:val="center"/>
          </w:tcPr>
          <w:p w14:paraId="631C605B">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0.524</w:t>
            </w:r>
          </w:p>
        </w:tc>
        <w:tc>
          <w:tcPr>
            <w:tcW w:w="1984" w:type="dxa"/>
            <w:tcBorders>
              <w:top w:val="nil"/>
              <w:left w:val="nil"/>
              <w:bottom w:val="nil"/>
              <w:right w:val="nil"/>
            </w:tcBorders>
            <w:vAlign w:val="center"/>
          </w:tcPr>
          <w:p w14:paraId="2BF36F0B">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0.739</w:t>
            </w:r>
          </w:p>
        </w:tc>
        <w:tc>
          <w:tcPr>
            <w:tcW w:w="1984" w:type="dxa"/>
            <w:tcBorders>
              <w:top w:val="nil"/>
              <w:left w:val="nil"/>
              <w:bottom w:val="nil"/>
              <w:right w:val="nil"/>
            </w:tcBorders>
            <w:vAlign w:val="center"/>
          </w:tcPr>
          <w:p w14:paraId="5719CEB9">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0.715</w:t>
            </w:r>
          </w:p>
        </w:tc>
      </w:tr>
      <w:tr w14:paraId="5D3E5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Borders>
              <w:top w:val="nil"/>
              <w:left w:val="nil"/>
              <w:bottom w:val="nil"/>
              <w:right w:val="nil"/>
            </w:tcBorders>
            <w:vAlign w:val="center"/>
          </w:tcPr>
          <w:p w14:paraId="60BBDDF0">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Sensitivity</w:t>
            </w:r>
          </w:p>
        </w:tc>
        <w:tc>
          <w:tcPr>
            <w:tcW w:w="1984" w:type="dxa"/>
            <w:tcBorders>
              <w:top w:val="nil"/>
              <w:left w:val="nil"/>
              <w:bottom w:val="nil"/>
              <w:right w:val="nil"/>
            </w:tcBorders>
            <w:vAlign w:val="center"/>
          </w:tcPr>
          <w:p w14:paraId="6FC6DB07">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0.615</w:t>
            </w:r>
          </w:p>
        </w:tc>
        <w:tc>
          <w:tcPr>
            <w:tcW w:w="1984" w:type="dxa"/>
            <w:tcBorders>
              <w:top w:val="nil"/>
              <w:left w:val="nil"/>
              <w:bottom w:val="nil"/>
              <w:right w:val="nil"/>
            </w:tcBorders>
            <w:vAlign w:val="center"/>
          </w:tcPr>
          <w:p w14:paraId="31DEEF16">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0.395</w:t>
            </w:r>
          </w:p>
        </w:tc>
        <w:tc>
          <w:tcPr>
            <w:tcW w:w="1984" w:type="dxa"/>
            <w:tcBorders>
              <w:top w:val="nil"/>
              <w:left w:val="nil"/>
              <w:bottom w:val="nil"/>
              <w:right w:val="nil"/>
            </w:tcBorders>
            <w:vAlign w:val="center"/>
          </w:tcPr>
          <w:p w14:paraId="0B70374B">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0.654</w:t>
            </w:r>
          </w:p>
        </w:tc>
        <w:tc>
          <w:tcPr>
            <w:tcW w:w="1984" w:type="dxa"/>
            <w:tcBorders>
              <w:top w:val="nil"/>
              <w:left w:val="nil"/>
              <w:bottom w:val="nil"/>
              <w:right w:val="nil"/>
            </w:tcBorders>
            <w:vAlign w:val="center"/>
          </w:tcPr>
          <w:p w14:paraId="1F312294">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0.526</w:t>
            </w:r>
          </w:p>
        </w:tc>
      </w:tr>
      <w:tr w14:paraId="3A27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Borders>
              <w:top w:val="nil"/>
              <w:left w:val="nil"/>
              <w:right w:val="nil"/>
            </w:tcBorders>
            <w:vAlign w:val="center"/>
          </w:tcPr>
          <w:p w14:paraId="1CF138E1">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Specificity</w:t>
            </w:r>
          </w:p>
        </w:tc>
        <w:tc>
          <w:tcPr>
            <w:tcW w:w="1984" w:type="dxa"/>
            <w:tcBorders>
              <w:top w:val="nil"/>
              <w:left w:val="nil"/>
              <w:right w:val="nil"/>
            </w:tcBorders>
            <w:vAlign w:val="center"/>
          </w:tcPr>
          <w:p w14:paraId="0B93B49E">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0.703</w:t>
            </w:r>
          </w:p>
        </w:tc>
        <w:tc>
          <w:tcPr>
            <w:tcW w:w="1984" w:type="dxa"/>
            <w:tcBorders>
              <w:top w:val="nil"/>
              <w:left w:val="nil"/>
              <w:right w:val="nil"/>
            </w:tcBorders>
            <w:vAlign w:val="center"/>
          </w:tcPr>
          <w:p w14:paraId="0B0A08C3">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0.654</w:t>
            </w:r>
          </w:p>
        </w:tc>
        <w:tc>
          <w:tcPr>
            <w:tcW w:w="1984" w:type="dxa"/>
            <w:tcBorders>
              <w:top w:val="nil"/>
              <w:left w:val="nil"/>
              <w:right w:val="nil"/>
            </w:tcBorders>
            <w:vAlign w:val="center"/>
          </w:tcPr>
          <w:p w14:paraId="08E3B38E">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0.824</w:t>
            </w:r>
          </w:p>
        </w:tc>
        <w:tc>
          <w:tcPr>
            <w:tcW w:w="1984" w:type="dxa"/>
            <w:tcBorders>
              <w:top w:val="nil"/>
              <w:left w:val="nil"/>
              <w:right w:val="nil"/>
            </w:tcBorders>
            <w:vAlign w:val="center"/>
          </w:tcPr>
          <w:p w14:paraId="12630B1D">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imes New Roman" w:hAnsi="Times New Roman" w:cs="Times New Roman"/>
                <w:sz w:val="19"/>
                <w:szCs w:val="19"/>
                <w:lang w:val="en-US" w:eastAsia="zh-CN"/>
              </w:rPr>
            </w:pPr>
            <w:r>
              <w:rPr>
                <w:rFonts w:ascii="Times New Roman" w:hAnsi="Times New Roman" w:cs="Times New Roman"/>
                <w:sz w:val="19"/>
                <w:szCs w:val="19"/>
                <w:lang w:val="en-US" w:eastAsia="zh-CN"/>
              </w:rPr>
              <w:t>0.904</w:t>
            </w:r>
          </w:p>
        </w:tc>
      </w:tr>
    </w:tbl>
    <w:p w14:paraId="7FE7B37E">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ascii="Times New Roman" w:hAnsi="Times New Roman" w:eastAsia="Times New Roman" w:cs="Times New Roman"/>
          <w:sz w:val="22"/>
          <w:szCs w:val="21"/>
        </w:rPr>
      </w:pPr>
      <w:r>
        <w:rPr>
          <w:rFonts w:ascii="Times New Roman" w:hAnsi="Times New Roman" w:eastAsia="Times New Roman" w:cs="Times New Roman"/>
          <w:sz w:val="22"/>
          <w:szCs w:val="21"/>
        </w:rPr>
        <w:t>Performance of the sensor-space models in the development cohort was estimated from repeat-averaged out-of-fold predictions. Performance in the validation cohort was evaluated using the locked models without refitting or recalibration. Classification thresholds were determined from the out-of-fold development-cohort predictions using the Youden index and applied unchanged to the validation cohort. Lower Brier scores indicate better probabilistic accuracy. The ideal values for the calibration intercept and slope are 0 and 1, respectively.</w:t>
      </w:r>
    </w:p>
    <w:p w14:paraId="2C134960">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ascii="Times New Roman" w:hAnsi="Times New Roman" w:eastAsia="Times New Roman" w:cs="Times New Roman"/>
          <w:sz w:val="22"/>
          <w:szCs w:val="21"/>
        </w:rPr>
      </w:pPr>
      <w:r>
        <w:rPr>
          <w:rFonts w:ascii="Times New Roman" w:hAnsi="Times New Roman" w:eastAsia="Times New Roman" w:cs="Times New Roman"/>
          <w:sz w:val="22"/>
          <w:szCs w:val="21"/>
        </w:rPr>
        <w:t>AUPRC, area under the precision–recall curve; AUROC, area under the receiver operating characteristic curve; CI, confidence interval; EEG, electroencephalography.</w:t>
      </w:r>
    </w:p>
    <w:p w14:paraId="5EE0D32B">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ascii="Times New Roman" w:hAnsi="Times New Roman" w:eastAsia="Times New Roman" w:cs="Times New Roman"/>
          <w:sz w:val="22"/>
          <w:szCs w:val="21"/>
        </w:rPr>
      </w:pPr>
    </w:p>
    <w:p w14:paraId="0DCFE490">
      <w:pPr>
        <w:keepNext/>
        <w:keepLines w:val="0"/>
        <w:pageBreakBefore w:val="0"/>
        <w:widowControl w:val="0"/>
        <w:kinsoku/>
        <w:wordWrap/>
        <w:overflowPunct/>
        <w:topLinePunct w:val="0"/>
        <w:autoSpaceDE/>
        <w:autoSpaceDN/>
        <w:bidi w:val="0"/>
        <w:adjustRightInd w:val="0"/>
        <w:snapToGrid w:val="0"/>
        <w:spacing w:after="60" w:line="480" w:lineRule="auto"/>
        <w:jc w:val="both"/>
        <w:textAlignment w:val="auto"/>
        <w:rPr>
          <w:rFonts w:hint="eastAsia" w:ascii="Times New Roman" w:hAnsi="Times New Roman" w:eastAsia="Times New Roman" w:cs="Times New Roman"/>
          <w:b/>
          <w:sz w:val="22"/>
          <w:szCs w:val="21"/>
        </w:rPr>
      </w:pPr>
      <w:r>
        <w:rPr>
          <w:rFonts w:hint="eastAsia" w:ascii="Times New Roman" w:hAnsi="Times New Roman" w:eastAsia="Times New Roman" w:cs="Times New Roman"/>
          <w:b/>
          <w:sz w:val="22"/>
          <w:szCs w:val="21"/>
        </w:rPr>
        <w:t>Supplementary Table S10. DeLong comparisons of the primary combined model with the sensor-space EEG and clinical–sensor-space EEG models.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1"/>
        <w:gridCol w:w="3685"/>
        <w:gridCol w:w="2268"/>
        <w:gridCol w:w="1701"/>
      </w:tblGrid>
      <w:tr w14:paraId="4C995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131" w:type="dxa"/>
            <w:vAlign w:val="center"/>
          </w:tcPr>
          <w:p w14:paraId="23F9232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bCs/>
                <w:sz w:val="19"/>
                <w:szCs w:val="19"/>
                <w:lang w:val="en-US" w:eastAsia="zh-CN"/>
              </w:rPr>
            </w:pPr>
            <w:bookmarkStart w:id="0" w:name="_GoBack" w:colFirst="0" w:colLast="3"/>
            <w:r>
              <w:rPr>
                <w:rFonts w:ascii="Times New Roman" w:hAnsi="Times New Roman" w:cs="Times New Roman"/>
                <w:b/>
                <w:bCs/>
                <w:sz w:val="19"/>
                <w:szCs w:val="19"/>
                <w:lang w:val="en-US" w:eastAsia="zh-CN"/>
              </w:rPr>
              <w:t>Cohort</w:t>
            </w:r>
          </w:p>
        </w:tc>
        <w:tc>
          <w:tcPr>
            <w:tcW w:w="3685" w:type="dxa"/>
            <w:vAlign w:val="center"/>
          </w:tcPr>
          <w:p w14:paraId="008AF10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bCs/>
                <w:sz w:val="19"/>
                <w:szCs w:val="19"/>
                <w:lang w:val="en-US" w:eastAsia="zh-CN"/>
              </w:rPr>
            </w:pPr>
            <w:r>
              <w:rPr>
                <w:rFonts w:ascii="Times New Roman" w:hAnsi="Times New Roman" w:cs="Times New Roman"/>
                <w:b/>
                <w:bCs/>
                <w:sz w:val="19"/>
                <w:szCs w:val="19"/>
                <w:lang w:val="en-US" w:eastAsia="zh-CN"/>
              </w:rPr>
              <w:t>Comparison</w:t>
            </w:r>
          </w:p>
        </w:tc>
        <w:tc>
          <w:tcPr>
            <w:tcW w:w="2268" w:type="dxa"/>
            <w:vAlign w:val="center"/>
          </w:tcPr>
          <w:p w14:paraId="3958F676">
            <w:pPr>
              <w:keepNext w:val="0"/>
              <w:keepLines w:val="0"/>
              <w:pageBreakBefore w:val="0"/>
              <w:widowControl w:val="0"/>
              <w:kinsoku/>
              <w:wordWrap/>
              <w:overflowPunct/>
              <w:topLinePunct w:val="0"/>
              <w:autoSpaceDE/>
              <w:autoSpaceDN/>
              <w:bidi w:val="0"/>
              <w:adjustRightInd w:val="0"/>
              <w:snapToGrid w:val="0"/>
              <w:spacing w:line="480" w:lineRule="auto"/>
              <w:jc w:val="left"/>
              <w:textAlignment w:val="auto"/>
              <w:rPr>
                <w:rFonts w:ascii="Times New Roman" w:hAnsi="Times New Roman" w:cs="Times New Roman"/>
                <w:b/>
                <w:bCs/>
                <w:sz w:val="19"/>
                <w:szCs w:val="19"/>
                <w:lang w:val="en-US" w:eastAsia="zh-CN"/>
              </w:rPr>
            </w:pPr>
            <w:r>
              <w:rPr>
                <w:rFonts w:ascii="Times New Roman" w:hAnsi="Times New Roman" w:cs="Times New Roman"/>
                <w:b/>
                <w:bCs/>
                <w:sz w:val="19"/>
                <w:szCs w:val="19"/>
                <w:lang w:val="en-US" w:eastAsia="zh-CN"/>
              </w:rPr>
              <w:t>ΔAUROC (95% CI)</w:t>
            </w:r>
          </w:p>
        </w:tc>
        <w:tc>
          <w:tcPr>
            <w:tcW w:w="1701" w:type="dxa"/>
            <w:vAlign w:val="center"/>
          </w:tcPr>
          <w:p w14:paraId="3F5B88C0">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b/>
                <w:bCs/>
                <w:sz w:val="19"/>
                <w:szCs w:val="19"/>
                <w:lang w:val="en-US" w:eastAsia="zh-CN"/>
              </w:rPr>
            </w:pPr>
            <w:r>
              <w:rPr>
                <w:rFonts w:ascii="Times New Roman" w:hAnsi="Times New Roman" w:cs="Times New Roman"/>
                <w:b/>
                <w:bCs/>
                <w:i/>
                <w:iCs/>
                <w:sz w:val="19"/>
                <w:szCs w:val="19"/>
                <w:lang w:val="en-US" w:eastAsia="zh-CN"/>
              </w:rPr>
              <w:t>p</w:t>
            </w:r>
            <w:r>
              <w:rPr>
                <w:rFonts w:ascii="Times New Roman" w:hAnsi="Times New Roman" w:cs="Times New Roman"/>
                <w:b/>
                <w:bCs/>
                <w:sz w:val="19"/>
                <w:szCs w:val="19"/>
                <w:lang w:val="en-US" w:eastAsia="zh-CN"/>
              </w:rPr>
              <w:t xml:space="preserve"> value</w:t>
            </w:r>
          </w:p>
        </w:tc>
      </w:tr>
      <w:bookmarkEnd w:id="0"/>
      <w:tr w14:paraId="1B6DB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31" w:type="dxa"/>
            <w:vAlign w:val="center"/>
          </w:tcPr>
          <w:p w14:paraId="05615628">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Development cohort</w:t>
            </w:r>
          </w:p>
        </w:tc>
        <w:tc>
          <w:tcPr>
            <w:tcW w:w="3685" w:type="dxa"/>
            <w:vAlign w:val="center"/>
          </w:tcPr>
          <w:p w14:paraId="2C187299">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Combined vs</w:t>
            </w:r>
            <w:r>
              <w:rPr>
                <w:rFonts w:hint="eastAsia" w:ascii="Times New Roman" w:hAnsi="Times New Roman" w:cs="Times New Roman"/>
                <w:sz w:val="19"/>
                <w:szCs w:val="19"/>
                <w:lang w:val="en-US" w:eastAsia="zh-CN"/>
              </w:rPr>
              <w:t>.</w:t>
            </w:r>
            <w:r>
              <w:rPr>
                <w:rFonts w:ascii="Times New Roman" w:hAnsi="Times New Roman" w:cs="Times New Roman"/>
                <w:sz w:val="19"/>
                <w:szCs w:val="19"/>
                <w:lang w:val="en-US" w:eastAsia="zh-CN"/>
              </w:rPr>
              <w:t xml:space="preserve"> sensor-space EEG</w:t>
            </w:r>
          </w:p>
        </w:tc>
        <w:tc>
          <w:tcPr>
            <w:tcW w:w="2268" w:type="dxa"/>
            <w:vAlign w:val="center"/>
          </w:tcPr>
          <w:p w14:paraId="24A3F92A">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0.152 (0.063–0.241)</w:t>
            </w:r>
          </w:p>
        </w:tc>
        <w:tc>
          <w:tcPr>
            <w:tcW w:w="1701" w:type="dxa"/>
            <w:vAlign w:val="center"/>
          </w:tcPr>
          <w:p w14:paraId="32DD03B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&lt;0.001</w:t>
            </w:r>
          </w:p>
        </w:tc>
      </w:tr>
      <w:tr w14:paraId="61471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31" w:type="dxa"/>
            <w:vAlign w:val="center"/>
          </w:tcPr>
          <w:p w14:paraId="3E076D3C">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Development cohort</w:t>
            </w:r>
          </w:p>
        </w:tc>
        <w:tc>
          <w:tcPr>
            <w:tcW w:w="3685" w:type="dxa"/>
            <w:vAlign w:val="center"/>
          </w:tcPr>
          <w:p w14:paraId="5C4A814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Combined vs</w:t>
            </w:r>
            <w:r>
              <w:rPr>
                <w:rFonts w:hint="eastAsia" w:ascii="Times New Roman" w:hAnsi="Times New Roman" w:cs="Times New Roman"/>
                <w:sz w:val="19"/>
                <w:szCs w:val="19"/>
                <w:lang w:val="en-US" w:eastAsia="zh-CN"/>
              </w:rPr>
              <w:t>.</w:t>
            </w:r>
            <w:r>
              <w:rPr>
                <w:rFonts w:ascii="Times New Roman" w:hAnsi="Times New Roman" w:cs="Times New Roman"/>
                <w:sz w:val="19"/>
                <w:szCs w:val="19"/>
                <w:lang w:val="en-US" w:eastAsia="zh-CN"/>
              </w:rPr>
              <w:t xml:space="preserve"> clinical–sensor-space EEG</w:t>
            </w:r>
          </w:p>
        </w:tc>
        <w:tc>
          <w:tcPr>
            <w:tcW w:w="2268" w:type="dxa"/>
            <w:vAlign w:val="center"/>
          </w:tcPr>
          <w:p w14:paraId="321A635F">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0.081 (0.025–0.136)</w:t>
            </w:r>
          </w:p>
        </w:tc>
        <w:tc>
          <w:tcPr>
            <w:tcW w:w="1701" w:type="dxa"/>
            <w:vAlign w:val="center"/>
          </w:tcPr>
          <w:p w14:paraId="142FBEB2">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sz w:val="19"/>
                <w:szCs w:val="19"/>
                <w:lang w:val="en-US" w:eastAsia="zh-CN"/>
              </w:rPr>
            </w:pPr>
            <w:r>
              <w:rPr>
                <w:rFonts w:ascii="Times New Roman" w:hAnsi="Times New Roman" w:cs="Times New Roman"/>
                <w:sz w:val="19"/>
                <w:szCs w:val="19"/>
                <w:lang w:val="en-US" w:eastAsia="zh-CN"/>
              </w:rPr>
              <w:t>0.</w:t>
            </w:r>
            <w:r>
              <w:rPr>
                <w:rFonts w:hint="eastAsia" w:ascii="Times New Roman" w:hAnsi="Times New Roman" w:cs="Times New Roman"/>
                <w:sz w:val="19"/>
                <w:szCs w:val="19"/>
                <w:lang w:val="en-US" w:eastAsia="zh-CN"/>
              </w:rPr>
              <w:t>004</w:t>
            </w:r>
          </w:p>
        </w:tc>
      </w:tr>
      <w:tr w14:paraId="0F294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31" w:type="dxa"/>
            <w:vAlign w:val="center"/>
          </w:tcPr>
          <w:p w14:paraId="11116029">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Validation cohort</w:t>
            </w:r>
          </w:p>
        </w:tc>
        <w:tc>
          <w:tcPr>
            <w:tcW w:w="3685" w:type="dxa"/>
            <w:vAlign w:val="center"/>
          </w:tcPr>
          <w:p w14:paraId="54035DC0">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Combined vs</w:t>
            </w:r>
            <w:r>
              <w:rPr>
                <w:rFonts w:hint="eastAsia" w:ascii="Times New Roman" w:hAnsi="Times New Roman" w:cs="Times New Roman"/>
                <w:sz w:val="19"/>
                <w:szCs w:val="19"/>
                <w:lang w:val="en-US" w:eastAsia="zh-CN"/>
              </w:rPr>
              <w:t>.</w:t>
            </w:r>
            <w:r>
              <w:rPr>
                <w:rFonts w:ascii="Times New Roman" w:hAnsi="Times New Roman" w:cs="Times New Roman"/>
                <w:sz w:val="19"/>
                <w:szCs w:val="19"/>
                <w:lang w:val="en-US" w:eastAsia="zh-CN"/>
              </w:rPr>
              <w:t xml:space="preserve"> sensor-space EEG</w:t>
            </w:r>
          </w:p>
        </w:tc>
        <w:tc>
          <w:tcPr>
            <w:tcW w:w="2268" w:type="dxa"/>
            <w:vAlign w:val="center"/>
          </w:tcPr>
          <w:p w14:paraId="71E7A9C1">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0.235 (0.119–0.352)</w:t>
            </w:r>
          </w:p>
        </w:tc>
        <w:tc>
          <w:tcPr>
            <w:tcW w:w="1701" w:type="dxa"/>
            <w:vAlign w:val="center"/>
          </w:tcPr>
          <w:p w14:paraId="4172E11D">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&lt;0.001</w:t>
            </w:r>
          </w:p>
        </w:tc>
      </w:tr>
      <w:tr w14:paraId="40630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31" w:type="dxa"/>
            <w:vAlign w:val="center"/>
          </w:tcPr>
          <w:p w14:paraId="62CFFC1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Validation cohort</w:t>
            </w:r>
          </w:p>
        </w:tc>
        <w:tc>
          <w:tcPr>
            <w:tcW w:w="3685" w:type="dxa"/>
            <w:vAlign w:val="center"/>
          </w:tcPr>
          <w:p w14:paraId="12FE274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Combined vs</w:t>
            </w:r>
            <w:r>
              <w:rPr>
                <w:rFonts w:hint="eastAsia" w:ascii="Times New Roman" w:hAnsi="Times New Roman" w:cs="Times New Roman"/>
                <w:sz w:val="19"/>
                <w:szCs w:val="19"/>
                <w:lang w:val="en-US" w:eastAsia="zh-CN"/>
              </w:rPr>
              <w:t>.</w:t>
            </w:r>
            <w:r>
              <w:rPr>
                <w:rFonts w:ascii="Times New Roman" w:hAnsi="Times New Roman" w:cs="Times New Roman"/>
                <w:sz w:val="19"/>
                <w:szCs w:val="19"/>
                <w:lang w:val="en-US" w:eastAsia="zh-CN"/>
              </w:rPr>
              <w:t xml:space="preserve"> clinical–sensor-space EEG</w:t>
            </w:r>
          </w:p>
        </w:tc>
        <w:tc>
          <w:tcPr>
            <w:tcW w:w="2268" w:type="dxa"/>
            <w:vAlign w:val="center"/>
          </w:tcPr>
          <w:p w14:paraId="16510D94">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ascii="Times New Roman" w:hAnsi="Times New Roman" w:cs="Times New Roman"/>
                <w:sz w:val="19"/>
                <w:szCs w:val="19"/>
                <w:lang w:val="en-US" w:eastAsia="zh-CN"/>
              </w:rPr>
            </w:pPr>
            <w:r>
              <w:rPr>
                <w:rFonts w:ascii="Times New Roman" w:hAnsi="Times New Roman" w:cs="Times New Roman"/>
                <w:sz w:val="19"/>
                <w:szCs w:val="19"/>
                <w:lang w:val="en-US" w:eastAsia="zh-CN"/>
              </w:rPr>
              <w:t>0.074 (−0.009–0.158)</w:t>
            </w:r>
          </w:p>
        </w:tc>
        <w:tc>
          <w:tcPr>
            <w:tcW w:w="1701" w:type="dxa"/>
            <w:vAlign w:val="center"/>
          </w:tcPr>
          <w:p w14:paraId="4E61F693">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cs="Times New Roman"/>
                <w:sz w:val="19"/>
                <w:szCs w:val="19"/>
                <w:lang w:val="en-US" w:eastAsia="zh-CN"/>
              </w:rPr>
            </w:pPr>
            <w:r>
              <w:rPr>
                <w:rFonts w:ascii="Times New Roman" w:hAnsi="Times New Roman" w:cs="Times New Roman"/>
                <w:sz w:val="19"/>
                <w:szCs w:val="19"/>
                <w:lang w:val="en-US" w:eastAsia="zh-CN"/>
              </w:rPr>
              <w:t>0.</w:t>
            </w:r>
            <w:r>
              <w:rPr>
                <w:rFonts w:hint="eastAsia" w:ascii="Times New Roman" w:hAnsi="Times New Roman" w:cs="Times New Roman"/>
                <w:sz w:val="19"/>
                <w:szCs w:val="19"/>
                <w:lang w:val="en-US" w:eastAsia="zh-CN"/>
              </w:rPr>
              <w:t>082</w:t>
            </w:r>
          </w:p>
        </w:tc>
      </w:tr>
    </w:tbl>
    <w:p w14:paraId="7BBBFE6C">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ascii="Times New Roman" w:hAnsi="Times New Roman" w:eastAsia="Times New Roman" w:cs="Times New Roman"/>
          <w:sz w:val="22"/>
          <w:szCs w:val="21"/>
        </w:rPr>
      </w:pPr>
      <w:r>
        <w:rPr>
          <w:rFonts w:ascii="Times New Roman" w:hAnsi="Times New Roman" w:eastAsia="Times New Roman" w:cs="Times New Roman"/>
          <w:sz w:val="22"/>
          <w:szCs w:val="21"/>
        </w:rPr>
        <w:t>AUROC differences were calculated as the AUROC of the primary combined model minus that of the comparator model. Positive values favor the primary combined model. Comparisons were performed using DeLong’s test. “Combined” refers to the primary combined clinical–source-space EEG model.</w:t>
      </w:r>
    </w:p>
    <w:p w14:paraId="60CBF0E1">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ascii="Times New Roman" w:hAnsi="Times New Roman" w:eastAsia="Times New Roman" w:cs="Times New Roman"/>
          <w:sz w:val="22"/>
          <w:szCs w:val="21"/>
        </w:rPr>
      </w:pPr>
      <w:r>
        <w:rPr>
          <w:rFonts w:ascii="Times New Roman" w:hAnsi="Times New Roman" w:eastAsia="Times New Roman" w:cs="Times New Roman"/>
          <w:sz w:val="22"/>
          <w:szCs w:val="21"/>
        </w:rPr>
        <w:t>AUROC, area under the receiver operating characteristic curve; CI, confidence interval; EEG, electroencephalography.</w:t>
      </w:r>
    </w:p>
    <w:p w14:paraId="069454DF">
      <w:pPr>
        <w:keepNext/>
        <w:keepLines w:val="0"/>
        <w:pageBreakBefore w:val="0"/>
        <w:widowControl w:val="0"/>
        <w:kinsoku/>
        <w:wordWrap/>
        <w:overflowPunct/>
        <w:topLinePunct w:val="0"/>
        <w:autoSpaceDE/>
        <w:autoSpaceDN/>
        <w:bidi w:val="0"/>
        <w:adjustRightInd w:val="0"/>
        <w:snapToGrid w:val="0"/>
        <w:spacing w:after="60" w:line="480" w:lineRule="auto"/>
        <w:jc w:val="both"/>
        <w:textAlignment w:val="auto"/>
        <w:rPr>
          <w:rFonts w:hint="eastAsia" w:ascii="Times New Roman" w:hAnsi="Times New Roman" w:eastAsia="Times New Roman" w:cs="Times New Roman"/>
          <w:b/>
          <w:sz w:val="22"/>
          <w:szCs w:val="21"/>
        </w:rPr>
      </w:pPr>
    </w:p>
    <w:sectPr>
      <w:pgSz w:w="11906" w:h="16838"/>
      <w:pgMar w:top="851" w:right="851" w:bottom="851" w:left="851"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4EC"/>
    <w:rsid w:val="00471056"/>
    <w:rsid w:val="004714EC"/>
    <w:rsid w:val="00511B16"/>
    <w:rsid w:val="00521825"/>
    <w:rsid w:val="005F72F1"/>
    <w:rsid w:val="006C40F7"/>
    <w:rsid w:val="009D7CD2"/>
    <w:rsid w:val="00A61E81"/>
    <w:rsid w:val="00D024C8"/>
    <w:rsid w:val="00F80648"/>
    <w:rsid w:val="015F407B"/>
    <w:rsid w:val="06456265"/>
    <w:rsid w:val="12943784"/>
    <w:rsid w:val="1C2D48FA"/>
    <w:rsid w:val="216460F3"/>
    <w:rsid w:val="22176628"/>
    <w:rsid w:val="259D0480"/>
    <w:rsid w:val="28F30B5F"/>
    <w:rsid w:val="297B7FC4"/>
    <w:rsid w:val="35635033"/>
    <w:rsid w:val="37D379F5"/>
    <w:rsid w:val="3D7C20C9"/>
    <w:rsid w:val="3EC76640"/>
    <w:rsid w:val="3F086B21"/>
    <w:rsid w:val="4F425DBF"/>
    <w:rsid w:val="57CD5058"/>
    <w:rsid w:val="59677E52"/>
    <w:rsid w:val="5C71586D"/>
    <w:rsid w:val="634B3340"/>
    <w:rsid w:val="764E41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3">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5">
    <w:name w:val="Table Grid"/>
    <w:basedOn w:val="14"/>
    <w:qFormat/>
    <w:uiPriority w:val="39"/>
    <w:rPr>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rPr>
  </w:style>
  <w:style w:type="character" w:customStyle="1" w:styleId="18">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6"/>
    <w:link w:val="5"/>
    <w:semiHidden/>
    <w:qFormat/>
    <w:uiPriority w:val="9"/>
    <w:rPr>
      <w:rFonts w:cstheme="majorBidi"/>
      <w:color w:val="104862" w:themeColor="accent1" w:themeShade="BF"/>
      <w:sz w:val="28"/>
      <w:szCs w:val="28"/>
    </w:rPr>
  </w:style>
  <w:style w:type="character" w:customStyle="1" w:styleId="22">
    <w:name w:val="标题 5 字符"/>
    <w:basedOn w:val="16"/>
    <w:link w:val="6"/>
    <w:semiHidden/>
    <w:qFormat/>
    <w:uiPriority w:val="9"/>
    <w:rPr>
      <w:rFonts w:cstheme="majorBidi"/>
      <w:color w:val="104862" w:themeColor="accent1" w:themeShade="BF"/>
      <w:sz w:val="24"/>
      <w:szCs w:val="24"/>
    </w:rPr>
  </w:style>
  <w:style w:type="character" w:customStyle="1" w:styleId="23">
    <w:name w:val="标题 6 字符"/>
    <w:basedOn w:val="16"/>
    <w:link w:val="7"/>
    <w:semiHidden/>
    <w:qFormat/>
    <w:uiPriority w:val="9"/>
    <w:rPr>
      <w:rFonts w:cstheme="majorBidi"/>
      <w:b/>
      <w:bCs/>
      <w:color w:val="104862" w:themeColor="accent1" w:themeShade="BF"/>
    </w:rPr>
  </w:style>
  <w:style w:type="character" w:customStyle="1" w:styleId="24">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6"/>
    <w:link w:val="13"/>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6"/>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6"/>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6"/>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6"/>
    <w:link w:val="33"/>
    <w:qFormat/>
    <w:uiPriority w:val="30"/>
    <w:rPr>
      <w:i/>
      <w:iCs/>
      <w:color w:val="104862" w:themeColor="accent1" w:themeShade="BF"/>
    </w:rPr>
  </w:style>
  <w:style w:type="character" w:customStyle="1" w:styleId="35">
    <w:name w:val="Intense Reference"/>
    <w:basedOn w:val="16"/>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3520</Words>
  <Characters>20673</Characters>
  <Lines>188</Lines>
  <Paragraphs>107</Paragraphs>
  <TotalTime>32</TotalTime>
  <ScaleCrop>false</ScaleCrop>
  <LinksUpToDate>false</LinksUpToDate>
  <CharactersWithSpaces>23745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2026-08-29T12:06:00Z</dcterms:created>
  <dc:creator>kang jin</dc:creator>
  <cp:lastModifiedBy>金康</cp:lastModifiedBy>
  <dcterms:modified xsi:type="dcterms:W3CDTF">2026-09-26T03:57:31Z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eyJoZGlkIjoiMGYwNTliNmQxZDI3OTg0MzYzNTMzOTMxNGJjZjg4NTYiLCJ1c2VySWQiOiI2NzE1MjUzNDgifQ==</vt:lpwstr>
  </property>
  <property fmtid="{D5CDD505-2E9C-101B-9397-08002B2CF9AE}" pid="3" name="KSOProductBuildVer">
    <vt:lpwstr>2052-12.1.0.26895</vt:lpwstr>
  </property>
  <property fmtid="{D5CDD505-2E9C-101B-9397-08002B2CF9AE}" pid="4" name="ICV">
    <vt:lpwstr>580A81A4092E490BA556DCDB86CF38FC_13</vt:lpwstr>
  </property>
</Properties>
</file>