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DA9A" w14:textId="2DB247EB" w:rsidR="00687D9B" w:rsidRPr="002F0E31" w:rsidRDefault="00233883" w:rsidP="00687D9B">
      <w:pPr>
        <w:pStyle w:val="Heading1"/>
        <w:spacing w:line="360" w:lineRule="auto"/>
        <w:ind w:left="0"/>
        <w:rPr>
          <w:b w:val="0"/>
          <w:bCs w:val="0"/>
        </w:rPr>
      </w:pPr>
      <w:r w:rsidRPr="002F0E31">
        <w:t>Appendix</w:t>
      </w:r>
    </w:p>
    <w:p w14:paraId="00A8F83A" w14:textId="77777777" w:rsidR="00687D9B" w:rsidRPr="002F0E31" w:rsidRDefault="00687D9B" w:rsidP="00687D9B">
      <w:pPr>
        <w:pStyle w:val="BodyText"/>
        <w:spacing w:line="360" w:lineRule="auto"/>
      </w:pPr>
    </w:p>
    <w:p w14:paraId="6D4777F9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 xml:space="preserve">Supplementary table 1: </w:t>
      </w:r>
      <w:r w:rsidRPr="002F0E31">
        <w:t xml:space="preserve">Definition of adverse events with their severity and eventual required intervention used to evaluate and classify the possible complications presents in the included studies. </w:t>
      </w:r>
      <w:bookmarkStart w:id="0" w:name="_GoBack"/>
      <w:bookmarkEnd w:id="0"/>
    </w:p>
    <w:p w14:paraId="69D2806B" w14:textId="77777777" w:rsidR="00687D9B" w:rsidRPr="002F0E31" w:rsidRDefault="00687D9B" w:rsidP="00687D9B">
      <w:pPr>
        <w:pStyle w:val="BodyText"/>
        <w:spacing w:line="360" w:lineRule="auto"/>
      </w:pPr>
      <w:r w:rsidRPr="002F0E31" w:rsidDel="007414EE">
        <w:rPr>
          <w:b/>
          <w:bCs/>
          <w:u w:val="single"/>
        </w:rPr>
        <w:t xml:space="preserve"> </w:t>
      </w:r>
      <w:r w:rsidRPr="002F0E31">
        <w:rPr>
          <w:noProof/>
          <w:shd w:val="clear" w:color="auto" w:fill="FFFFFF"/>
          <w:lang w:val="en-IN" w:eastAsia="en-IN"/>
        </w:rPr>
        <w:drawing>
          <wp:inline distT="0" distB="0" distL="0" distR="0" wp14:anchorId="2D43E783" wp14:editId="21154E01">
            <wp:extent cx="5230638" cy="1805940"/>
            <wp:effectExtent l="0" t="0" r="8255" b="3810"/>
            <wp:docPr id="8" name="Immagine 1" descr="A close-up of a questionnai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82666" name="Immagine 1" descr="A close-up of a questionnaire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8"/>
                    <a:stretch/>
                  </pic:blipFill>
                  <pic:spPr bwMode="auto">
                    <a:xfrm>
                      <a:off x="0" y="0"/>
                      <a:ext cx="5238641" cy="1808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582EE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41CCBA2E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>Supplementary figure 2:</w:t>
      </w:r>
      <w:r w:rsidRPr="002F0E31">
        <w:t xml:space="preserve"> Graphic representation of the prevalence of the different meniscal healing grades (previously explained in the methods) evaluated trough MRI in Kaminsky et al. 2019 [13].</w:t>
      </w:r>
    </w:p>
    <w:p w14:paraId="660F48C1" w14:textId="77777777" w:rsidR="00687D9B" w:rsidRPr="002F0E31" w:rsidRDefault="00687D9B" w:rsidP="00687D9B">
      <w:pPr>
        <w:pStyle w:val="BodyText"/>
        <w:spacing w:line="360" w:lineRule="auto"/>
      </w:pPr>
      <w:r w:rsidRPr="002F0E31" w:rsidDel="007414EE">
        <w:rPr>
          <w:b/>
          <w:bCs/>
          <w:u w:val="single"/>
        </w:rPr>
        <w:t xml:space="preserve"> </w:t>
      </w:r>
      <w:r w:rsidRPr="002F0E31">
        <w:rPr>
          <w:noProof/>
          <w:lang w:val="en-IN" w:eastAsia="en-IN"/>
        </w:rPr>
        <w:drawing>
          <wp:inline distT="0" distB="0" distL="0" distR="0" wp14:anchorId="495E45CB" wp14:editId="40A856E3">
            <wp:extent cx="4331335" cy="2603763"/>
            <wp:effectExtent l="0" t="0" r="0" b="0"/>
            <wp:docPr id="9" name="Picture 9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graph of a number of people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645" cy="262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71057" w14:textId="77777777" w:rsidR="00687D9B" w:rsidRPr="002F0E31" w:rsidRDefault="00687D9B" w:rsidP="00687D9B">
      <w:pPr>
        <w:pStyle w:val="BodyText"/>
        <w:spacing w:line="360" w:lineRule="auto"/>
      </w:pPr>
    </w:p>
    <w:p w14:paraId="53EADFF3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749E6157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7B092E4E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2A424F2A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4CE3B63B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56D2C335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6E97B6EC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4D516070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>Supplementary figure 3:</w:t>
      </w:r>
      <w:r w:rsidRPr="002F0E31">
        <w:t xml:space="preserve"> Graphic representation of the prevalence of the different meniscal healing grades (previously explained in the methods) evaluated cumulatively via MRI + Arthroscopic studies in Kaminsky et al. 2019 [13].</w:t>
      </w:r>
    </w:p>
    <w:p w14:paraId="45ED8752" w14:textId="77777777" w:rsidR="00687D9B" w:rsidRPr="002F0E31" w:rsidRDefault="00687D9B" w:rsidP="00687D9B">
      <w:pPr>
        <w:pStyle w:val="BodyText"/>
        <w:spacing w:line="360" w:lineRule="auto"/>
      </w:pPr>
      <w:r w:rsidRPr="002F0E31" w:rsidDel="007414EE">
        <w:rPr>
          <w:b/>
          <w:bCs/>
          <w:u w:val="single"/>
        </w:rPr>
        <w:t xml:space="preserve"> </w:t>
      </w:r>
    </w:p>
    <w:p w14:paraId="446D3E70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noProof/>
          <w:lang w:val="en-IN" w:eastAsia="en-IN"/>
        </w:rPr>
        <w:drawing>
          <wp:inline distT="0" distB="0" distL="0" distR="0" wp14:anchorId="151A09A6" wp14:editId="22F0EE36">
            <wp:extent cx="4331461" cy="2562330"/>
            <wp:effectExtent l="0" t="0" r="0" b="3175"/>
            <wp:docPr id="10" name="Picture 10" descr="A graph of different colored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A graph of different colored b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4703" cy="256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12CE0" w14:textId="77777777" w:rsidR="00687D9B" w:rsidRPr="002F0E31" w:rsidRDefault="00687D9B" w:rsidP="00687D9B">
      <w:pPr>
        <w:pStyle w:val="BodyText"/>
        <w:spacing w:line="360" w:lineRule="auto"/>
      </w:pPr>
    </w:p>
    <w:p w14:paraId="7E234D36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2B560788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1E6BAA13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>Supplementary figure 4:</w:t>
      </w:r>
      <w:r w:rsidRPr="002F0E31">
        <w:t xml:space="preserve"> Graphic representation of the prevalence of the different meniscal healing grades (previously explained in methods) evaluated trough MRI in Kaminsky et al. 2018 [14].</w:t>
      </w:r>
    </w:p>
    <w:p w14:paraId="23686130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  <w:r w:rsidRPr="002F0E31" w:rsidDel="007414EE">
        <w:rPr>
          <w:b/>
          <w:bCs/>
          <w:u w:val="single"/>
        </w:rPr>
        <w:t xml:space="preserve"> </w:t>
      </w:r>
    </w:p>
    <w:p w14:paraId="76653072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  <w:r w:rsidRPr="002F0E31">
        <w:rPr>
          <w:noProof/>
          <w:lang w:val="en-IN" w:eastAsia="en-IN"/>
        </w:rPr>
        <w:drawing>
          <wp:inline distT="0" distB="0" distL="0" distR="0" wp14:anchorId="0FEF5D58" wp14:editId="6CDCB6A2">
            <wp:extent cx="4464682" cy="2652765"/>
            <wp:effectExtent l="0" t="0" r="6350" b="1905"/>
            <wp:docPr id="11" name="Picture 11" descr="A graph of a graph with numbers and a ba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A graph of a graph with numbers and a bar chart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875" cy="2662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08698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66382E63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</w:p>
    <w:p w14:paraId="14587C83" w14:textId="77777777" w:rsidR="00687D9B" w:rsidRPr="002F0E31" w:rsidRDefault="00687D9B" w:rsidP="00687D9B">
      <w:pPr>
        <w:pStyle w:val="BodyText"/>
        <w:spacing w:line="360" w:lineRule="auto"/>
        <w:rPr>
          <w:b/>
          <w:bCs/>
          <w:i/>
          <w:iCs/>
        </w:rPr>
      </w:pPr>
      <w:r w:rsidRPr="002F0E31">
        <w:rPr>
          <w:b/>
          <w:bCs/>
          <w:i/>
          <w:iCs/>
        </w:rPr>
        <w:t>Supplementary figure 5:</w:t>
      </w:r>
      <w:r w:rsidRPr="002F0E31">
        <w:t xml:space="preserve"> Graphic representation of the prevalence of the different meniscal healing grades (previously explained in methods) evaluated trough arthroscopic studies in Kaminsky et al. 2018 [14].</w:t>
      </w:r>
    </w:p>
    <w:p w14:paraId="21AD5A53" w14:textId="77777777" w:rsidR="00687D9B" w:rsidRPr="002F0E31" w:rsidRDefault="00687D9B" w:rsidP="00687D9B">
      <w:pPr>
        <w:pStyle w:val="BodyText"/>
        <w:spacing w:line="360" w:lineRule="auto"/>
        <w:rPr>
          <w:b/>
          <w:bCs/>
          <w:u w:val="single"/>
        </w:rPr>
      </w:pPr>
    </w:p>
    <w:p w14:paraId="126EE67D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438D1610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  <w:r w:rsidRPr="002F0E31">
        <w:rPr>
          <w:noProof/>
          <w:lang w:val="en-IN" w:eastAsia="en-IN"/>
        </w:rPr>
        <w:drawing>
          <wp:inline distT="0" distB="0" distL="0" distR="0" wp14:anchorId="6A57517F" wp14:editId="32DE5D83">
            <wp:extent cx="4467351" cy="2642717"/>
            <wp:effectExtent l="0" t="0" r="3175" b="0"/>
            <wp:docPr id="12" name="Picture 12" descr="A graph of a group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graph of a group of people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2840" cy="2663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436B0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4F02AD5E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34C1C82A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>Supplementary figure number 6:</w:t>
      </w:r>
      <w:r w:rsidRPr="002F0E31">
        <w:t xml:space="preserve"> Graphic representation of the prevalence of the different meniscal healing grades (previously explained in methods) evaluated cumulatively via MRI + Arthroscopic studies in Kaminsky et al. 2019 [13].</w:t>
      </w:r>
    </w:p>
    <w:p w14:paraId="0928C502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  <w:r w:rsidRPr="002F0E31" w:rsidDel="007414EE">
        <w:rPr>
          <w:b/>
          <w:bCs/>
          <w:u w:val="single"/>
        </w:rPr>
        <w:t xml:space="preserve"> </w:t>
      </w:r>
    </w:p>
    <w:p w14:paraId="7C1A97B8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noProof/>
          <w:lang w:val="en-IN" w:eastAsia="en-IN"/>
        </w:rPr>
        <w:drawing>
          <wp:inline distT="0" distB="0" distL="0" distR="0" wp14:anchorId="17B64568" wp14:editId="46915FF4">
            <wp:extent cx="4340888" cy="2593229"/>
            <wp:effectExtent l="0" t="0" r="2540" b="0"/>
            <wp:docPr id="13" name="Picture 13" descr="A graph of a number of peo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A graph of a number of peopl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491" cy="2604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B5E50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379DEF44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40F0D321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>Supplementary figure number 7:</w:t>
      </w:r>
      <w:r w:rsidRPr="002F0E31">
        <w:t xml:space="preserve"> Visual representation of the final outcome evaluated trough the several patient-reported tools previously described (KOOS, VAS, IKDC and WOMAC).</w:t>
      </w:r>
    </w:p>
    <w:p w14:paraId="71E06124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  <w:r w:rsidRPr="002F0E31">
        <w:t>A positive sign (green) indicates there was a significative improvement in the PRP-treated group in relation with the indicates clinical evaluation tool compared with the control one, meanwhile the negative sign (red) indicates that there was no significative improvement in the PRP-treated group.</w:t>
      </w:r>
    </w:p>
    <w:p w14:paraId="47FB9F35" w14:textId="77777777" w:rsidR="00687D9B" w:rsidRPr="002F0E31" w:rsidRDefault="00687D9B" w:rsidP="00687D9B">
      <w:pPr>
        <w:pStyle w:val="BodyText"/>
        <w:spacing w:line="360" w:lineRule="auto"/>
        <w:rPr>
          <w:b/>
          <w:bCs/>
          <w:u w:val="single"/>
        </w:rPr>
      </w:pPr>
      <w:r w:rsidRPr="002F0E31" w:rsidDel="007414EE">
        <w:rPr>
          <w:b/>
          <w:bCs/>
        </w:rPr>
        <w:t xml:space="preserve"> </w:t>
      </w:r>
    </w:p>
    <w:p w14:paraId="1B179B22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73A729E3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  <w:r w:rsidRPr="002F0E31">
        <w:rPr>
          <w:noProof/>
          <w:lang w:val="en-IN" w:eastAsia="en-IN"/>
        </w:rPr>
        <w:drawing>
          <wp:inline distT="0" distB="0" distL="0" distR="0" wp14:anchorId="521ADDD2" wp14:editId="6BBC9462">
            <wp:extent cx="4622242" cy="2982309"/>
            <wp:effectExtent l="0" t="0" r="635" b="2540"/>
            <wp:docPr id="14" name="Picture 14" descr="A group of symbols in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symbols in circl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5867" cy="2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ECEB1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404C456D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49103A71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0E9EE4B5" w14:textId="77777777" w:rsidR="00687D9B" w:rsidRPr="002F0E31" w:rsidRDefault="00687D9B" w:rsidP="00687D9B">
      <w:pPr>
        <w:pStyle w:val="BodyText"/>
        <w:spacing w:line="360" w:lineRule="auto"/>
        <w:rPr>
          <w:b/>
          <w:bCs/>
        </w:rPr>
      </w:pPr>
    </w:p>
    <w:p w14:paraId="00B8BD90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>Supplementary table number 8:</w:t>
      </w:r>
      <w:r w:rsidRPr="002F0E31">
        <w:t xml:space="preserve"> Possibly bias-leading elements summarized.</w:t>
      </w:r>
    </w:p>
    <w:p w14:paraId="4A4CED91" w14:textId="77777777" w:rsidR="00687D9B" w:rsidRPr="002F0E31" w:rsidRDefault="00687D9B" w:rsidP="00687D9B">
      <w:pPr>
        <w:pStyle w:val="BodyText"/>
        <w:spacing w:line="360" w:lineRule="auto"/>
      </w:pPr>
    </w:p>
    <w:p w14:paraId="0442AC9F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noProof/>
          <w:spacing w:val="1"/>
          <w:lang w:val="en-IN" w:eastAsia="en-IN"/>
        </w:rPr>
        <w:drawing>
          <wp:inline distT="0" distB="0" distL="0" distR="0" wp14:anchorId="3C955E4D" wp14:editId="2B7DCC2D">
            <wp:extent cx="5731510" cy="1597061"/>
            <wp:effectExtent l="0" t="0" r="0" b="3175"/>
            <wp:docPr id="4" name="Picture 15" descr="A close-up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medical repo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9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4FFA5" w14:textId="77777777" w:rsidR="00687D9B" w:rsidRPr="002F0E31" w:rsidRDefault="00687D9B" w:rsidP="00687D9B">
      <w:pPr>
        <w:pStyle w:val="BodyText"/>
        <w:spacing w:line="360" w:lineRule="auto"/>
      </w:pPr>
    </w:p>
    <w:p w14:paraId="4830130A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b/>
          <w:bCs/>
          <w:i/>
          <w:iCs/>
        </w:rPr>
        <w:t xml:space="preserve">Supplementary table number 9: </w:t>
      </w:r>
      <w:r w:rsidRPr="002F0E31">
        <w:t>PICO question of this systematic review.</w:t>
      </w:r>
    </w:p>
    <w:p w14:paraId="77574603" w14:textId="77777777" w:rsidR="00687D9B" w:rsidRPr="002F0E31" w:rsidRDefault="00687D9B" w:rsidP="00687D9B">
      <w:pPr>
        <w:pStyle w:val="BodyText"/>
        <w:spacing w:line="360" w:lineRule="auto"/>
      </w:pPr>
    </w:p>
    <w:p w14:paraId="6A25EA0E" w14:textId="77777777" w:rsidR="00687D9B" w:rsidRPr="002F0E31" w:rsidRDefault="00687D9B" w:rsidP="00687D9B">
      <w:pPr>
        <w:pStyle w:val="BodyText"/>
        <w:spacing w:line="360" w:lineRule="auto"/>
      </w:pPr>
      <w:r w:rsidRPr="002F0E31">
        <w:rPr>
          <w:noProof/>
          <w:lang w:val="en-IN" w:eastAsia="en-IN"/>
        </w:rPr>
        <w:drawing>
          <wp:inline distT="0" distB="0" distL="0" distR="0" wp14:anchorId="096CD900" wp14:editId="2FCD846E">
            <wp:extent cx="5971540" cy="1384300"/>
            <wp:effectExtent l="0" t="0" r="0" b="0"/>
            <wp:docPr id="16" name="Picture 16" descr="A close-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11CC9" w14:textId="77777777" w:rsidR="00687D9B" w:rsidRPr="002F0E31" w:rsidRDefault="00687D9B" w:rsidP="00687D9B">
      <w:pPr>
        <w:pStyle w:val="BodyText"/>
        <w:spacing w:line="360" w:lineRule="auto"/>
      </w:pPr>
    </w:p>
    <w:p w14:paraId="190A34F9" w14:textId="77777777" w:rsidR="0046248E" w:rsidRPr="002F0E31" w:rsidRDefault="0046248E"/>
    <w:sectPr w:rsidR="0046248E" w:rsidRPr="002F0E31" w:rsidSect="002F0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revisionView w:markup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9B"/>
    <w:rsid w:val="00136B17"/>
    <w:rsid w:val="00233883"/>
    <w:rsid w:val="002F0E31"/>
    <w:rsid w:val="0046248E"/>
    <w:rsid w:val="005B007C"/>
    <w:rsid w:val="0068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64407"/>
  <w15:chartTrackingRefBased/>
  <w15:docId w15:val="{D4522523-3D0B-EA46-AD99-9EE183066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87D9B"/>
    <w:pPr>
      <w:widowControl w:val="0"/>
      <w:autoSpaceDE w:val="0"/>
      <w:autoSpaceDN w:val="0"/>
      <w:ind w:left="100"/>
      <w:outlineLvl w:val="0"/>
    </w:pPr>
    <w:rPr>
      <w:rFonts w:ascii="Times New Roman" w:eastAsia="Times New Roman" w:hAnsi="Times New Roman" w:cs="Times New Roman"/>
      <w:b/>
      <w:bCs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D9B"/>
    <w:rPr>
      <w:rFonts w:ascii="Times New Roman" w:eastAsia="Times New Roman" w:hAnsi="Times New Roman" w:cs="Times New Roman"/>
      <w:b/>
      <w:bCs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87D9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687D9B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87D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7D9B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7D9B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Durga  Ramu</cp:lastModifiedBy>
  <cp:revision>3</cp:revision>
  <dcterms:created xsi:type="dcterms:W3CDTF">2024-07-08T12:43:00Z</dcterms:created>
  <dcterms:modified xsi:type="dcterms:W3CDTF">2024-10-29T13:33:00Z</dcterms:modified>
</cp:coreProperties>
</file>