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8F9EE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1" w:line="267" w:lineRule="auto"/>
        <w:ind w:right="244"/>
        <w:textAlignment w:val="baseline"/>
        <w:rPr>
          <w:rFonts w:hint="eastAsia" w:eastAsia="宋体"/>
          <w:b/>
          <w:bCs/>
          <w:lang w:val="en-US" w:eastAsia="zh-CN"/>
        </w:rPr>
      </w:pPr>
      <w:r>
        <w:rPr>
          <w:rFonts w:hint="eastAsia"/>
          <w:b/>
          <w:bCs/>
        </w:rPr>
        <w:t>Supplementary Material</w:t>
      </w:r>
      <w:r>
        <w:rPr>
          <w:rFonts w:hint="eastAsia" w:eastAsia="宋体"/>
          <w:b/>
          <w:bCs/>
          <w:lang w:val="en-US" w:eastAsia="zh-CN"/>
        </w:rPr>
        <w:t>s</w:t>
      </w:r>
    </w:p>
    <w:p w14:paraId="1E55B031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1" w:line="267" w:lineRule="auto"/>
        <w:ind w:right="244"/>
        <w:textAlignment w:val="baseline"/>
        <w:rPr>
          <w:rFonts w:hint="eastAsia"/>
          <w:b/>
          <w:bCs/>
        </w:rPr>
      </w:pPr>
    </w:p>
    <w:p w14:paraId="53EAB04D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1" w:line="267" w:lineRule="auto"/>
        <w:ind w:right="244"/>
        <w:textAlignment w:val="baseline"/>
      </w:pPr>
      <w:r>
        <w:rPr>
          <w:b/>
          <w:bCs/>
        </w:rPr>
        <w:t>Supplemental table S1. Comparison of</w:t>
      </w:r>
      <w:r>
        <w:rPr>
          <w:b/>
          <w:bCs/>
          <w:spacing w:val="-13"/>
        </w:rPr>
        <w:t xml:space="preserve"> </w:t>
      </w:r>
      <w:r>
        <w:rPr>
          <w:rFonts w:hint="eastAsia"/>
          <w:b/>
          <w:bCs/>
        </w:rPr>
        <w:t xml:space="preserve">baseline characteristics </w:t>
      </w:r>
      <w:r>
        <w:rPr>
          <w:rFonts w:hint="eastAsia" w:eastAsia="宋体"/>
          <w:b/>
          <w:bCs/>
          <w:lang w:val="en-US" w:eastAsia="zh-CN"/>
        </w:rPr>
        <w:t xml:space="preserve">between </w:t>
      </w:r>
      <w:r>
        <w:rPr>
          <w:rFonts w:hint="eastAsia"/>
          <w:b/>
          <w:bCs/>
        </w:rPr>
        <w:t>completers versus losses</w:t>
      </w:r>
    </w:p>
    <w:tbl>
      <w:tblPr>
        <w:tblStyle w:val="4"/>
        <w:tblW w:w="1096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9"/>
        <w:gridCol w:w="1360"/>
        <w:gridCol w:w="1193"/>
        <w:gridCol w:w="1225"/>
        <w:gridCol w:w="1176"/>
        <w:gridCol w:w="1235"/>
        <w:gridCol w:w="1334"/>
      </w:tblGrid>
      <w:tr w14:paraId="19C1E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799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9B6C86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1A0368BC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C</w:t>
            </w:r>
            <w:r>
              <w:rPr>
                <w:rFonts w:hint="eastAsia" w:ascii="Times New Roman" w:hAnsi="Times New Roman" w:cs="Times New Roman"/>
              </w:rPr>
              <w:t>ompleters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(N=138)</w:t>
            </w:r>
          </w:p>
        </w:tc>
        <w:tc>
          <w:tcPr>
            <w:tcW w:w="2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263649E9">
            <w:pPr>
              <w:pStyle w:val="8"/>
              <w:widowControl w:val="0"/>
              <w:spacing w:line="480" w:lineRule="auto"/>
              <w:jc w:val="center"/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Losses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(N=38)</w:t>
            </w:r>
          </w:p>
        </w:tc>
        <w:tc>
          <w:tcPr>
            <w:tcW w:w="1334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DB88E88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P</w:t>
            </w:r>
          </w:p>
        </w:tc>
      </w:tr>
      <w:tr w14:paraId="4DB50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4799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A4A3E7A">
            <w:pPr>
              <w:pStyle w:val="8"/>
              <w:widowControl w:val="0"/>
              <w:spacing w:line="480" w:lineRule="auto"/>
              <w:jc w:val="center"/>
            </w:pPr>
          </w:p>
        </w:tc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678A69CB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N</w:t>
            </w:r>
          </w:p>
        </w:tc>
        <w:tc>
          <w:tcPr>
            <w:tcW w:w="122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24F7ADA0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%</w:t>
            </w:r>
          </w:p>
        </w:tc>
        <w:tc>
          <w:tcPr>
            <w:tcW w:w="1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5C460BD9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N</w:t>
            </w:r>
          </w:p>
        </w:tc>
        <w:tc>
          <w:tcPr>
            <w:tcW w:w="123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46035D7C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%</w:t>
            </w:r>
          </w:p>
        </w:tc>
        <w:tc>
          <w:tcPr>
            <w:tcW w:w="1334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BFD3E8F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1435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439" w:type="dxa"/>
            <w:vMerge w:val="restart"/>
            <w:vAlign w:val="center"/>
          </w:tcPr>
          <w:p w14:paraId="1AC53AE9">
            <w:pPr>
              <w:pStyle w:val="8"/>
              <w:widowControl w:val="0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360" w:type="dxa"/>
            <w:vAlign w:val="center"/>
          </w:tcPr>
          <w:p w14:paraId="1A6F4610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193" w:type="dxa"/>
            <w:vAlign w:val="center"/>
          </w:tcPr>
          <w:p w14:paraId="4585C808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42</w:t>
            </w:r>
          </w:p>
        </w:tc>
        <w:tc>
          <w:tcPr>
            <w:tcW w:w="1225" w:type="dxa"/>
            <w:vAlign w:val="center"/>
          </w:tcPr>
          <w:p w14:paraId="3CF4A655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30.4</w:t>
            </w:r>
          </w:p>
        </w:tc>
        <w:tc>
          <w:tcPr>
            <w:tcW w:w="1176" w:type="dxa"/>
            <w:vAlign w:val="center"/>
          </w:tcPr>
          <w:p w14:paraId="28D8FB37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13</w:t>
            </w:r>
          </w:p>
        </w:tc>
        <w:tc>
          <w:tcPr>
            <w:tcW w:w="1235" w:type="dxa"/>
            <w:vAlign w:val="center"/>
          </w:tcPr>
          <w:p w14:paraId="2B1556A2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34.2</w:t>
            </w:r>
          </w:p>
        </w:tc>
        <w:tc>
          <w:tcPr>
            <w:tcW w:w="1334" w:type="dxa"/>
            <w:vMerge w:val="restart"/>
            <w:vAlign w:val="center"/>
          </w:tcPr>
          <w:p w14:paraId="7D0F524A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0.835</w:t>
            </w:r>
          </w:p>
        </w:tc>
      </w:tr>
      <w:tr w14:paraId="4DCF3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3439" w:type="dxa"/>
            <w:vMerge w:val="continue"/>
            <w:vAlign w:val="center"/>
          </w:tcPr>
          <w:p w14:paraId="6730F564">
            <w:pPr>
              <w:pStyle w:val="8"/>
              <w:widowControl w:val="0"/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vAlign w:val="center"/>
          </w:tcPr>
          <w:p w14:paraId="24F1BB5E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193" w:type="dxa"/>
            <w:vAlign w:val="center"/>
          </w:tcPr>
          <w:p w14:paraId="629555D7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96</w:t>
            </w:r>
          </w:p>
        </w:tc>
        <w:tc>
          <w:tcPr>
            <w:tcW w:w="1225" w:type="dxa"/>
            <w:vAlign w:val="center"/>
          </w:tcPr>
          <w:p w14:paraId="3F7C8A19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69.6</w:t>
            </w:r>
          </w:p>
        </w:tc>
        <w:tc>
          <w:tcPr>
            <w:tcW w:w="1176" w:type="dxa"/>
            <w:vAlign w:val="center"/>
          </w:tcPr>
          <w:p w14:paraId="62BAA0D8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25</w:t>
            </w:r>
          </w:p>
        </w:tc>
        <w:tc>
          <w:tcPr>
            <w:tcW w:w="1235" w:type="dxa"/>
            <w:vAlign w:val="center"/>
          </w:tcPr>
          <w:p w14:paraId="3955213C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65.8</w:t>
            </w:r>
          </w:p>
        </w:tc>
        <w:tc>
          <w:tcPr>
            <w:tcW w:w="1334" w:type="dxa"/>
            <w:vMerge w:val="continue"/>
            <w:vAlign w:val="center"/>
          </w:tcPr>
          <w:p w14:paraId="1BF5630A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0324D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439" w:type="dxa"/>
            <w:vMerge w:val="restart"/>
            <w:vAlign w:val="center"/>
          </w:tcPr>
          <w:p w14:paraId="0DAEADDB">
            <w:pPr>
              <w:pStyle w:val="8"/>
              <w:widowControl w:val="0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Intraoperative PRP injection</w:t>
            </w:r>
          </w:p>
        </w:tc>
        <w:tc>
          <w:tcPr>
            <w:tcW w:w="1360" w:type="dxa"/>
            <w:vAlign w:val="center"/>
          </w:tcPr>
          <w:p w14:paraId="43117AFD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193" w:type="dxa"/>
            <w:vAlign w:val="center"/>
          </w:tcPr>
          <w:p w14:paraId="52AF805D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60</w:t>
            </w:r>
          </w:p>
        </w:tc>
        <w:tc>
          <w:tcPr>
            <w:tcW w:w="1225" w:type="dxa"/>
            <w:vAlign w:val="center"/>
          </w:tcPr>
          <w:p w14:paraId="08A2FB53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43.5</w:t>
            </w:r>
          </w:p>
        </w:tc>
        <w:tc>
          <w:tcPr>
            <w:tcW w:w="1176" w:type="dxa"/>
            <w:vAlign w:val="center"/>
          </w:tcPr>
          <w:p w14:paraId="072B7290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15</w:t>
            </w:r>
          </w:p>
        </w:tc>
        <w:tc>
          <w:tcPr>
            <w:tcW w:w="1235" w:type="dxa"/>
            <w:vAlign w:val="center"/>
          </w:tcPr>
          <w:p w14:paraId="204A085E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39.5</w:t>
            </w:r>
          </w:p>
        </w:tc>
        <w:tc>
          <w:tcPr>
            <w:tcW w:w="1334" w:type="dxa"/>
            <w:vMerge w:val="restart"/>
            <w:vAlign w:val="center"/>
          </w:tcPr>
          <w:p w14:paraId="5EEED9C2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0.842</w:t>
            </w:r>
          </w:p>
        </w:tc>
      </w:tr>
      <w:tr w14:paraId="16F6C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439" w:type="dxa"/>
            <w:vMerge w:val="continue"/>
            <w:vAlign w:val="center"/>
          </w:tcPr>
          <w:p w14:paraId="71ED66AC">
            <w:pPr>
              <w:pStyle w:val="8"/>
              <w:widowControl w:val="0"/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vAlign w:val="center"/>
          </w:tcPr>
          <w:p w14:paraId="5BD758EF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1193" w:type="dxa"/>
            <w:vAlign w:val="center"/>
          </w:tcPr>
          <w:p w14:paraId="68241C6A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78</w:t>
            </w:r>
          </w:p>
        </w:tc>
        <w:tc>
          <w:tcPr>
            <w:tcW w:w="1225" w:type="dxa"/>
            <w:vAlign w:val="center"/>
          </w:tcPr>
          <w:p w14:paraId="712D509C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56.5</w:t>
            </w:r>
          </w:p>
        </w:tc>
        <w:tc>
          <w:tcPr>
            <w:tcW w:w="1176" w:type="dxa"/>
            <w:vAlign w:val="center"/>
          </w:tcPr>
          <w:p w14:paraId="614D159A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23</w:t>
            </w:r>
          </w:p>
        </w:tc>
        <w:tc>
          <w:tcPr>
            <w:tcW w:w="1235" w:type="dxa"/>
            <w:vAlign w:val="center"/>
          </w:tcPr>
          <w:p w14:paraId="61C3D7B9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60.5</w:t>
            </w:r>
          </w:p>
        </w:tc>
        <w:tc>
          <w:tcPr>
            <w:tcW w:w="1334" w:type="dxa"/>
            <w:vMerge w:val="continue"/>
            <w:vAlign w:val="center"/>
          </w:tcPr>
          <w:p w14:paraId="1D21594E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485F9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439" w:type="dxa"/>
            <w:vMerge w:val="restart"/>
            <w:vAlign w:val="center"/>
          </w:tcPr>
          <w:p w14:paraId="1AC70504">
            <w:pPr>
              <w:pStyle w:val="8"/>
              <w:widowControl w:val="0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>Larsen</w:t>
            </w:r>
            <w:r>
              <w:rPr>
                <w:rFonts w:ascii="Times New Roman" w:hAnsi="Times New Roman" w:cs="Times New Roman"/>
              </w:rPr>
              <w:t xml:space="preserve"> grade before surgery</w:t>
            </w:r>
          </w:p>
        </w:tc>
        <w:tc>
          <w:tcPr>
            <w:tcW w:w="1360" w:type="dxa"/>
            <w:vAlign w:val="center"/>
          </w:tcPr>
          <w:p w14:paraId="2E1927D2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193" w:type="dxa"/>
            <w:vAlign w:val="center"/>
          </w:tcPr>
          <w:p w14:paraId="4B134C94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225" w:type="dxa"/>
            <w:vAlign w:val="center"/>
          </w:tcPr>
          <w:p w14:paraId="3FC77913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58.7</w:t>
            </w:r>
          </w:p>
        </w:tc>
        <w:tc>
          <w:tcPr>
            <w:tcW w:w="1176" w:type="dxa"/>
            <w:vAlign w:val="center"/>
          </w:tcPr>
          <w:p w14:paraId="5DE85067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21</w:t>
            </w:r>
          </w:p>
        </w:tc>
        <w:tc>
          <w:tcPr>
            <w:tcW w:w="1235" w:type="dxa"/>
            <w:vAlign w:val="center"/>
          </w:tcPr>
          <w:p w14:paraId="04411CD9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55.3</w:t>
            </w:r>
          </w:p>
        </w:tc>
        <w:tc>
          <w:tcPr>
            <w:tcW w:w="1334" w:type="dxa"/>
            <w:vMerge w:val="restart"/>
            <w:vAlign w:val="center"/>
          </w:tcPr>
          <w:p w14:paraId="1BECC1B8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0.897</w:t>
            </w:r>
          </w:p>
        </w:tc>
      </w:tr>
      <w:tr w14:paraId="35C91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439" w:type="dxa"/>
            <w:vMerge w:val="continue"/>
            <w:tcBorders>
              <w:bottom w:val="nil"/>
            </w:tcBorders>
            <w:vAlign w:val="center"/>
          </w:tcPr>
          <w:p w14:paraId="6336DE33">
            <w:pPr>
              <w:pStyle w:val="8"/>
              <w:widowControl w:val="0"/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tcBorders>
              <w:bottom w:val="nil"/>
            </w:tcBorders>
            <w:vAlign w:val="center"/>
          </w:tcPr>
          <w:p w14:paraId="132AA8B0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1193" w:type="dxa"/>
            <w:tcBorders>
              <w:bottom w:val="nil"/>
            </w:tcBorders>
            <w:vAlign w:val="center"/>
          </w:tcPr>
          <w:p w14:paraId="5CD7DB34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57</w:t>
            </w:r>
          </w:p>
        </w:tc>
        <w:tc>
          <w:tcPr>
            <w:tcW w:w="1225" w:type="dxa"/>
            <w:tcBorders>
              <w:bottom w:val="nil"/>
            </w:tcBorders>
            <w:vAlign w:val="center"/>
          </w:tcPr>
          <w:p w14:paraId="3F1A2099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41.3</w:t>
            </w:r>
          </w:p>
        </w:tc>
        <w:tc>
          <w:tcPr>
            <w:tcW w:w="1176" w:type="dxa"/>
            <w:tcBorders>
              <w:bottom w:val="nil"/>
            </w:tcBorders>
            <w:vAlign w:val="center"/>
          </w:tcPr>
          <w:p w14:paraId="738E5D55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17</w:t>
            </w:r>
          </w:p>
        </w:tc>
        <w:tc>
          <w:tcPr>
            <w:tcW w:w="1235" w:type="dxa"/>
            <w:tcBorders>
              <w:bottom w:val="nil"/>
            </w:tcBorders>
            <w:vAlign w:val="center"/>
          </w:tcPr>
          <w:p w14:paraId="15B083FB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44.7</w:t>
            </w:r>
          </w:p>
        </w:tc>
        <w:tc>
          <w:tcPr>
            <w:tcW w:w="1334" w:type="dxa"/>
            <w:vMerge w:val="continue"/>
            <w:tcBorders>
              <w:bottom w:val="nil"/>
            </w:tcBorders>
            <w:vAlign w:val="center"/>
          </w:tcPr>
          <w:p w14:paraId="7CF2FBE5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62AF1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439" w:type="dxa"/>
            <w:tcBorders>
              <w:top w:val="nil"/>
            </w:tcBorders>
            <w:vAlign w:val="center"/>
          </w:tcPr>
          <w:p w14:paraId="7844C6F9">
            <w:pPr>
              <w:pStyle w:val="8"/>
              <w:widowControl w:val="0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at baseline, y</w:t>
            </w:r>
          </w:p>
        </w:tc>
        <w:tc>
          <w:tcPr>
            <w:tcW w:w="1360" w:type="dxa"/>
            <w:tcBorders>
              <w:top w:val="nil"/>
            </w:tcBorders>
            <w:vAlign w:val="center"/>
          </w:tcPr>
          <w:p w14:paraId="6A58990A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± SD</w:t>
            </w:r>
          </w:p>
        </w:tc>
        <w:tc>
          <w:tcPr>
            <w:tcW w:w="2418" w:type="dxa"/>
            <w:gridSpan w:val="2"/>
            <w:tcBorders>
              <w:top w:val="nil"/>
            </w:tcBorders>
            <w:vAlign w:val="center"/>
          </w:tcPr>
          <w:p w14:paraId="3D776513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51.6 ± 7.9</w:t>
            </w:r>
          </w:p>
        </w:tc>
        <w:tc>
          <w:tcPr>
            <w:tcW w:w="2411" w:type="dxa"/>
            <w:gridSpan w:val="2"/>
            <w:tcBorders>
              <w:top w:val="nil"/>
            </w:tcBorders>
            <w:vAlign w:val="center"/>
          </w:tcPr>
          <w:p w14:paraId="6114348B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50.8</w:t>
            </w:r>
            <w:r>
              <w:rPr>
                <w:rFonts w:ascii="Times New Roman" w:hAnsi="Times New Roman" w:cs="Times New Roman"/>
              </w:rPr>
              <w:t xml:space="preserve"> ± 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8.5</w:t>
            </w:r>
          </w:p>
        </w:tc>
        <w:tc>
          <w:tcPr>
            <w:tcW w:w="1334" w:type="dxa"/>
            <w:tcBorders>
              <w:top w:val="nil"/>
            </w:tcBorders>
            <w:vAlign w:val="center"/>
          </w:tcPr>
          <w:p w14:paraId="2E2C3B62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0.380</w:t>
            </w:r>
          </w:p>
        </w:tc>
      </w:tr>
      <w:tr w14:paraId="1F0F3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439" w:type="dxa"/>
            <w:vAlign w:val="center"/>
          </w:tcPr>
          <w:p w14:paraId="791559C8">
            <w:pPr>
              <w:pStyle w:val="8"/>
              <w:widowControl w:val="0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BMI at baseline</w:t>
            </w:r>
          </w:p>
        </w:tc>
        <w:tc>
          <w:tcPr>
            <w:tcW w:w="1360" w:type="dxa"/>
            <w:vAlign w:val="center"/>
          </w:tcPr>
          <w:p w14:paraId="00A74E4B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± SD</w:t>
            </w:r>
          </w:p>
        </w:tc>
        <w:tc>
          <w:tcPr>
            <w:tcW w:w="2418" w:type="dxa"/>
            <w:gridSpan w:val="2"/>
            <w:vAlign w:val="center"/>
          </w:tcPr>
          <w:p w14:paraId="0897F2FE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25.3 ± 3.3</w:t>
            </w:r>
          </w:p>
        </w:tc>
        <w:tc>
          <w:tcPr>
            <w:tcW w:w="2411" w:type="dxa"/>
            <w:gridSpan w:val="2"/>
            <w:vAlign w:val="center"/>
          </w:tcPr>
          <w:p w14:paraId="2E3BAA49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24.7</w:t>
            </w:r>
            <w:r>
              <w:rPr>
                <w:rFonts w:ascii="Times New Roman" w:hAnsi="Times New Roman" w:cs="Times New Roman"/>
              </w:rPr>
              <w:t xml:space="preserve"> ± 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4.1</w:t>
            </w:r>
          </w:p>
        </w:tc>
        <w:tc>
          <w:tcPr>
            <w:tcW w:w="1334" w:type="dxa"/>
            <w:vAlign w:val="center"/>
          </w:tcPr>
          <w:p w14:paraId="1E39431B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0.203</w:t>
            </w:r>
          </w:p>
        </w:tc>
      </w:tr>
      <w:tr w14:paraId="504E9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439" w:type="dxa"/>
            <w:vAlign w:val="center"/>
          </w:tcPr>
          <w:p w14:paraId="555A60F4">
            <w:pPr>
              <w:pStyle w:val="8"/>
              <w:widowControl w:val="0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duration of symptoms before surgery, mo</w:t>
            </w:r>
          </w:p>
        </w:tc>
        <w:tc>
          <w:tcPr>
            <w:tcW w:w="1360" w:type="dxa"/>
            <w:vAlign w:val="center"/>
          </w:tcPr>
          <w:p w14:paraId="7B7C2E8A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± SD</w:t>
            </w:r>
          </w:p>
        </w:tc>
        <w:tc>
          <w:tcPr>
            <w:tcW w:w="2418" w:type="dxa"/>
            <w:gridSpan w:val="2"/>
            <w:vAlign w:val="center"/>
          </w:tcPr>
          <w:p w14:paraId="275BC00F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13.61 ± 7.77</w:t>
            </w:r>
          </w:p>
        </w:tc>
        <w:tc>
          <w:tcPr>
            <w:tcW w:w="2411" w:type="dxa"/>
            <w:gridSpan w:val="2"/>
            <w:vAlign w:val="center"/>
          </w:tcPr>
          <w:p w14:paraId="287DDF11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b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14.54</w:t>
            </w:r>
            <w:r>
              <w:rPr>
                <w:rFonts w:ascii="Times New Roman" w:hAnsi="Times New Roman" w:cs="Times New Roman"/>
              </w:rPr>
              <w:t xml:space="preserve"> ± 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7.32</w:t>
            </w:r>
          </w:p>
        </w:tc>
        <w:tc>
          <w:tcPr>
            <w:tcW w:w="1334" w:type="dxa"/>
            <w:vAlign w:val="center"/>
          </w:tcPr>
          <w:p w14:paraId="28AF1434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0.968</w:t>
            </w:r>
          </w:p>
        </w:tc>
      </w:tr>
      <w:tr w14:paraId="0EF3B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439" w:type="dxa"/>
            <w:vAlign w:val="center"/>
          </w:tcPr>
          <w:p w14:paraId="36A67AFD">
            <w:pPr>
              <w:pStyle w:val="8"/>
              <w:widowControl w:val="0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Preoperative AOFAS score</w:t>
            </w:r>
          </w:p>
        </w:tc>
        <w:tc>
          <w:tcPr>
            <w:tcW w:w="1360" w:type="dxa"/>
            <w:vAlign w:val="center"/>
          </w:tcPr>
          <w:p w14:paraId="6D96F17A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± SD</w:t>
            </w:r>
          </w:p>
        </w:tc>
        <w:tc>
          <w:tcPr>
            <w:tcW w:w="2418" w:type="dxa"/>
            <w:gridSpan w:val="2"/>
            <w:vAlign w:val="center"/>
          </w:tcPr>
          <w:p w14:paraId="2A6F27B5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62.74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±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5.63</w:t>
            </w:r>
          </w:p>
        </w:tc>
        <w:tc>
          <w:tcPr>
            <w:tcW w:w="2411" w:type="dxa"/>
            <w:gridSpan w:val="2"/>
            <w:vAlign w:val="center"/>
          </w:tcPr>
          <w:p w14:paraId="2061237A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1.57 </w:t>
            </w:r>
            <w:r>
              <w:rPr>
                <w:rFonts w:ascii="Times New Roman" w:hAnsi="Times New Roman" w:cs="Times New Roman"/>
              </w:rPr>
              <w:t>±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6.14</w:t>
            </w:r>
          </w:p>
        </w:tc>
        <w:tc>
          <w:tcPr>
            <w:tcW w:w="1334" w:type="dxa"/>
            <w:vAlign w:val="center"/>
          </w:tcPr>
          <w:p w14:paraId="0F352E0D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0.120</w:t>
            </w:r>
          </w:p>
        </w:tc>
      </w:tr>
      <w:tr w14:paraId="4B555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439" w:type="dxa"/>
            <w:tcBorders>
              <w:bottom w:val="single" w:color="auto" w:sz="4" w:space="0"/>
            </w:tcBorders>
            <w:vAlign w:val="center"/>
          </w:tcPr>
          <w:p w14:paraId="71DB10CC">
            <w:pPr>
              <w:pStyle w:val="8"/>
              <w:widowControl w:val="0"/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Preoperative FAOS score</w:t>
            </w:r>
          </w:p>
        </w:tc>
        <w:tc>
          <w:tcPr>
            <w:tcW w:w="1360" w:type="dxa"/>
            <w:tcBorders>
              <w:bottom w:val="single" w:color="auto" w:sz="4" w:space="0"/>
            </w:tcBorders>
            <w:vAlign w:val="center"/>
          </w:tcPr>
          <w:p w14:paraId="3EE122E8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 ± SD</w:t>
            </w:r>
          </w:p>
        </w:tc>
        <w:tc>
          <w:tcPr>
            <w:tcW w:w="2418" w:type="dxa"/>
            <w:gridSpan w:val="2"/>
            <w:tcBorders>
              <w:bottom w:val="single" w:color="auto" w:sz="4" w:space="0"/>
            </w:tcBorders>
            <w:vAlign w:val="center"/>
          </w:tcPr>
          <w:p w14:paraId="21C83C22">
            <w:pPr>
              <w:pStyle w:val="8"/>
              <w:widowControl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</w:t>
            </w:r>
            <w:r>
              <w:rPr>
                <w:rFonts w:ascii="Times New Roman" w:hAnsi="Times New Roman" w:cs="Times New Roman" w:eastAsiaTheme="minorEastAsia"/>
                <w:lang w:eastAsia="zh-CN"/>
              </w:rPr>
              <w:t>83</w:t>
            </w:r>
            <w:r>
              <w:rPr>
                <w:rFonts w:hint="eastAsia" w:ascii="Times New Roman" w:hAnsi="Times New Roman" w:cs="Times New Roman" w:eastAsiaTheme="minorEastAsia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±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11.</w:t>
            </w:r>
            <w:r>
              <w:rPr>
                <w:rFonts w:ascii="Times New Roman" w:hAnsi="Times New Roman" w:cs="Times New Roman" w:eastAsiaTheme="minorEastAsia"/>
                <w:lang w:eastAsia="zh-CN"/>
              </w:rPr>
              <w:t>39</w:t>
            </w:r>
          </w:p>
        </w:tc>
        <w:tc>
          <w:tcPr>
            <w:tcW w:w="2411" w:type="dxa"/>
            <w:gridSpan w:val="2"/>
            <w:tcBorders>
              <w:bottom w:val="single" w:color="auto" w:sz="4" w:space="0"/>
            </w:tcBorders>
            <w:vAlign w:val="center"/>
          </w:tcPr>
          <w:p w14:paraId="0F4A1AB5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51.36 </w:t>
            </w:r>
            <w:r>
              <w:rPr>
                <w:rFonts w:ascii="Times New Roman" w:hAnsi="Times New Roman" w:cs="Times New Roman"/>
              </w:rPr>
              <w:t>±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0.06</w:t>
            </w:r>
          </w:p>
        </w:tc>
        <w:tc>
          <w:tcPr>
            <w:tcW w:w="1334" w:type="dxa"/>
            <w:tcBorders>
              <w:bottom w:val="single" w:color="auto" w:sz="4" w:space="0"/>
            </w:tcBorders>
            <w:vAlign w:val="center"/>
          </w:tcPr>
          <w:p w14:paraId="5AF24A83">
            <w:pPr>
              <w:pStyle w:val="8"/>
              <w:widowControl w:val="0"/>
              <w:spacing w:line="480" w:lineRule="auto"/>
              <w:jc w:val="center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0.367</w:t>
            </w:r>
          </w:p>
        </w:tc>
      </w:tr>
    </w:tbl>
    <w:p w14:paraId="10800668">
      <w:pPr>
        <w:pStyle w:val="8"/>
        <w:spacing w:line="480" w:lineRule="auto"/>
        <w:rPr>
          <w:rFonts w:hint="eastAsia"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This table shows insignificant differences regarding sex</w:t>
      </w:r>
      <w:r>
        <w:rPr>
          <w:rFonts w:hint="eastAsia" w:ascii="Times New Roman" w:hAnsi="Times New Roman" w:eastAsia="宋体" w:cs="Times New Roman"/>
          <w:lang w:val="en-US" w:eastAsia="zh-CN"/>
        </w:rPr>
        <w:t>, i</w:t>
      </w:r>
      <w:r>
        <w:rPr>
          <w:rFonts w:ascii="Times New Roman" w:hAnsi="Times New Roman" w:cs="Times New Roman"/>
        </w:rPr>
        <w:t>ntraoperative PRP injection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lang w:eastAsia="zh-CN"/>
        </w:rPr>
        <w:t>Larsen</w:t>
      </w:r>
      <w:r>
        <w:rPr>
          <w:rFonts w:ascii="Times New Roman" w:hAnsi="Times New Roman" w:cs="Times New Roman"/>
        </w:rPr>
        <w:t xml:space="preserve"> grade before surgery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</w:rPr>
        <w:t>age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>at baseline</w:t>
      </w:r>
      <w:r>
        <w:rPr>
          <w:rFonts w:hint="eastAsia" w:ascii="Times New Roman" w:hAnsi="Times New Roman" w:cs="Times New Roman"/>
        </w:rPr>
        <w:t>, Body Mass Index (BMI)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ascii="Times New Roman" w:hAnsi="Times New Roman" w:cs="Times New Roman"/>
        </w:rPr>
        <w:t>at baseline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, </w:t>
      </w:r>
      <w:r>
        <w:rPr>
          <w:rFonts w:ascii="Times New Roman" w:hAnsi="Times New Roman" w:cs="Times New Roman"/>
        </w:rPr>
        <w:t>duration of symptoms before surgery</w:t>
      </w:r>
      <w:r>
        <w:rPr>
          <w:rFonts w:hint="eastAsia" w:ascii="Times New Roman" w:hAnsi="Times New Roman" w:eastAsia="宋体" w:cs="Times New Roman"/>
          <w:lang w:val="en-US" w:eastAsia="zh-CN"/>
        </w:rPr>
        <w:t>, p</w:t>
      </w:r>
      <w:r>
        <w:rPr>
          <w:rFonts w:ascii="Times New Roman" w:hAnsi="Times New Roman" w:cs="Times New Roman"/>
        </w:rPr>
        <w:t>reoperative AOFAS score</w:t>
      </w:r>
      <w:r>
        <w:rPr>
          <w:rFonts w:hint="eastAsia" w:ascii="Times New Roman" w:hAnsi="Times New Roman" w:eastAsia="宋体" w:cs="Times New Roman"/>
          <w:lang w:val="en-US" w:eastAsia="zh-CN"/>
        </w:rPr>
        <w:t>,and p</w:t>
      </w:r>
      <w:r>
        <w:rPr>
          <w:rFonts w:ascii="Times New Roman" w:hAnsi="Times New Roman" w:cs="Times New Roman"/>
        </w:rPr>
        <w:t>reoperative FAOS score</w:t>
      </w:r>
      <w:r>
        <w:rPr>
          <w:rFonts w:hint="eastAsia" w:ascii="Times New Roman" w:hAnsi="Times New Roman" w:cs="Times New Roman"/>
        </w:rPr>
        <w:t xml:space="preserve"> between the two groups.</w:t>
      </w:r>
    </w:p>
    <w:p w14:paraId="012B9ACA">
      <w:pPr>
        <w:pStyle w:val="8"/>
        <w:spacing w:line="480" w:lineRule="auto"/>
        <w:rPr>
          <w:rFonts w:hint="eastAsia" w:ascii="Times New Roman" w:hAnsi="Times New Roman" w:cs="Times New Roman"/>
        </w:rPr>
      </w:pPr>
    </w:p>
    <w:p w14:paraId="01AB4A3A">
      <w:pPr>
        <w:pStyle w:val="8"/>
        <w:spacing w:line="480" w:lineRule="auto"/>
        <w:rPr>
          <w:rFonts w:hint="eastAsia" w:ascii="Times New Roman" w:hAnsi="Times New Roman" w:cs="Times New Roman"/>
        </w:rPr>
      </w:pPr>
      <w:bookmarkStart w:id="0" w:name="_GoBack"/>
      <w:bookmarkEnd w:id="0"/>
    </w:p>
    <w:sectPr>
      <w:headerReference r:id="rId5" w:type="default"/>
      <w:pgSz w:w="11907" w:h="16839"/>
      <w:pgMar w:top="1440" w:right="1080" w:bottom="144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9B6A4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5A67FE"/>
    <w:rsid w:val="168D57EA"/>
    <w:rsid w:val="2438241F"/>
    <w:rsid w:val="272E6E90"/>
    <w:rsid w:val="3A87267E"/>
    <w:rsid w:val="3F752EC2"/>
    <w:rsid w:val="52FA4CA3"/>
    <w:rsid w:val="601661C2"/>
    <w:rsid w:val="61A47250"/>
    <w:rsid w:val="71382A4D"/>
    <w:rsid w:val="770F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qFormat="1" w:unhideWhenUsed="0" w:uiPriority="99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21"/>
      <w:szCs w:val="21"/>
      <w:lang w:val="en-US" w:eastAsia="en-US" w:bidi="ar-SA"/>
    </w:rPr>
  </w:style>
  <w:style w:type="table" w:styleId="4">
    <w:name w:val="Table Theme"/>
    <w:basedOn w:val="3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18"/>
      <w:szCs w:val="18"/>
      <w:lang w:val="en-US" w:eastAsia="en-US" w:bidi="ar-SA"/>
    </w:rPr>
  </w:style>
  <w:style w:type="paragraph" w:styleId="8">
    <w:name w:val="No Spacing"/>
    <w:qFormat/>
    <w:uiPriority w:val="1"/>
    <w:pPr>
      <w:spacing w:line="240" w:lineRule="exact"/>
    </w:pPr>
    <w:rPr>
      <w:rFonts w:ascii="Calibri" w:hAnsi="Calibri" w:cs="Calibri" w:eastAsiaTheme="minorHAnsi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324</Words>
  <Characters>1508</Characters>
  <Lines>0</Lines>
  <Paragraphs>0</Paragraphs>
  <TotalTime>34</TotalTime>
  <ScaleCrop>false</ScaleCrop>
  <LinksUpToDate>false</LinksUpToDate>
  <CharactersWithSpaces>1703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2025-06-25T13:57:00Z</dcterms:created>
  <dc:creator>wangcheng</dc:creator>
  <cp:lastModifiedBy>强心脏㎡</cp:lastModifiedBy>
  <dcterms:modified xsi:type="dcterms:W3CDTF">2025-07-24T06:02:42Z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eyJoZGlkIjoiMzQyNWY0MTQzODMxY2RhNDhjZDIzZmNlMzE1Zjg1MjAiLCJ1c2VySWQiOiIyNDUyNTU3MjcifQ==</vt:lpwstr>
  </property>
  <property fmtid="{D5CDD505-2E9C-101B-9397-08002B2CF9AE}" pid="4" name="ICV">
    <vt:lpwstr>C739DD8DF61E447FA3C0966032FBDDDC_12</vt:lpwstr>
  </property>
</Properties>
</file>