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4"/>
        </w:rPr>
        <w:t>Preferred Reporting Items for Systematic reviews and Meta-Analyses</w:t>
        <w:br/>
        <w:t>extension for Scoping Reviews (PRISMA-ScR) Checklist</w:t>
      </w:r>
    </w:p>
    <w:p>
      <w:pPr>
        <w:jc w:val="center"/>
      </w:pPr>
      <w:r>
        <w:rPr>
          <w:rFonts w:ascii="Times New Roman" w:hAnsi="Times New Roman"/>
          <w:i/>
          <w:sz w:val="20"/>
        </w:rPr>
        <w:t>Completed for: Muscle Strength Decline and Fall Risk in Older Rollator Users: A Scoping Review</w:t>
      </w:r>
    </w:p>
    <w:tbl>
      <w:tblPr>
        <w:tblStyle w:val="TableGrid"/>
        <w:tblW w:type="auto" w:w="0"/>
        <w:jc w:val="center"/>
        <w:tblLook w:firstColumn="1" w:firstRow="1" w:lastColumn="0" w:lastRow="0" w:noHBand="0" w:noVBand="1" w:val="04A0"/>
      </w:tblPr>
      <w:tblGrid>
        <w:gridCol w:w="3784"/>
        <w:gridCol w:w="3784"/>
        <w:gridCol w:w="3784"/>
        <w:gridCol w:w="3784"/>
      </w:tblGrid>
      <w:tr>
        <w:tc>
          <w:tcPr>
            <w:tcW w:type="dxa" w:w="2551"/>
            <w:shd w:fill="2E4057" w:val="clear"/>
          </w:tcPr>
          <w:p>
            <w:pPr>
              <w:jc w:val="center"/>
            </w:pPr>
            <w:r/>
            <w:r>
              <w:rPr>
                <w:rFonts w:ascii="Times New Roman" w:hAnsi="Times New Roman"/>
                <w:b/>
                <w:color w:val="FFFFFF"/>
                <w:sz w:val="18"/>
              </w:rPr>
              <w:t>SECTION</w:t>
            </w:r>
          </w:p>
        </w:tc>
        <w:tc>
          <w:tcPr>
            <w:tcW w:type="dxa" w:w="680"/>
            <w:shd w:fill="2E4057" w:val="clear"/>
          </w:tcPr>
          <w:p>
            <w:pPr>
              <w:jc w:val="center"/>
            </w:pPr>
            <w:r/>
            <w:r>
              <w:rPr>
                <w:rFonts w:ascii="Times New Roman" w:hAnsi="Times New Roman"/>
                <w:b/>
                <w:color w:val="FFFFFF"/>
                <w:sz w:val="18"/>
              </w:rPr>
              <w:t>ITEM</w:t>
            </w:r>
          </w:p>
        </w:tc>
        <w:tc>
          <w:tcPr>
            <w:tcW w:type="dxa" w:w="5669"/>
            <w:shd w:fill="2E4057" w:val="clear"/>
          </w:tcPr>
          <w:p>
            <w:pPr>
              <w:jc w:val="center"/>
            </w:pPr>
            <w:r/>
            <w:r>
              <w:rPr>
                <w:rFonts w:ascii="Times New Roman" w:hAnsi="Times New Roman"/>
                <w:b/>
                <w:color w:val="FFFFFF"/>
                <w:sz w:val="18"/>
              </w:rPr>
              <w:t>PRISMA-ScR CHECKLIST ITEM</w:t>
            </w:r>
          </w:p>
        </w:tc>
        <w:tc>
          <w:tcPr>
            <w:tcW w:type="dxa" w:w="6236"/>
            <w:shd w:fill="2E4057" w:val="clear"/>
          </w:tcPr>
          <w:p>
            <w:pPr>
              <w:jc w:val="center"/>
            </w:pPr>
            <w:r/>
            <w:r>
              <w:rPr>
                <w:rFonts w:ascii="Times New Roman" w:hAnsi="Times New Roman"/>
                <w:b/>
                <w:color w:val="FFFFFF"/>
                <w:sz w:val="18"/>
              </w:rPr>
              <w:t>REPORTED ON PAGE #</w:t>
            </w:r>
          </w:p>
        </w:tc>
      </w:tr>
      <w:tr>
        <w:tc>
          <w:tcPr>
            <w:tcW w:type="dxa" w:w="2551"/>
            <w:shd w:fill="1B3A4B" w:val="clear"/>
          </w:tcPr>
          <w:p>
            <w:r/>
            <w:r>
              <w:rPr>
                <w:rFonts w:ascii="Times New Roman" w:hAnsi="Times New Roman"/>
                <w:b/>
                <w:color w:val="FFFFFF"/>
                <w:sz w:val="18"/>
              </w:rPr>
              <w:t>TITLE</w:t>
            </w:r>
          </w:p>
        </w:tc>
        <w:tc>
          <w:tcPr>
            <w:tcW w:type="dxa" w:w="680"/>
            <w:shd w:fill="1B3A4B" w:val="clear"/>
          </w:tcPr>
          <w:p>
            <w:r/>
          </w:p>
        </w:tc>
        <w:tc>
          <w:tcPr>
            <w:tcW w:type="dxa" w:w="5669"/>
            <w:shd w:fill="1B3A4B" w:val="clear"/>
          </w:tcPr>
          <w:p>
            <w:r/>
          </w:p>
        </w:tc>
        <w:tc>
          <w:tcPr>
            <w:tcW w:type="dxa" w:w="6236"/>
            <w:shd w:fill="1B3A4B" w:val="clear"/>
          </w:tcPr>
          <w:p>
            <w:r/>
          </w:p>
        </w:tc>
      </w:tr>
      <w:tr>
        <w:tc>
          <w:tcPr>
            <w:tcW w:type="dxa" w:w="2551"/>
          </w:tcPr>
          <w:p>
            <w:r/>
            <w:r>
              <w:rPr>
                <w:rFonts w:ascii="Times New Roman" w:hAnsi="Times New Roman"/>
                <w:i/>
                <w:sz w:val="17"/>
              </w:rPr>
              <w:t>Title</w:t>
            </w:r>
          </w:p>
        </w:tc>
        <w:tc>
          <w:tcPr>
            <w:tcW w:type="dxa" w:w="680"/>
          </w:tcPr>
          <w:p>
            <w:pPr>
              <w:jc w:val="center"/>
            </w:pPr>
            <w:r/>
            <w:r>
              <w:rPr>
                <w:rFonts w:ascii="Times New Roman" w:hAnsi="Times New Roman"/>
                <w:b/>
                <w:sz w:val="18"/>
              </w:rPr>
              <w:t>1</w:t>
            </w:r>
          </w:p>
        </w:tc>
        <w:tc>
          <w:tcPr>
            <w:tcW w:type="dxa" w:w="5669"/>
          </w:tcPr>
          <w:p>
            <w:r/>
            <w:r>
              <w:rPr>
                <w:rFonts w:ascii="Times New Roman" w:hAnsi="Times New Roman"/>
                <w:sz w:val="16"/>
              </w:rPr>
              <w:t>Identify the report as a scoping review.</w:t>
            </w:r>
          </w:p>
        </w:tc>
        <w:tc>
          <w:tcPr>
            <w:tcW w:type="dxa" w:w="6236"/>
            <w:shd w:fill="E8F5E9" w:val="clear"/>
          </w:tcPr>
          <w:p>
            <w:r/>
            <w:r>
              <w:rPr>
                <w:rFonts w:ascii="Times New Roman" w:hAnsi="Times New Roman"/>
                <w:color w:val="006400"/>
                <w:sz w:val="16"/>
              </w:rPr>
              <w:t>✅ p. 1 — Title: 'Muscle Strength Decline and Fall Risk in Older Rollator Users: A Scoping Review of Biomechanical and Clinical Evidence'</w:t>
            </w:r>
          </w:p>
        </w:tc>
      </w:tr>
      <w:tr>
        <w:tc>
          <w:tcPr>
            <w:tcW w:type="dxa" w:w="2551"/>
            <w:shd w:fill="1B3A4B" w:val="clear"/>
          </w:tcPr>
          <w:p>
            <w:r/>
            <w:r>
              <w:rPr>
                <w:rFonts w:ascii="Times New Roman" w:hAnsi="Times New Roman"/>
                <w:b/>
                <w:color w:val="FFFFFF"/>
                <w:sz w:val="18"/>
              </w:rPr>
              <w:t>ABSTRACT</w:t>
            </w:r>
          </w:p>
        </w:tc>
        <w:tc>
          <w:tcPr>
            <w:tcW w:type="dxa" w:w="680"/>
            <w:shd w:fill="1B3A4B" w:val="clear"/>
          </w:tcPr>
          <w:p>
            <w:r/>
          </w:p>
        </w:tc>
        <w:tc>
          <w:tcPr>
            <w:tcW w:type="dxa" w:w="5669"/>
            <w:shd w:fill="1B3A4B" w:val="clear"/>
          </w:tcPr>
          <w:p>
            <w:r/>
          </w:p>
        </w:tc>
        <w:tc>
          <w:tcPr>
            <w:tcW w:type="dxa" w:w="6236"/>
            <w:shd w:fill="1B3A4B" w:val="clear"/>
          </w:tcPr>
          <w:p>
            <w:r/>
          </w:p>
        </w:tc>
      </w:tr>
      <w:tr>
        <w:tc>
          <w:tcPr>
            <w:tcW w:type="dxa" w:w="2551"/>
          </w:tcPr>
          <w:p>
            <w:r/>
            <w:r>
              <w:rPr>
                <w:rFonts w:ascii="Times New Roman" w:hAnsi="Times New Roman"/>
                <w:i/>
                <w:sz w:val="17"/>
              </w:rPr>
              <w:t>Structured summary</w:t>
            </w:r>
          </w:p>
        </w:tc>
        <w:tc>
          <w:tcPr>
            <w:tcW w:type="dxa" w:w="680"/>
          </w:tcPr>
          <w:p>
            <w:pPr>
              <w:jc w:val="center"/>
            </w:pPr>
            <w:r/>
            <w:r>
              <w:rPr>
                <w:rFonts w:ascii="Times New Roman" w:hAnsi="Times New Roman"/>
                <w:b/>
                <w:sz w:val="18"/>
              </w:rPr>
              <w:t>2</w:t>
            </w:r>
          </w:p>
        </w:tc>
        <w:tc>
          <w:tcPr>
            <w:tcW w:type="dxa" w:w="5669"/>
          </w:tcPr>
          <w:p>
            <w:r/>
            <w:r>
              <w:rPr>
                <w:rFonts w:ascii="Times New Roman" w:hAnsi="Times New Roman"/>
                <w:sz w:val="16"/>
              </w:rPr>
              <w:t>Provide a structured summary that includes (as applicable): background, objectives, eligibility criteria, sources of evidence, charting methods, results, and conclusions that relate to the review questions and objectives.</w:t>
            </w:r>
          </w:p>
        </w:tc>
        <w:tc>
          <w:tcPr>
            <w:tcW w:type="dxa" w:w="6236"/>
            <w:shd w:fill="E8F5E9" w:val="clear"/>
          </w:tcPr>
          <w:p>
            <w:r/>
            <w:r>
              <w:rPr>
                <w:rFonts w:ascii="Times New Roman" w:hAnsi="Times New Roman"/>
                <w:color w:val="006400"/>
                <w:sz w:val="16"/>
              </w:rPr>
              <w:t>✅ pp. 1–2 — Structured abstract with Background, Methods (PCC eligibility, 3 databases, 76-variable charting form), Results (328→262→159→93 studies, 6 thematic domains), and Conclusions (sarcopenia gap, zero RCTs)</w:t>
            </w:r>
          </w:p>
        </w:tc>
      </w:tr>
      <w:tr>
        <w:tc>
          <w:tcPr>
            <w:tcW w:type="dxa" w:w="2551"/>
            <w:shd w:fill="1B3A4B" w:val="clear"/>
          </w:tcPr>
          <w:p>
            <w:r/>
            <w:r>
              <w:rPr>
                <w:rFonts w:ascii="Times New Roman" w:hAnsi="Times New Roman"/>
                <w:b/>
                <w:color w:val="FFFFFF"/>
                <w:sz w:val="18"/>
              </w:rPr>
              <w:t>INTRODUCTION</w:t>
            </w:r>
          </w:p>
        </w:tc>
        <w:tc>
          <w:tcPr>
            <w:tcW w:type="dxa" w:w="680"/>
            <w:shd w:fill="1B3A4B" w:val="clear"/>
          </w:tcPr>
          <w:p>
            <w:r/>
          </w:p>
        </w:tc>
        <w:tc>
          <w:tcPr>
            <w:tcW w:type="dxa" w:w="5669"/>
            <w:shd w:fill="1B3A4B" w:val="clear"/>
          </w:tcPr>
          <w:p>
            <w:r/>
          </w:p>
        </w:tc>
        <w:tc>
          <w:tcPr>
            <w:tcW w:type="dxa" w:w="6236"/>
            <w:shd w:fill="1B3A4B" w:val="clear"/>
          </w:tcPr>
          <w:p>
            <w:r/>
          </w:p>
        </w:tc>
      </w:tr>
      <w:tr>
        <w:tc>
          <w:tcPr>
            <w:tcW w:type="dxa" w:w="2551"/>
          </w:tcPr>
          <w:p>
            <w:r/>
            <w:r>
              <w:rPr>
                <w:rFonts w:ascii="Times New Roman" w:hAnsi="Times New Roman"/>
                <w:i/>
                <w:sz w:val="17"/>
              </w:rPr>
              <w:t>Rationale</w:t>
            </w:r>
          </w:p>
        </w:tc>
        <w:tc>
          <w:tcPr>
            <w:tcW w:type="dxa" w:w="680"/>
          </w:tcPr>
          <w:p>
            <w:pPr>
              <w:jc w:val="center"/>
            </w:pPr>
            <w:r/>
            <w:r>
              <w:rPr>
                <w:rFonts w:ascii="Times New Roman" w:hAnsi="Times New Roman"/>
                <w:b/>
                <w:sz w:val="18"/>
              </w:rPr>
              <w:t>3</w:t>
            </w:r>
          </w:p>
        </w:tc>
        <w:tc>
          <w:tcPr>
            <w:tcW w:type="dxa" w:w="5669"/>
          </w:tcPr>
          <w:p>
            <w:r/>
            <w:r>
              <w:rPr>
                <w:rFonts w:ascii="Times New Roman" w:hAnsi="Times New Roman"/>
                <w:sz w:val="16"/>
              </w:rPr>
              <w:t>Describe the rationale for the review in the context of what is already known. Explain why the review questions/objectives lend themselves to a scoping review approach.</w:t>
            </w:r>
          </w:p>
        </w:tc>
        <w:tc>
          <w:tcPr>
            <w:tcW w:type="dxa" w:w="6236"/>
            <w:shd w:fill="E8F5E9" w:val="clear"/>
          </w:tcPr>
          <w:p>
            <w:r/>
            <w:r>
              <w:rPr>
                <w:rFonts w:ascii="Times New Roman" w:hAnsi="Times New Roman"/>
                <w:color w:val="006400"/>
                <w:sz w:val="16"/>
              </w:rPr>
              <w:t>✅ pp. 2–3 (Background) — Falls as public health concern + walker paradox [1–4]; muscle strength decline rates 1.8–2.0%/yr and dynapenia&gt;sarcopenia for fall risk [5–9]; knowledge gap at intersection of 3 domains justifying scoping approach [10–12]</w:t>
            </w:r>
          </w:p>
        </w:tc>
      </w:tr>
      <w:tr>
        <w:tc>
          <w:tcPr>
            <w:tcW w:type="dxa" w:w="2551"/>
          </w:tcPr>
          <w:p>
            <w:r/>
            <w:r>
              <w:rPr>
                <w:rFonts w:ascii="Times New Roman" w:hAnsi="Times New Roman"/>
                <w:i/>
                <w:sz w:val="17"/>
              </w:rPr>
              <w:t>Objectives</w:t>
            </w:r>
          </w:p>
        </w:tc>
        <w:tc>
          <w:tcPr>
            <w:tcW w:type="dxa" w:w="680"/>
          </w:tcPr>
          <w:p>
            <w:pPr>
              <w:jc w:val="center"/>
            </w:pPr>
            <w:r/>
            <w:r>
              <w:rPr>
                <w:rFonts w:ascii="Times New Roman" w:hAnsi="Times New Roman"/>
                <w:b/>
                <w:sz w:val="18"/>
              </w:rPr>
              <w:t>4</w:t>
            </w:r>
          </w:p>
        </w:tc>
        <w:tc>
          <w:tcPr>
            <w:tcW w:type="dxa" w:w="5669"/>
          </w:tcPr>
          <w:p>
            <w:r/>
            <w:r>
              <w:rPr>
                <w:rFonts w:ascii="Times New Roman" w:hAnsi="Times New Roman"/>
                <w:sz w:val="16"/>
              </w:rPr>
              <w:t>Provide an explicit statement of the questions and objectives being addressed with reference to their key elements (e.g., population or participants, concepts, and context) or other relevant key elements used to conceptualize the review questions and/or objectives.</w:t>
            </w:r>
          </w:p>
        </w:tc>
        <w:tc>
          <w:tcPr>
            <w:tcW w:type="dxa" w:w="6236"/>
            <w:shd w:fill="E8F5E9" w:val="clear"/>
          </w:tcPr>
          <w:p>
            <w:r/>
            <w:r>
              <w:rPr>
                <w:rFonts w:ascii="Times New Roman" w:hAnsi="Times New Roman"/>
                <w:color w:val="006400"/>
                <w:sz w:val="16"/>
              </w:rPr>
              <w:t>✅ p. 3 (Review Objectives) — 3 primary PCC-structured objectives (Population: ≥60yr rollator users; Concept: muscle strength decline + fall risk; Context: all settings) + 3 secondary objectives (a–c): exercise interventions, subgroup patterns, research gaps</w:t>
            </w:r>
          </w:p>
        </w:tc>
      </w:tr>
      <w:tr>
        <w:tc>
          <w:tcPr>
            <w:tcW w:type="dxa" w:w="2551"/>
            <w:shd w:fill="1B3A4B" w:val="clear"/>
          </w:tcPr>
          <w:p>
            <w:r/>
            <w:r>
              <w:rPr>
                <w:rFonts w:ascii="Times New Roman" w:hAnsi="Times New Roman"/>
                <w:b/>
                <w:color w:val="FFFFFF"/>
                <w:sz w:val="18"/>
              </w:rPr>
              <w:t>METHODS</w:t>
            </w:r>
          </w:p>
        </w:tc>
        <w:tc>
          <w:tcPr>
            <w:tcW w:type="dxa" w:w="680"/>
            <w:shd w:fill="1B3A4B" w:val="clear"/>
          </w:tcPr>
          <w:p>
            <w:r/>
          </w:p>
        </w:tc>
        <w:tc>
          <w:tcPr>
            <w:tcW w:type="dxa" w:w="5669"/>
            <w:shd w:fill="1B3A4B" w:val="clear"/>
          </w:tcPr>
          <w:p>
            <w:r/>
          </w:p>
        </w:tc>
        <w:tc>
          <w:tcPr>
            <w:tcW w:type="dxa" w:w="6236"/>
            <w:shd w:fill="1B3A4B" w:val="clear"/>
          </w:tcPr>
          <w:p>
            <w:r/>
          </w:p>
        </w:tc>
      </w:tr>
      <w:tr>
        <w:tc>
          <w:tcPr>
            <w:tcW w:type="dxa" w:w="2551"/>
          </w:tcPr>
          <w:p>
            <w:r/>
            <w:r>
              <w:rPr>
                <w:rFonts w:ascii="Times New Roman" w:hAnsi="Times New Roman"/>
                <w:i/>
                <w:sz w:val="17"/>
              </w:rPr>
              <w:t>Protocol and registration</w:t>
            </w:r>
          </w:p>
        </w:tc>
        <w:tc>
          <w:tcPr>
            <w:tcW w:type="dxa" w:w="680"/>
          </w:tcPr>
          <w:p>
            <w:pPr>
              <w:jc w:val="center"/>
            </w:pPr>
            <w:r/>
            <w:r>
              <w:rPr>
                <w:rFonts w:ascii="Times New Roman" w:hAnsi="Times New Roman"/>
                <w:b/>
                <w:sz w:val="18"/>
              </w:rPr>
              <w:t>5</w:t>
            </w:r>
          </w:p>
        </w:tc>
        <w:tc>
          <w:tcPr>
            <w:tcW w:type="dxa" w:w="5669"/>
          </w:tcPr>
          <w:p>
            <w:r/>
            <w:r>
              <w:rPr>
                <w:rFonts w:ascii="Times New Roman" w:hAnsi="Times New Roman"/>
                <w:sz w:val="16"/>
              </w:rPr>
              <w:t>Indicate whether a review protocol exists; state if and where it can be accessed (e.g., a Web address); and if available, provide registration information, including the registration number.</w:t>
            </w:r>
          </w:p>
        </w:tc>
        <w:tc>
          <w:tcPr>
            <w:tcW w:type="dxa" w:w="6236"/>
            <w:shd w:fill="E8F5E9" w:val="clear"/>
          </w:tcPr>
          <w:p>
            <w:r/>
            <w:r>
              <w:rPr>
                <w:rFonts w:ascii="Times New Roman" w:hAnsi="Times New Roman"/>
                <w:color w:val="006400"/>
                <w:sz w:val="16"/>
              </w:rPr>
              <w:t>✅ p. 4 — Protocol registered on OSF (DOI: 10.17605/OSF.IO/XYKFV) using GSRRF v1.00 [15]; JBI methodology [13]; PRISMA-ScR adherence [14]</w:t>
            </w:r>
          </w:p>
        </w:tc>
      </w:tr>
      <w:tr>
        <w:tc>
          <w:tcPr>
            <w:tcW w:type="dxa" w:w="2551"/>
          </w:tcPr>
          <w:p>
            <w:r/>
            <w:r>
              <w:rPr>
                <w:rFonts w:ascii="Times New Roman" w:hAnsi="Times New Roman"/>
                <w:i/>
                <w:sz w:val="17"/>
              </w:rPr>
              <w:t>Eligibility criteria</w:t>
            </w:r>
          </w:p>
        </w:tc>
        <w:tc>
          <w:tcPr>
            <w:tcW w:type="dxa" w:w="680"/>
          </w:tcPr>
          <w:p>
            <w:pPr>
              <w:jc w:val="center"/>
            </w:pPr>
            <w:r/>
            <w:r>
              <w:rPr>
                <w:rFonts w:ascii="Times New Roman" w:hAnsi="Times New Roman"/>
                <w:b/>
                <w:sz w:val="18"/>
              </w:rPr>
              <w:t>6</w:t>
            </w:r>
          </w:p>
        </w:tc>
        <w:tc>
          <w:tcPr>
            <w:tcW w:type="dxa" w:w="5669"/>
          </w:tcPr>
          <w:p>
            <w:r/>
            <w:r>
              <w:rPr>
                <w:rFonts w:ascii="Times New Roman" w:hAnsi="Times New Roman"/>
                <w:sz w:val="16"/>
              </w:rPr>
              <w:t>Specify characteristics of the sources of evidence used as eligibility criteria (e.g., years considered, language, and publication status), and provide a rationale.</w:t>
            </w:r>
          </w:p>
        </w:tc>
        <w:tc>
          <w:tcPr>
            <w:tcW w:type="dxa" w:w="6236"/>
            <w:shd w:fill="E8F5E9" w:val="clear"/>
          </w:tcPr>
          <w:p>
            <w:r/>
            <w:r>
              <w:rPr>
                <w:rFonts w:ascii="Times New Roman" w:hAnsi="Times New Roman"/>
                <w:color w:val="006400"/>
                <w:sz w:val="16"/>
              </w:rPr>
              <w:t>✅ pp. 4–5 + Table 1 — Full PCC criteria: P (≥60yr walking aid users), C (muscle strength decline AND fall risk), C (any care setting); Jan 2000–Mar 2026; English; peer-reviewed; 9 exclusion criteria E1–E9 defined</w:t>
            </w:r>
          </w:p>
        </w:tc>
      </w:tr>
      <w:tr>
        <w:tc>
          <w:tcPr>
            <w:tcW w:type="dxa" w:w="2551"/>
          </w:tcPr>
          <w:p>
            <w:r/>
            <w:r>
              <w:rPr>
                <w:rFonts w:ascii="Times New Roman" w:hAnsi="Times New Roman"/>
                <w:i/>
                <w:sz w:val="17"/>
              </w:rPr>
              <w:t>Information sources*</w:t>
            </w:r>
          </w:p>
        </w:tc>
        <w:tc>
          <w:tcPr>
            <w:tcW w:type="dxa" w:w="680"/>
          </w:tcPr>
          <w:p>
            <w:pPr>
              <w:jc w:val="center"/>
            </w:pPr>
            <w:r/>
            <w:r>
              <w:rPr>
                <w:rFonts w:ascii="Times New Roman" w:hAnsi="Times New Roman"/>
                <w:b/>
                <w:sz w:val="18"/>
              </w:rPr>
              <w:t>7</w:t>
            </w:r>
          </w:p>
        </w:tc>
        <w:tc>
          <w:tcPr>
            <w:tcW w:type="dxa" w:w="5669"/>
          </w:tcPr>
          <w:p>
            <w:r/>
            <w:r>
              <w:rPr>
                <w:rFonts w:ascii="Times New Roman" w:hAnsi="Times New Roman"/>
                <w:sz w:val="16"/>
              </w:rPr>
              <w:t>Describe all information sources in the search (e.g., databases with dates of coverage and contact with authors to identify additional sources), as well as the date the most recent search was executed.</w:t>
            </w:r>
          </w:p>
        </w:tc>
        <w:tc>
          <w:tcPr>
            <w:tcW w:type="dxa" w:w="6236"/>
            <w:shd w:fill="E8F5E9" w:val="clear"/>
          </w:tcPr>
          <w:p>
            <w:r/>
            <w:r>
              <w:rPr>
                <w:rFonts w:ascii="Times New Roman" w:hAnsi="Times New Roman"/>
                <w:color w:val="006400"/>
                <w:sz w:val="16"/>
              </w:rPr>
              <w:t>✅ p. 5 — PubMed/MEDLINE (NLM), Scopus (Elsevier), Web of Science Core Collection (Clarivate); executed March 2026; supplementary: backward/forward citation tracking, hand-searching 4 target journals × 5 years</w:t>
            </w:r>
          </w:p>
        </w:tc>
      </w:tr>
      <w:tr>
        <w:tc>
          <w:tcPr>
            <w:tcW w:type="dxa" w:w="2551"/>
          </w:tcPr>
          <w:p>
            <w:r/>
            <w:r>
              <w:rPr>
                <w:rFonts w:ascii="Times New Roman" w:hAnsi="Times New Roman"/>
                <w:i/>
                <w:sz w:val="17"/>
              </w:rPr>
              <w:t>Search</w:t>
            </w:r>
          </w:p>
        </w:tc>
        <w:tc>
          <w:tcPr>
            <w:tcW w:type="dxa" w:w="680"/>
          </w:tcPr>
          <w:p>
            <w:pPr>
              <w:jc w:val="center"/>
            </w:pPr>
            <w:r/>
            <w:r>
              <w:rPr>
                <w:rFonts w:ascii="Times New Roman" w:hAnsi="Times New Roman"/>
                <w:b/>
                <w:sz w:val="18"/>
              </w:rPr>
              <w:t>8</w:t>
            </w:r>
          </w:p>
        </w:tc>
        <w:tc>
          <w:tcPr>
            <w:tcW w:type="dxa" w:w="5669"/>
          </w:tcPr>
          <w:p>
            <w:r/>
            <w:r>
              <w:rPr>
                <w:rFonts w:ascii="Times New Roman" w:hAnsi="Times New Roman"/>
                <w:sz w:val="16"/>
              </w:rPr>
              <w:t>Present the full electronic search strategy for at least 1 database, including any limits used, such that it could be repeated.</w:t>
            </w:r>
          </w:p>
        </w:tc>
        <w:tc>
          <w:tcPr>
            <w:tcW w:type="dxa" w:w="6236"/>
            <w:shd w:fill="E8F5E9" w:val="clear"/>
          </w:tcPr>
          <w:p>
            <w:r/>
            <w:r>
              <w:rPr>
                <w:rFonts w:ascii="Times New Roman" w:hAnsi="Times New Roman"/>
                <w:color w:val="006400"/>
                <w:sz w:val="16"/>
              </w:rPr>
              <w:t>✅ p. 5 + Additional File 2 — 4 concept blocks (Muscle strength/MeSH + Falls/MeSH + Walking aid/Gait + Older adults) with Boolean operators; filters: humans, 2000–2026, English; full strings for all 3 databases in Additional File 2</w:t>
            </w:r>
          </w:p>
        </w:tc>
      </w:tr>
      <w:tr>
        <w:tc>
          <w:tcPr>
            <w:tcW w:type="dxa" w:w="2551"/>
          </w:tcPr>
          <w:p>
            <w:r/>
            <w:r>
              <w:rPr>
                <w:rFonts w:ascii="Times New Roman" w:hAnsi="Times New Roman"/>
                <w:i/>
                <w:sz w:val="17"/>
              </w:rPr>
              <w:t>Selection of sources of evidence†</w:t>
            </w:r>
          </w:p>
        </w:tc>
        <w:tc>
          <w:tcPr>
            <w:tcW w:type="dxa" w:w="680"/>
          </w:tcPr>
          <w:p>
            <w:pPr>
              <w:jc w:val="center"/>
            </w:pPr>
            <w:r/>
            <w:r>
              <w:rPr>
                <w:rFonts w:ascii="Times New Roman" w:hAnsi="Times New Roman"/>
                <w:b/>
                <w:sz w:val="18"/>
              </w:rPr>
              <w:t>9</w:t>
            </w:r>
          </w:p>
        </w:tc>
        <w:tc>
          <w:tcPr>
            <w:tcW w:type="dxa" w:w="5669"/>
          </w:tcPr>
          <w:p>
            <w:r/>
            <w:r>
              <w:rPr>
                <w:rFonts w:ascii="Times New Roman" w:hAnsi="Times New Roman"/>
                <w:sz w:val="16"/>
              </w:rPr>
              <w:t>State the process for selecting sources of evidence (i.e., screening and eligibility) included in the scoping review.</w:t>
            </w:r>
          </w:p>
        </w:tc>
        <w:tc>
          <w:tcPr>
            <w:tcW w:type="dxa" w:w="6236"/>
            <w:shd w:fill="E8F5E9" w:val="clear"/>
          </w:tcPr>
          <w:p>
            <w:r/>
            <w:r>
              <w:rPr>
                <w:rFonts w:ascii="Times New Roman" w:hAnsi="Times New Roman"/>
                <w:color w:val="006400"/>
                <w:sz w:val="16"/>
              </w:rPr>
              <w:t>✅ p. 5 — Two-stage: (1) T/A screening by 2 independent blinded reviewers; (2) full-text by 2 independent reviewers with E1–E9 codes; discrepancies by consensus + 3rd reviewer; Cohen's κ for inter-rater reliability</w:t>
            </w:r>
          </w:p>
        </w:tc>
      </w:tr>
      <w:tr>
        <w:tc>
          <w:tcPr>
            <w:tcW w:type="dxa" w:w="2551"/>
          </w:tcPr>
          <w:p>
            <w:r/>
            <w:r>
              <w:rPr>
                <w:rFonts w:ascii="Times New Roman" w:hAnsi="Times New Roman"/>
                <w:i/>
                <w:sz w:val="17"/>
              </w:rPr>
              <w:t>Data charting process‡</w:t>
            </w:r>
          </w:p>
        </w:tc>
        <w:tc>
          <w:tcPr>
            <w:tcW w:type="dxa" w:w="680"/>
          </w:tcPr>
          <w:p>
            <w:pPr>
              <w:jc w:val="center"/>
            </w:pPr>
            <w:r/>
            <w:r>
              <w:rPr>
                <w:rFonts w:ascii="Times New Roman" w:hAnsi="Times New Roman"/>
                <w:b/>
                <w:sz w:val="18"/>
              </w:rPr>
              <w:t>10</w:t>
            </w:r>
          </w:p>
        </w:tc>
        <w:tc>
          <w:tcPr>
            <w:tcW w:type="dxa" w:w="5669"/>
          </w:tcPr>
          <w:p>
            <w:r/>
            <w:r>
              <w:rPr>
                <w:rFonts w:ascii="Times New Roman" w:hAnsi="Times New Roman"/>
                <w:sz w:val="16"/>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tc>
          <w:tcPr>
            <w:tcW w:type="dxa" w:w="6236"/>
            <w:shd w:fill="E8F5E9" w:val="clear"/>
          </w:tcPr>
          <w:p>
            <w:r/>
            <w:r>
              <w:rPr>
                <w:rFonts w:ascii="Times New Roman" w:hAnsi="Times New Roman"/>
                <w:color w:val="006400"/>
                <w:sz w:val="16"/>
              </w:rPr>
              <w:t>✅ pp. 5–6 — 76-variable form developed a priori; pilot-tested on 5 diverse studies; 2 independent reviewers; 7 domains (a–h): metadata, study characteristics, population, muscle strength, fall outcomes, biomechanics, exercise, key findings; template in Additional File 3</w:t>
            </w:r>
          </w:p>
        </w:tc>
      </w:tr>
      <w:tr>
        <w:tc>
          <w:tcPr>
            <w:tcW w:type="dxa" w:w="2551"/>
          </w:tcPr>
          <w:p>
            <w:r/>
            <w:r>
              <w:rPr>
                <w:rFonts w:ascii="Times New Roman" w:hAnsi="Times New Roman"/>
                <w:i/>
                <w:sz w:val="17"/>
              </w:rPr>
              <w:t>Data items</w:t>
            </w:r>
          </w:p>
        </w:tc>
        <w:tc>
          <w:tcPr>
            <w:tcW w:type="dxa" w:w="680"/>
          </w:tcPr>
          <w:p>
            <w:pPr>
              <w:jc w:val="center"/>
            </w:pPr>
            <w:r/>
            <w:r>
              <w:rPr>
                <w:rFonts w:ascii="Times New Roman" w:hAnsi="Times New Roman"/>
                <w:b/>
                <w:sz w:val="18"/>
              </w:rPr>
              <w:t>11</w:t>
            </w:r>
          </w:p>
        </w:tc>
        <w:tc>
          <w:tcPr>
            <w:tcW w:type="dxa" w:w="5669"/>
          </w:tcPr>
          <w:p>
            <w:r/>
            <w:r>
              <w:rPr>
                <w:rFonts w:ascii="Times New Roman" w:hAnsi="Times New Roman"/>
                <w:sz w:val="16"/>
              </w:rPr>
              <w:t>List and define all variables for which data were sought and any assumptions and simplifications made.</w:t>
            </w:r>
          </w:p>
        </w:tc>
        <w:tc>
          <w:tcPr>
            <w:tcW w:type="dxa" w:w="6236"/>
            <w:shd w:fill="E8F5E9" w:val="clear"/>
          </w:tcPr>
          <w:p>
            <w:r/>
            <w:r>
              <w:rPr>
                <w:rFonts w:ascii="Times New Roman" w:hAnsi="Times New Roman"/>
                <w:color w:val="006400"/>
                <w:sz w:val="16"/>
              </w:rPr>
              <w:t>✅ pp. 5–6 — 76 variables across 7 domains: (a) authors/year/DOI; (b) design/sample/follow-up; (c) age/sex/BMI/aid type/setting; (d) strength instruments/muscle groups/sarcopenia classification; (e) fall definition/incidence/circumstances; (f) gait speed/stride/cadence/kinematics/CoM; (g) exercise type/intensity/frequency; (h) associations/effect sizes</w:t>
            </w:r>
          </w:p>
        </w:tc>
      </w:tr>
      <w:tr>
        <w:tc>
          <w:tcPr>
            <w:tcW w:type="dxa" w:w="2551"/>
          </w:tcPr>
          <w:p>
            <w:r/>
            <w:r>
              <w:rPr>
                <w:rFonts w:ascii="Times New Roman" w:hAnsi="Times New Roman"/>
                <w:i/>
                <w:sz w:val="17"/>
              </w:rPr>
              <w:t>Critical appraisal of individual sources of evidence§</w:t>
            </w:r>
          </w:p>
        </w:tc>
        <w:tc>
          <w:tcPr>
            <w:tcW w:type="dxa" w:w="680"/>
          </w:tcPr>
          <w:p>
            <w:pPr>
              <w:jc w:val="center"/>
            </w:pPr>
            <w:r/>
            <w:r>
              <w:rPr>
                <w:rFonts w:ascii="Times New Roman" w:hAnsi="Times New Roman"/>
                <w:b/>
                <w:sz w:val="18"/>
              </w:rPr>
              <w:t>12</w:t>
            </w:r>
          </w:p>
        </w:tc>
        <w:tc>
          <w:tcPr>
            <w:tcW w:type="dxa" w:w="5669"/>
          </w:tcPr>
          <w:p>
            <w:r/>
            <w:r>
              <w:rPr>
                <w:rFonts w:ascii="Times New Roman" w:hAnsi="Times New Roman"/>
                <w:sz w:val="16"/>
              </w:rPr>
              <w:t>If done, provide a rationale for conducting a critical appraisal of included sources of evidence; describe the methods used and how this information was used in any data synthesis (if appropriate).</w:t>
            </w:r>
          </w:p>
        </w:tc>
        <w:tc>
          <w:tcPr>
            <w:tcW w:type="dxa" w:w="6236"/>
            <w:shd w:fill="E8F5E9" w:val="clear"/>
          </w:tcPr>
          <w:p>
            <w:r/>
            <w:r>
              <w:rPr>
                <w:rFonts w:ascii="Times New Roman" w:hAnsi="Times New Roman"/>
                <w:color w:val="006400"/>
                <w:sz w:val="16"/>
              </w:rPr>
              <w:t>✅ p. 6 — Rationale: inform interpretation + evidence strength; JBI checklists by design (Cross-Sectional 8 items, Cohort 11, RCT 13, Case-Control 10); AMSTAR 2 (16 items) for reviews [17]; 2 independent reviewers; not used for exclusion per JBI guidance [13]</w:t>
            </w:r>
          </w:p>
        </w:tc>
      </w:tr>
      <w:tr>
        <w:tc>
          <w:tcPr>
            <w:tcW w:type="dxa" w:w="2551"/>
          </w:tcPr>
          <w:p>
            <w:r/>
            <w:r>
              <w:rPr>
                <w:rFonts w:ascii="Times New Roman" w:hAnsi="Times New Roman"/>
                <w:i/>
                <w:sz w:val="17"/>
              </w:rPr>
              <w:t>Synthesis of results</w:t>
            </w:r>
          </w:p>
        </w:tc>
        <w:tc>
          <w:tcPr>
            <w:tcW w:type="dxa" w:w="680"/>
          </w:tcPr>
          <w:p>
            <w:pPr>
              <w:jc w:val="center"/>
            </w:pPr>
            <w:r/>
            <w:r>
              <w:rPr>
                <w:rFonts w:ascii="Times New Roman" w:hAnsi="Times New Roman"/>
                <w:b/>
                <w:sz w:val="18"/>
              </w:rPr>
              <w:t>13</w:t>
            </w:r>
          </w:p>
        </w:tc>
        <w:tc>
          <w:tcPr>
            <w:tcW w:type="dxa" w:w="5669"/>
          </w:tcPr>
          <w:p>
            <w:r/>
            <w:r>
              <w:rPr>
                <w:rFonts w:ascii="Times New Roman" w:hAnsi="Times New Roman"/>
                <w:sz w:val="16"/>
              </w:rPr>
              <w:t>Describe the methods of handling and summarizing the data that were charted.</w:t>
            </w:r>
          </w:p>
        </w:tc>
        <w:tc>
          <w:tcPr>
            <w:tcW w:type="dxa" w:w="6236"/>
            <w:shd w:fill="E8F5E9" w:val="clear"/>
          </w:tcPr>
          <w:p>
            <w:r/>
            <w:r>
              <w:rPr>
                <w:rFonts w:ascii="Times New Roman" w:hAnsi="Times New Roman"/>
                <w:color w:val="006400"/>
                <w:sz w:val="16"/>
              </w:rPr>
              <w:t>✅ p. 6 — Narrative synthesis per JBI + SWiM guideline [18]: (1) descriptive numerical summary; (2) 6 thematic domains T1–T6; (3) evidence gap map (theme × study design); (4) cross-thematic conceptual framework</w:t>
            </w:r>
          </w:p>
        </w:tc>
      </w:tr>
      <w:tr>
        <w:tc>
          <w:tcPr>
            <w:tcW w:type="dxa" w:w="2551"/>
            <w:shd w:fill="1B3A4B" w:val="clear"/>
          </w:tcPr>
          <w:p>
            <w:r/>
            <w:r>
              <w:rPr>
                <w:rFonts w:ascii="Times New Roman" w:hAnsi="Times New Roman"/>
                <w:b/>
                <w:color w:val="FFFFFF"/>
                <w:sz w:val="18"/>
              </w:rPr>
              <w:t>RESULTS</w:t>
            </w:r>
          </w:p>
        </w:tc>
        <w:tc>
          <w:tcPr>
            <w:tcW w:type="dxa" w:w="680"/>
            <w:shd w:fill="1B3A4B" w:val="clear"/>
          </w:tcPr>
          <w:p>
            <w:r/>
          </w:p>
        </w:tc>
        <w:tc>
          <w:tcPr>
            <w:tcW w:type="dxa" w:w="5669"/>
            <w:shd w:fill="1B3A4B" w:val="clear"/>
          </w:tcPr>
          <w:p>
            <w:r/>
          </w:p>
        </w:tc>
        <w:tc>
          <w:tcPr>
            <w:tcW w:type="dxa" w:w="6236"/>
            <w:shd w:fill="1B3A4B" w:val="clear"/>
          </w:tcPr>
          <w:p>
            <w:r/>
          </w:p>
        </w:tc>
      </w:tr>
      <w:tr>
        <w:tc>
          <w:tcPr>
            <w:tcW w:type="dxa" w:w="2551"/>
          </w:tcPr>
          <w:p>
            <w:r/>
            <w:r>
              <w:rPr>
                <w:rFonts w:ascii="Times New Roman" w:hAnsi="Times New Roman"/>
                <w:i/>
                <w:sz w:val="17"/>
              </w:rPr>
              <w:t>Selection of sources of evidence</w:t>
            </w:r>
          </w:p>
        </w:tc>
        <w:tc>
          <w:tcPr>
            <w:tcW w:type="dxa" w:w="680"/>
          </w:tcPr>
          <w:p>
            <w:pPr>
              <w:jc w:val="center"/>
            </w:pPr>
            <w:r/>
            <w:r>
              <w:rPr>
                <w:rFonts w:ascii="Times New Roman" w:hAnsi="Times New Roman"/>
                <w:b/>
                <w:sz w:val="18"/>
              </w:rPr>
              <w:t>14</w:t>
            </w:r>
          </w:p>
        </w:tc>
        <w:tc>
          <w:tcPr>
            <w:tcW w:type="dxa" w:w="5669"/>
          </w:tcPr>
          <w:p>
            <w:r/>
            <w:r>
              <w:rPr>
                <w:rFonts w:ascii="Times New Roman" w:hAnsi="Times New Roman"/>
                <w:sz w:val="16"/>
              </w:rPr>
              <w:t>Give numbers of sources of evidence screened, assessed for eligibility, and included in the review, with reasons for exclusions at each stage, ideally using a flow diagram.</w:t>
            </w:r>
          </w:p>
        </w:tc>
        <w:tc>
          <w:tcPr>
            <w:tcW w:type="dxa" w:w="6236"/>
            <w:shd w:fill="E8F5E9" w:val="clear"/>
          </w:tcPr>
          <w:p>
            <w:r/>
            <w:r>
              <w:rPr>
                <w:rFonts w:ascii="Times New Roman" w:hAnsi="Times New Roman"/>
                <w:color w:val="006400"/>
                <w:sz w:val="16"/>
              </w:rPr>
              <w:t>✅ pp. 6–7 + Figure 1 — 328 identified → 66 duplicates → 262 screened → 103 excluded T/A → 159 full-text → 44 excluded (E2:16, E1:13, E3:9, E5:5, E4:1) + 22 'maybe' resolved → 93 included; PRISMA-ScR flow diagram Figure 1</w:t>
            </w:r>
          </w:p>
        </w:tc>
      </w:tr>
      <w:tr>
        <w:tc>
          <w:tcPr>
            <w:tcW w:type="dxa" w:w="2551"/>
          </w:tcPr>
          <w:p>
            <w:r/>
            <w:r>
              <w:rPr>
                <w:rFonts w:ascii="Times New Roman" w:hAnsi="Times New Roman"/>
                <w:i/>
                <w:sz w:val="17"/>
              </w:rPr>
              <w:t>Characteristics of sources of evidence</w:t>
            </w:r>
          </w:p>
        </w:tc>
        <w:tc>
          <w:tcPr>
            <w:tcW w:type="dxa" w:w="680"/>
          </w:tcPr>
          <w:p>
            <w:pPr>
              <w:jc w:val="center"/>
            </w:pPr>
            <w:r/>
            <w:r>
              <w:rPr>
                <w:rFonts w:ascii="Times New Roman" w:hAnsi="Times New Roman"/>
                <w:b/>
                <w:sz w:val="18"/>
              </w:rPr>
              <w:t>15</w:t>
            </w:r>
          </w:p>
        </w:tc>
        <w:tc>
          <w:tcPr>
            <w:tcW w:type="dxa" w:w="5669"/>
          </w:tcPr>
          <w:p>
            <w:r/>
            <w:r>
              <w:rPr>
                <w:rFonts w:ascii="Times New Roman" w:hAnsi="Times New Roman"/>
                <w:sz w:val="16"/>
              </w:rPr>
              <w:t>For each source of evidence, present characteristics for which data were charted and provide the citations.</w:t>
            </w:r>
          </w:p>
        </w:tc>
        <w:tc>
          <w:tcPr>
            <w:tcW w:type="dxa" w:w="6236"/>
            <w:shd w:fill="E8F5E9" w:val="clear"/>
          </w:tcPr>
          <w:p>
            <w:r/>
            <w:r>
              <w:rPr>
                <w:rFonts w:ascii="Times New Roman" w:hAnsi="Times New Roman"/>
                <w:color w:val="006400"/>
                <w:sz w:val="16"/>
              </w:rPr>
              <w:t>✅ pp. 7–8 + Table 2 + Figure 2 + Additional File 4 — Design distribution (Cohort 28.0%, Cross-sectional 12.9%, RCT 12.9%); walker level (Primary 16.1%, Covariate 83.9%); year distribution Figure 2; full 93-study table in Additional File 4</w:t>
            </w:r>
          </w:p>
        </w:tc>
      </w:tr>
      <w:tr>
        <w:tc>
          <w:tcPr>
            <w:tcW w:type="dxa" w:w="2551"/>
          </w:tcPr>
          <w:p>
            <w:r/>
            <w:r>
              <w:rPr>
                <w:rFonts w:ascii="Times New Roman" w:hAnsi="Times New Roman"/>
                <w:i/>
                <w:sz w:val="17"/>
              </w:rPr>
              <w:t>Critical appraisal within sources of evidence</w:t>
            </w:r>
          </w:p>
        </w:tc>
        <w:tc>
          <w:tcPr>
            <w:tcW w:type="dxa" w:w="680"/>
          </w:tcPr>
          <w:p>
            <w:pPr>
              <w:jc w:val="center"/>
            </w:pPr>
            <w:r/>
            <w:r>
              <w:rPr>
                <w:rFonts w:ascii="Times New Roman" w:hAnsi="Times New Roman"/>
                <w:b/>
                <w:sz w:val="18"/>
              </w:rPr>
              <w:t>16</w:t>
            </w:r>
          </w:p>
        </w:tc>
        <w:tc>
          <w:tcPr>
            <w:tcW w:type="dxa" w:w="5669"/>
          </w:tcPr>
          <w:p>
            <w:r/>
            <w:r>
              <w:rPr>
                <w:rFonts w:ascii="Times New Roman" w:hAnsi="Times New Roman"/>
                <w:sz w:val="16"/>
              </w:rPr>
              <w:t>If done, present data on critical appraisal of included sources of evidence (see item 12).</w:t>
            </w:r>
          </w:p>
        </w:tc>
        <w:tc>
          <w:tcPr>
            <w:tcW w:type="dxa" w:w="6236"/>
            <w:shd w:fill="E8F5E9" w:val="clear"/>
          </w:tcPr>
          <w:p>
            <w:r/>
            <w:r>
              <w:rPr>
                <w:rFonts w:ascii="Times New Roman" w:hAnsi="Times New Roman"/>
                <w:color w:val="006400"/>
                <w:sz w:val="16"/>
              </w:rPr>
              <w:t>✅ Additional Files 6–7 — JBI results for cross-sectional (n=12), cohort (n=26), RCT (n=12), case-control (n=1); AMSTAR 2 for reviews (n=3) and meta-analyses (n=4); quality informs Discussion interpretation</w:t>
            </w:r>
          </w:p>
        </w:tc>
      </w:tr>
      <w:tr>
        <w:tc>
          <w:tcPr>
            <w:tcW w:type="dxa" w:w="2551"/>
          </w:tcPr>
          <w:p>
            <w:r/>
            <w:r>
              <w:rPr>
                <w:rFonts w:ascii="Times New Roman" w:hAnsi="Times New Roman"/>
                <w:i/>
                <w:sz w:val="17"/>
              </w:rPr>
              <w:t>Results of individual sources of evidence</w:t>
            </w:r>
          </w:p>
        </w:tc>
        <w:tc>
          <w:tcPr>
            <w:tcW w:type="dxa" w:w="680"/>
          </w:tcPr>
          <w:p>
            <w:pPr>
              <w:jc w:val="center"/>
            </w:pPr>
            <w:r/>
            <w:r>
              <w:rPr>
                <w:rFonts w:ascii="Times New Roman" w:hAnsi="Times New Roman"/>
                <w:b/>
                <w:sz w:val="18"/>
              </w:rPr>
              <w:t>17</w:t>
            </w:r>
          </w:p>
        </w:tc>
        <w:tc>
          <w:tcPr>
            <w:tcW w:type="dxa" w:w="5669"/>
          </w:tcPr>
          <w:p>
            <w:r/>
            <w:r>
              <w:rPr>
                <w:rFonts w:ascii="Times New Roman" w:hAnsi="Times New Roman"/>
                <w:sz w:val="16"/>
              </w:rPr>
              <w:t>For each included source of evidence, present the relevant data that were charted that relate to the review questions and objectives.</w:t>
            </w:r>
          </w:p>
        </w:tc>
        <w:tc>
          <w:tcPr>
            <w:tcW w:type="dxa" w:w="6236"/>
            <w:shd w:fill="E8F5E9" w:val="clear"/>
          </w:tcPr>
          <w:p>
            <w:r/>
            <w:r>
              <w:rPr>
                <w:rFonts w:ascii="Times New Roman" w:hAnsi="Times New Roman"/>
                <w:color w:val="006400"/>
                <w:sz w:val="16"/>
              </w:rPr>
              <w:t>✅ pp. 8–11 (Themes 1–6) + Additional File 4 — T1 Biomech (n=25, gait alterations); T2 Clinical (n=72, OR 2.08–3.10); T3 Assessment (n=68, TUG/SPPB/FES-I); T4 Exercise (n=53, multi-component programs); T5 Sarcopenia (n=4, critical gap); T6 Tech (n=44, sensors/robotics)</w:t>
            </w:r>
          </w:p>
        </w:tc>
      </w:tr>
      <w:tr>
        <w:tc>
          <w:tcPr>
            <w:tcW w:type="dxa" w:w="2551"/>
          </w:tcPr>
          <w:p>
            <w:r/>
            <w:r>
              <w:rPr>
                <w:rFonts w:ascii="Times New Roman" w:hAnsi="Times New Roman"/>
                <w:i/>
                <w:sz w:val="17"/>
              </w:rPr>
              <w:t>Synthesis of results</w:t>
            </w:r>
          </w:p>
        </w:tc>
        <w:tc>
          <w:tcPr>
            <w:tcW w:type="dxa" w:w="680"/>
          </w:tcPr>
          <w:p>
            <w:pPr>
              <w:jc w:val="center"/>
            </w:pPr>
            <w:r/>
            <w:r>
              <w:rPr>
                <w:rFonts w:ascii="Times New Roman" w:hAnsi="Times New Roman"/>
                <w:b/>
                <w:sz w:val="18"/>
              </w:rPr>
              <w:t>18</w:t>
            </w:r>
          </w:p>
        </w:tc>
        <w:tc>
          <w:tcPr>
            <w:tcW w:type="dxa" w:w="5669"/>
          </w:tcPr>
          <w:p>
            <w:r/>
            <w:r>
              <w:rPr>
                <w:rFonts w:ascii="Times New Roman" w:hAnsi="Times New Roman"/>
                <w:sz w:val="16"/>
              </w:rPr>
              <w:t>Summarize and/or present the charting results as they relate to the review questions and objectives.</w:t>
            </w:r>
          </w:p>
        </w:tc>
        <w:tc>
          <w:tcPr>
            <w:tcW w:type="dxa" w:w="6236"/>
            <w:shd w:fill="E8F5E9" w:val="clear"/>
          </w:tcPr>
          <w:p>
            <w:r/>
            <w:r>
              <w:rPr>
                <w:rFonts w:ascii="Times New Roman" w:hAnsi="Times New Roman"/>
                <w:color w:val="006400"/>
                <w:sz w:val="16"/>
              </w:rPr>
              <w:t>✅ pp. 8–11 + Figures 4–5 — Thematic coverage (Figure 4); evidence gap map heatmap (Figure 5); walker-as-covariate paradox (83.9%); sarcopenia gap (4.3%); zero sarcopenia RCTs; conceptual framework in Discussion</w:t>
            </w:r>
          </w:p>
        </w:tc>
      </w:tr>
      <w:tr>
        <w:tc>
          <w:tcPr>
            <w:tcW w:type="dxa" w:w="2551"/>
            <w:shd w:fill="1B3A4B" w:val="clear"/>
          </w:tcPr>
          <w:p>
            <w:r/>
            <w:r>
              <w:rPr>
                <w:rFonts w:ascii="Times New Roman" w:hAnsi="Times New Roman"/>
                <w:b/>
                <w:color w:val="FFFFFF"/>
                <w:sz w:val="18"/>
              </w:rPr>
              <w:t>DISCUSSION</w:t>
            </w:r>
          </w:p>
        </w:tc>
        <w:tc>
          <w:tcPr>
            <w:tcW w:type="dxa" w:w="680"/>
            <w:shd w:fill="1B3A4B" w:val="clear"/>
          </w:tcPr>
          <w:p>
            <w:r/>
          </w:p>
        </w:tc>
        <w:tc>
          <w:tcPr>
            <w:tcW w:type="dxa" w:w="5669"/>
            <w:shd w:fill="1B3A4B" w:val="clear"/>
          </w:tcPr>
          <w:p>
            <w:r/>
          </w:p>
        </w:tc>
        <w:tc>
          <w:tcPr>
            <w:tcW w:type="dxa" w:w="6236"/>
            <w:shd w:fill="1B3A4B" w:val="clear"/>
          </w:tcPr>
          <w:p>
            <w:r/>
          </w:p>
        </w:tc>
      </w:tr>
      <w:tr>
        <w:tc>
          <w:tcPr>
            <w:tcW w:type="dxa" w:w="2551"/>
          </w:tcPr>
          <w:p>
            <w:r/>
            <w:r>
              <w:rPr>
                <w:rFonts w:ascii="Times New Roman" w:hAnsi="Times New Roman"/>
                <w:i/>
                <w:sz w:val="17"/>
              </w:rPr>
              <w:t>Summary of evidence</w:t>
            </w:r>
          </w:p>
        </w:tc>
        <w:tc>
          <w:tcPr>
            <w:tcW w:type="dxa" w:w="680"/>
          </w:tcPr>
          <w:p>
            <w:pPr>
              <w:jc w:val="center"/>
            </w:pPr>
            <w:r/>
            <w:r>
              <w:rPr>
                <w:rFonts w:ascii="Times New Roman" w:hAnsi="Times New Roman"/>
                <w:b/>
                <w:sz w:val="18"/>
              </w:rPr>
              <w:t>19</w:t>
            </w:r>
          </w:p>
        </w:tc>
        <w:tc>
          <w:tcPr>
            <w:tcW w:type="dxa" w:w="5669"/>
          </w:tcPr>
          <w:p>
            <w:r/>
            <w:r>
              <w:rPr>
                <w:rFonts w:ascii="Times New Roman" w:hAnsi="Times New Roman"/>
                <w:sz w:val="16"/>
              </w:rPr>
              <w:t>Summarize the main results (including an overview of concepts, themes, and types of evidence available), link to the review questions and objectives, and consider the relevance to key groups.</w:t>
            </w:r>
          </w:p>
        </w:tc>
        <w:tc>
          <w:tcPr>
            <w:tcW w:type="dxa" w:w="6236"/>
            <w:shd w:fill="E8F5E9" w:val="clear"/>
          </w:tcPr>
          <w:p>
            <w:r/>
            <w:r>
              <w:rPr>
                <w:rFonts w:ascii="Times New Roman" w:hAnsi="Times New Roman"/>
                <w:color w:val="006400"/>
                <w:sz w:val="16"/>
              </w:rPr>
              <w:t>✅ pp. 11–13 — 5 subsections: (1) Summary linking to PCC objectives + walker paradox OR 2.08–3.10; (2) Sarcopenia–Walker Gap (4.3%, zero RCTs); (3) Assessment validity concerns (73.1% validated in non-assisted); (4) Exercise implications (walker users excluded); (5) Conceptual framework; relevance to clinicians, rehabilitation, device designers</w:t>
            </w:r>
          </w:p>
        </w:tc>
      </w:tr>
      <w:tr>
        <w:tc>
          <w:tcPr>
            <w:tcW w:type="dxa" w:w="2551"/>
          </w:tcPr>
          <w:p>
            <w:r/>
            <w:r>
              <w:rPr>
                <w:rFonts w:ascii="Times New Roman" w:hAnsi="Times New Roman"/>
                <w:i/>
                <w:sz w:val="17"/>
              </w:rPr>
              <w:t>Limitations</w:t>
            </w:r>
          </w:p>
        </w:tc>
        <w:tc>
          <w:tcPr>
            <w:tcW w:type="dxa" w:w="680"/>
          </w:tcPr>
          <w:p>
            <w:pPr>
              <w:jc w:val="center"/>
            </w:pPr>
            <w:r/>
            <w:r>
              <w:rPr>
                <w:rFonts w:ascii="Times New Roman" w:hAnsi="Times New Roman"/>
                <w:b/>
                <w:sz w:val="18"/>
              </w:rPr>
              <w:t>20</w:t>
            </w:r>
          </w:p>
        </w:tc>
        <w:tc>
          <w:tcPr>
            <w:tcW w:type="dxa" w:w="5669"/>
          </w:tcPr>
          <w:p>
            <w:r/>
            <w:r>
              <w:rPr>
                <w:rFonts w:ascii="Times New Roman" w:hAnsi="Times New Roman"/>
                <w:sz w:val="16"/>
              </w:rPr>
              <w:t>Discuss the limitations of the scoping review process.</w:t>
            </w:r>
          </w:p>
        </w:tc>
        <w:tc>
          <w:tcPr>
            <w:tcW w:type="dxa" w:w="6236"/>
            <w:shd w:fill="E8F5E9" w:val="clear"/>
          </w:tcPr>
          <w:p>
            <w:r/>
            <w:r>
              <w:rPr>
                <w:rFonts w:ascii="Times New Roman" w:hAnsi="Times New Roman"/>
                <w:color w:val="006400"/>
                <w:sz w:val="16"/>
              </w:rPr>
              <w:t>✅ p. 13 — 5 limitations: English-only; algorithmic screening; 32.3% unclear design; no pooled estimates; broad walking aid types. 5 strengths: pre-registered, 3-database, JBI methodology, dual screening κ=0.493, evidence gap mapping</w:t>
            </w:r>
          </w:p>
        </w:tc>
      </w:tr>
      <w:tr>
        <w:tc>
          <w:tcPr>
            <w:tcW w:type="dxa" w:w="2551"/>
          </w:tcPr>
          <w:p>
            <w:r/>
            <w:r>
              <w:rPr>
                <w:rFonts w:ascii="Times New Roman" w:hAnsi="Times New Roman"/>
                <w:i/>
                <w:sz w:val="17"/>
              </w:rPr>
              <w:t>Conclusions</w:t>
            </w:r>
          </w:p>
        </w:tc>
        <w:tc>
          <w:tcPr>
            <w:tcW w:type="dxa" w:w="680"/>
          </w:tcPr>
          <w:p>
            <w:pPr>
              <w:jc w:val="center"/>
            </w:pPr>
            <w:r/>
            <w:r>
              <w:rPr>
                <w:rFonts w:ascii="Times New Roman" w:hAnsi="Times New Roman"/>
                <w:b/>
                <w:sz w:val="18"/>
              </w:rPr>
              <w:t>21</w:t>
            </w:r>
          </w:p>
        </w:tc>
        <w:tc>
          <w:tcPr>
            <w:tcW w:type="dxa" w:w="5669"/>
          </w:tcPr>
          <w:p>
            <w:r/>
            <w:r>
              <w:rPr>
                <w:rFonts w:ascii="Times New Roman" w:hAnsi="Times New Roman"/>
                <w:sz w:val="16"/>
              </w:rPr>
              <w:t>Provide a general interpretation of the results with respect to the review questions and objectives, as well as potential implications and/or next steps.</w:t>
            </w:r>
          </w:p>
        </w:tc>
        <w:tc>
          <w:tcPr>
            <w:tcW w:type="dxa" w:w="6236"/>
            <w:shd w:fill="E8F5E9" w:val="clear"/>
          </w:tcPr>
          <w:p>
            <w:r/>
            <w:r>
              <w:rPr>
                <w:rFonts w:ascii="Times New Roman" w:hAnsi="Times New Roman"/>
                <w:color w:val="006400"/>
                <w:sz w:val="16"/>
              </w:rPr>
              <w:t>✅ pp. 13–14 — Clinically concerning gap confirmed; walker use as covariate not population; 4 priorities: (1) RCTs for rollator users with sarcopenia criteria; (2) validate TUG/SPPB/FES-I for walker users; (3) biomechanical strength thresholds; (4) integrated clinical protocols</w:t>
            </w:r>
          </w:p>
        </w:tc>
      </w:tr>
      <w:tr>
        <w:tc>
          <w:tcPr>
            <w:tcW w:type="dxa" w:w="2551"/>
            <w:shd w:fill="1B3A4B" w:val="clear"/>
          </w:tcPr>
          <w:p>
            <w:r/>
            <w:r>
              <w:rPr>
                <w:rFonts w:ascii="Times New Roman" w:hAnsi="Times New Roman"/>
                <w:b/>
                <w:color w:val="FFFFFF"/>
                <w:sz w:val="18"/>
              </w:rPr>
              <w:t>FUNDING</w:t>
            </w:r>
          </w:p>
        </w:tc>
        <w:tc>
          <w:tcPr>
            <w:tcW w:type="dxa" w:w="680"/>
            <w:shd w:fill="1B3A4B" w:val="clear"/>
          </w:tcPr>
          <w:p>
            <w:r/>
          </w:p>
        </w:tc>
        <w:tc>
          <w:tcPr>
            <w:tcW w:type="dxa" w:w="5669"/>
            <w:shd w:fill="1B3A4B" w:val="clear"/>
          </w:tcPr>
          <w:p>
            <w:r/>
          </w:p>
        </w:tc>
        <w:tc>
          <w:tcPr>
            <w:tcW w:type="dxa" w:w="6236"/>
            <w:shd w:fill="1B3A4B" w:val="clear"/>
          </w:tcPr>
          <w:p>
            <w:r/>
          </w:p>
        </w:tc>
      </w:tr>
      <w:tr>
        <w:tc>
          <w:tcPr>
            <w:tcW w:type="dxa" w:w="2551"/>
          </w:tcPr>
          <w:p>
            <w:r/>
            <w:r>
              <w:rPr>
                <w:rFonts w:ascii="Times New Roman" w:hAnsi="Times New Roman"/>
                <w:i/>
                <w:sz w:val="17"/>
              </w:rPr>
              <w:t>Funding</w:t>
            </w:r>
          </w:p>
        </w:tc>
        <w:tc>
          <w:tcPr>
            <w:tcW w:type="dxa" w:w="680"/>
          </w:tcPr>
          <w:p>
            <w:pPr>
              <w:jc w:val="center"/>
            </w:pPr>
            <w:r/>
            <w:r>
              <w:rPr>
                <w:rFonts w:ascii="Times New Roman" w:hAnsi="Times New Roman"/>
                <w:b/>
                <w:sz w:val="18"/>
              </w:rPr>
              <w:t>22</w:t>
            </w:r>
          </w:p>
        </w:tc>
        <w:tc>
          <w:tcPr>
            <w:tcW w:type="dxa" w:w="5669"/>
          </w:tcPr>
          <w:p>
            <w:r/>
            <w:r>
              <w:rPr>
                <w:rFonts w:ascii="Times New Roman" w:hAnsi="Times New Roman"/>
                <w:sz w:val="16"/>
              </w:rPr>
              <w:t>Describe sources of funding for the included sources of evidence, as well as sources of funding for the scoping review. Describe the role of the funders of the scoping review.</w:t>
            </w:r>
          </w:p>
        </w:tc>
        <w:tc>
          <w:tcPr>
            <w:tcW w:type="dxa" w:w="6236"/>
            <w:shd w:fill="E8F5E9" w:val="clear"/>
          </w:tcPr>
          <w:p>
            <w:r/>
            <w:r>
              <w:rPr>
                <w:rFonts w:ascii="Times New Roman" w:hAnsi="Times New Roman"/>
                <w:color w:val="006400"/>
                <w:sz w:val="16"/>
              </w:rPr>
              <w:t>✅ p. 14 (Declarations) — '[Removed for double-anonymous review]'; to be completed post-acceptance</w:t>
            </w:r>
          </w:p>
        </w:tc>
      </w:tr>
    </w:tbl>
    <w:p/>
    <w:p>
      <w:r>
        <w:rPr>
          <w:rFonts w:ascii="Times New Roman" w:hAnsi="Times New Roman"/>
          <w:color w:val="646464"/>
          <w:sz w:val="15"/>
        </w:rPr>
        <w:t>JBI = Joanna Briggs Institute; PRISMA-ScR = Preferred Reporting Items for Systematic reviews and Meta-Analyses extension for Scoping Reviews.</w:t>
        <w:br/>
        <w:br/>
        <w:t>* Where sources of evidence are compiled from, such as bibliographic databases.</w:t>
        <w:br/>
        <w:t>† A more inclusive/heterogeneous term for different types of evidence or data sources.</w:t>
        <w:br/>
        <w:t>‡ The process of data extraction in a scoping review as data charting.</w:t>
        <w:br/>
        <w:t>§ The process of systematically examining research evidence to assess its validity.</w:t>
        <w:br/>
        <w:br/>
        <w:t>From: Tricco AC, et al. PRISMA Extension for Scoping Reviews (PRISMA-ScR): Checklist and Explanation. Ann Intern Med. 2018;169:467–473. doi: 10.7326/M18-0850.</w:t>
      </w:r>
    </w:p>
    <w:p>
      <w:r>
        <w:br w:type="page"/>
      </w:r>
    </w:p>
    <w:p>
      <w:pPr>
        <w:jc w:val="center"/>
      </w:pPr>
      <w:r>
        <w:rPr>
          <w:rFonts w:ascii="Times New Roman" w:hAnsi="Times New Roman"/>
          <w:b/>
          <w:sz w:val="28"/>
        </w:rPr>
        <w:t>PRISMA-ScR Compliance Summary</w:t>
      </w:r>
    </w:p>
    <w:p/>
    <w:tbl>
      <w:tblPr>
        <w:tblStyle w:val="TableGrid"/>
        <w:tblW w:type="auto" w:w="0"/>
        <w:jc w:val="center"/>
        <w:tblLook w:firstColumn="1" w:firstRow="1" w:lastColumn="0" w:lastRow="0" w:noHBand="0" w:noVBand="1" w:val="04A0"/>
      </w:tblPr>
      <w:tblGrid>
        <w:gridCol w:w="3784"/>
        <w:gridCol w:w="3784"/>
        <w:gridCol w:w="3784"/>
        <w:gridCol w:w="3784"/>
      </w:tblGrid>
      <w:tr>
        <w:tc>
          <w:tcPr>
            <w:tcW w:type="dxa" w:w="3784"/>
            <w:shd w:fill="2E4057" w:val="clear"/>
          </w:tcPr>
          <w:p>
            <w:pPr>
              <w:jc w:val="center"/>
            </w:pPr>
            <w:r/>
            <w:r>
              <w:rPr>
                <w:rFonts w:ascii="Times New Roman" w:hAnsi="Times New Roman"/>
                <w:b/>
                <w:color w:val="FFFFFF"/>
                <w:sz w:val="20"/>
              </w:rPr>
              <w:t>Category</w:t>
            </w:r>
          </w:p>
        </w:tc>
        <w:tc>
          <w:tcPr>
            <w:tcW w:type="dxa" w:w="3784"/>
            <w:shd w:fill="2E4057" w:val="clear"/>
          </w:tcPr>
          <w:p>
            <w:pPr>
              <w:jc w:val="center"/>
            </w:pPr>
            <w:r/>
            <w:r>
              <w:rPr>
                <w:rFonts w:ascii="Times New Roman" w:hAnsi="Times New Roman"/>
                <w:b/>
                <w:color w:val="FFFFFF"/>
                <w:sz w:val="20"/>
              </w:rPr>
              <w:t>Items</w:t>
            </w:r>
          </w:p>
        </w:tc>
        <w:tc>
          <w:tcPr>
            <w:tcW w:type="dxa" w:w="3784"/>
            <w:shd w:fill="2E4057" w:val="clear"/>
          </w:tcPr>
          <w:p>
            <w:pPr>
              <w:jc w:val="center"/>
            </w:pPr>
            <w:r/>
            <w:r>
              <w:rPr>
                <w:rFonts w:ascii="Times New Roman" w:hAnsi="Times New Roman"/>
                <w:b/>
                <w:color w:val="FFFFFF"/>
                <w:sz w:val="20"/>
              </w:rPr>
              <w:t>Reported</w:t>
            </w:r>
          </w:p>
        </w:tc>
        <w:tc>
          <w:tcPr>
            <w:tcW w:type="dxa" w:w="3784"/>
            <w:shd w:fill="2E4057" w:val="clear"/>
          </w:tcPr>
          <w:p>
            <w:pPr>
              <w:jc w:val="center"/>
            </w:pPr>
            <w:r/>
            <w:r>
              <w:rPr>
                <w:rFonts w:ascii="Times New Roman" w:hAnsi="Times New Roman"/>
                <w:b/>
                <w:color w:val="FFFFFF"/>
                <w:sz w:val="20"/>
              </w:rPr>
              <w:t>Compliance</w:t>
            </w:r>
          </w:p>
        </w:tc>
      </w:tr>
      <w:tr>
        <w:tc>
          <w:tcPr>
            <w:tcW w:type="dxa" w:w="3784"/>
          </w:tcPr>
          <w:p>
            <w:pPr>
              <w:jc w:val="left"/>
            </w:pPr>
            <w:r/>
            <w:r>
              <w:rPr>
                <w:rFonts w:ascii="Times New Roman" w:hAnsi="Times New Roman"/>
                <w:sz w:val="20"/>
              </w:rPr>
              <w:t>Title</w:t>
            </w:r>
          </w:p>
        </w:tc>
        <w:tc>
          <w:tcPr>
            <w:tcW w:type="dxa" w:w="3784"/>
          </w:tcPr>
          <w:p>
            <w:pPr>
              <w:jc w:val="center"/>
            </w:pPr>
            <w:r/>
            <w:r>
              <w:rPr>
                <w:rFonts w:ascii="Times New Roman" w:hAnsi="Times New Roman"/>
                <w:sz w:val="20"/>
              </w:rPr>
              <w:t>1</w:t>
            </w:r>
          </w:p>
        </w:tc>
        <w:tc>
          <w:tcPr>
            <w:tcW w:type="dxa" w:w="3784"/>
          </w:tcPr>
          <w:p>
            <w:pPr>
              <w:jc w:val="center"/>
            </w:pPr>
            <w:r/>
            <w:r>
              <w:rPr>
                <w:rFonts w:ascii="Times New Roman" w:hAnsi="Times New Roman"/>
                <w:sz w:val="20"/>
              </w:rPr>
              <w:t>1</w:t>
            </w:r>
          </w:p>
        </w:tc>
        <w:tc>
          <w:tcPr>
            <w:tcW w:type="dxa" w:w="3784"/>
            <w:shd w:fill="C8E6C9" w:val="clear"/>
          </w:tcPr>
          <w:p>
            <w:pPr>
              <w:jc w:val="center"/>
            </w:pPr>
            <w:r/>
            <w:r>
              <w:rPr>
                <w:rFonts w:ascii="Times New Roman" w:hAnsi="Times New Roman"/>
                <w:sz w:val="20"/>
              </w:rPr>
              <w:t>100%</w:t>
            </w:r>
          </w:p>
        </w:tc>
      </w:tr>
      <w:tr>
        <w:tc>
          <w:tcPr>
            <w:tcW w:type="dxa" w:w="3784"/>
          </w:tcPr>
          <w:p>
            <w:pPr>
              <w:jc w:val="left"/>
            </w:pPr>
            <w:r/>
            <w:r>
              <w:rPr>
                <w:rFonts w:ascii="Times New Roman" w:hAnsi="Times New Roman"/>
                <w:sz w:val="20"/>
              </w:rPr>
              <w:t>Abstract</w:t>
            </w:r>
          </w:p>
        </w:tc>
        <w:tc>
          <w:tcPr>
            <w:tcW w:type="dxa" w:w="3784"/>
          </w:tcPr>
          <w:p>
            <w:pPr>
              <w:jc w:val="center"/>
            </w:pPr>
            <w:r/>
            <w:r>
              <w:rPr>
                <w:rFonts w:ascii="Times New Roman" w:hAnsi="Times New Roman"/>
                <w:sz w:val="20"/>
              </w:rPr>
              <w:t>1</w:t>
            </w:r>
          </w:p>
        </w:tc>
        <w:tc>
          <w:tcPr>
            <w:tcW w:type="dxa" w:w="3784"/>
          </w:tcPr>
          <w:p>
            <w:pPr>
              <w:jc w:val="center"/>
            </w:pPr>
            <w:r/>
            <w:r>
              <w:rPr>
                <w:rFonts w:ascii="Times New Roman" w:hAnsi="Times New Roman"/>
                <w:sz w:val="20"/>
              </w:rPr>
              <w:t>1</w:t>
            </w:r>
          </w:p>
        </w:tc>
        <w:tc>
          <w:tcPr>
            <w:tcW w:type="dxa" w:w="3784"/>
            <w:shd w:fill="C8E6C9" w:val="clear"/>
          </w:tcPr>
          <w:p>
            <w:pPr>
              <w:jc w:val="center"/>
            </w:pPr>
            <w:r/>
            <w:r>
              <w:rPr>
                <w:rFonts w:ascii="Times New Roman" w:hAnsi="Times New Roman"/>
                <w:sz w:val="20"/>
              </w:rPr>
              <w:t>100%</w:t>
            </w:r>
          </w:p>
        </w:tc>
      </w:tr>
      <w:tr>
        <w:tc>
          <w:tcPr>
            <w:tcW w:type="dxa" w:w="3784"/>
          </w:tcPr>
          <w:p>
            <w:pPr>
              <w:jc w:val="left"/>
            </w:pPr>
            <w:r/>
            <w:r>
              <w:rPr>
                <w:rFonts w:ascii="Times New Roman" w:hAnsi="Times New Roman"/>
                <w:sz w:val="20"/>
              </w:rPr>
              <w:t>Introduction</w:t>
            </w:r>
          </w:p>
        </w:tc>
        <w:tc>
          <w:tcPr>
            <w:tcW w:type="dxa" w:w="3784"/>
          </w:tcPr>
          <w:p>
            <w:pPr>
              <w:jc w:val="center"/>
            </w:pPr>
            <w:r/>
            <w:r>
              <w:rPr>
                <w:rFonts w:ascii="Times New Roman" w:hAnsi="Times New Roman"/>
                <w:sz w:val="20"/>
              </w:rPr>
              <w:t>2</w:t>
            </w:r>
          </w:p>
        </w:tc>
        <w:tc>
          <w:tcPr>
            <w:tcW w:type="dxa" w:w="3784"/>
          </w:tcPr>
          <w:p>
            <w:pPr>
              <w:jc w:val="center"/>
            </w:pPr>
            <w:r/>
            <w:r>
              <w:rPr>
                <w:rFonts w:ascii="Times New Roman" w:hAnsi="Times New Roman"/>
                <w:sz w:val="20"/>
              </w:rPr>
              <w:t>2</w:t>
            </w:r>
          </w:p>
        </w:tc>
        <w:tc>
          <w:tcPr>
            <w:tcW w:type="dxa" w:w="3784"/>
            <w:shd w:fill="C8E6C9" w:val="clear"/>
          </w:tcPr>
          <w:p>
            <w:pPr>
              <w:jc w:val="center"/>
            </w:pPr>
            <w:r/>
            <w:r>
              <w:rPr>
                <w:rFonts w:ascii="Times New Roman" w:hAnsi="Times New Roman"/>
                <w:sz w:val="20"/>
              </w:rPr>
              <w:t>100%</w:t>
            </w:r>
          </w:p>
        </w:tc>
      </w:tr>
      <w:tr>
        <w:tc>
          <w:tcPr>
            <w:tcW w:type="dxa" w:w="3784"/>
          </w:tcPr>
          <w:p>
            <w:pPr>
              <w:jc w:val="left"/>
            </w:pPr>
            <w:r/>
            <w:r>
              <w:rPr>
                <w:rFonts w:ascii="Times New Roman" w:hAnsi="Times New Roman"/>
                <w:sz w:val="20"/>
              </w:rPr>
              <w:t>Methods</w:t>
            </w:r>
          </w:p>
        </w:tc>
        <w:tc>
          <w:tcPr>
            <w:tcW w:type="dxa" w:w="3784"/>
          </w:tcPr>
          <w:p>
            <w:pPr>
              <w:jc w:val="center"/>
            </w:pPr>
            <w:r/>
            <w:r>
              <w:rPr>
                <w:rFonts w:ascii="Times New Roman" w:hAnsi="Times New Roman"/>
                <w:sz w:val="20"/>
              </w:rPr>
              <w:t>9</w:t>
            </w:r>
          </w:p>
        </w:tc>
        <w:tc>
          <w:tcPr>
            <w:tcW w:type="dxa" w:w="3784"/>
          </w:tcPr>
          <w:p>
            <w:pPr>
              <w:jc w:val="center"/>
            </w:pPr>
            <w:r/>
            <w:r>
              <w:rPr>
                <w:rFonts w:ascii="Times New Roman" w:hAnsi="Times New Roman"/>
                <w:sz w:val="20"/>
              </w:rPr>
              <w:t>9</w:t>
            </w:r>
          </w:p>
        </w:tc>
        <w:tc>
          <w:tcPr>
            <w:tcW w:type="dxa" w:w="3784"/>
            <w:shd w:fill="C8E6C9" w:val="clear"/>
          </w:tcPr>
          <w:p>
            <w:pPr>
              <w:jc w:val="center"/>
            </w:pPr>
            <w:r/>
            <w:r>
              <w:rPr>
                <w:rFonts w:ascii="Times New Roman" w:hAnsi="Times New Roman"/>
                <w:sz w:val="20"/>
              </w:rPr>
              <w:t>100%</w:t>
            </w:r>
          </w:p>
        </w:tc>
      </w:tr>
      <w:tr>
        <w:tc>
          <w:tcPr>
            <w:tcW w:type="dxa" w:w="3784"/>
          </w:tcPr>
          <w:p>
            <w:pPr>
              <w:jc w:val="left"/>
            </w:pPr>
            <w:r/>
            <w:r>
              <w:rPr>
                <w:rFonts w:ascii="Times New Roman" w:hAnsi="Times New Roman"/>
                <w:sz w:val="20"/>
              </w:rPr>
              <w:t>Results</w:t>
            </w:r>
          </w:p>
        </w:tc>
        <w:tc>
          <w:tcPr>
            <w:tcW w:type="dxa" w:w="3784"/>
          </w:tcPr>
          <w:p>
            <w:pPr>
              <w:jc w:val="center"/>
            </w:pPr>
            <w:r/>
            <w:r>
              <w:rPr>
                <w:rFonts w:ascii="Times New Roman" w:hAnsi="Times New Roman"/>
                <w:sz w:val="20"/>
              </w:rPr>
              <w:t>5</w:t>
            </w:r>
          </w:p>
        </w:tc>
        <w:tc>
          <w:tcPr>
            <w:tcW w:type="dxa" w:w="3784"/>
          </w:tcPr>
          <w:p>
            <w:pPr>
              <w:jc w:val="center"/>
            </w:pPr>
            <w:r/>
            <w:r>
              <w:rPr>
                <w:rFonts w:ascii="Times New Roman" w:hAnsi="Times New Roman"/>
                <w:sz w:val="20"/>
              </w:rPr>
              <w:t>5</w:t>
            </w:r>
          </w:p>
        </w:tc>
        <w:tc>
          <w:tcPr>
            <w:tcW w:type="dxa" w:w="3784"/>
            <w:shd w:fill="C8E6C9" w:val="clear"/>
          </w:tcPr>
          <w:p>
            <w:pPr>
              <w:jc w:val="center"/>
            </w:pPr>
            <w:r/>
            <w:r>
              <w:rPr>
                <w:rFonts w:ascii="Times New Roman" w:hAnsi="Times New Roman"/>
                <w:sz w:val="20"/>
              </w:rPr>
              <w:t>100%</w:t>
            </w:r>
          </w:p>
        </w:tc>
      </w:tr>
      <w:tr>
        <w:tc>
          <w:tcPr>
            <w:tcW w:type="dxa" w:w="3784"/>
          </w:tcPr>
          <w:p>
            <w:pPr>
              <w:jc w:val="left"/>
            </w:pPr>
            <w:r/>
            <w:r>
              <w:rPr>
                <w:rFonts w:ascii="Times New Roman" w:hAnsi="Times New Roman"/>
                <w:sz w:val="20"/>
              </w:rPr>
              <w:t>Discussion</w:t>
            </w:r>
          </w:p>
        </w:tc>
        <w:tc>
          <w:tcPr>
            <w:tcW w:type="dxa" w:w="3784"/>
          </w:tcPr>
          <w:p>
            <w:pPr>
              <w:jc w:val="center"/>
            </w:pPr>
            <w:r/>
            <w:r>
              <w:rPr>
                <w:rFonts w:ascii="Times New Roman" w:hAnsi="Times New Roman"/>
                <w:sz w:val="20"/>
              </w:rPr>
              <w:t>3</w:t>
            </w:r>
          </w:p>
        </w:tc>
        <w:tc>
          <w:tcPr>
            <w:tcW w:type="dxa" w:w="3784"/>
          </w:tcPr>
          <w:p>
            <w:pPr>
              <w:jc w:val="center"/>
            </w:pPr>
            <w:r/>
            <w:r>
              <w:rPr>
                <w:rFonts w:ascii="Times New Roman" w:hAnsi="Times New Roman"/>
                <w:sz w:val="20"/>
              </w:rPr>
              <w:t>3</w:t>
            </w:r>
          </w:p>
        </w:tc>
        <w:tc>
          <w:tcPr>
            <w:tcW w:type="dxa" w:w="3784"/>
            <w:shd w:fill="C8E6C9" w:val="clear"/>
          </w:tcPr>
          <w:p>
            <w:pPr>
              <w:jc w:val="center"/>
            </w:pPr>
            <w:r/>
            <w:r>
              <w:rPr>
                <w:rFonts w:ascii="Times New Roman" w:hAnsi="Times New Roman"/>
                <w:sz w:val="20"/>
              </w:rPr>
              <w:t>100%</w:t>
            </w:r>
          </w:p>
        </w:tc>
      </w:tr>
      <w:tr>
        <w:tc>
          <w:tcPr>
            <w:tcW w:type="dxa" w:w="3784"/>
          </w:tcPr>
          <w:p>
            <w:pPr>
              <w:jc w:val="left"/>
            </w:pPr>
            <w:r/>
            <w:r>
              <w:rPr>
                <w:rFonts w:ascii="Times New Roman" w:hAnsi="Times New Roman"/>
                <w:sz w:val="20"/>
              </w:rPr>
              <w:t>Funding</w:t>
            </w:r>
          </w:p>
        </w:tc>
        <w:tc>
          <w:tcPr>
            <w:tcW w:type="dxa" w:w="3784"/>
          </w:tcPr>
          <w:p>
            <w:pPr>
              <w:jc w:val="center"/>
            </w:pPr>
            <w:r/>
            <w:r>
              <w:rPr>
                <w:rFonts w:ascii="Times New Roman" w:hAnsi="Times New Roman"/>
                <w:sz w:val="20"/>
              </w:rPr>
              <w:t>1</w:t>
            </w:r>
          </w:p>
        </w:tc>
        <w:tc>
          <w:tcPr>
            <w:tcW w:type="dxa" w:w="3784"/>
          </w:tcPr>
          <w:p>
            <w:pPr>
              <w:jc w:val="center"/>
            </w:pPr>
            <w:r/>
            <w:r>
              <w:rPr>
                <w:rFonts w:ascii="Times New Roman" w:hAnsi="Times New Roman"/>
                <w:sz w:val="20"/>
              </w:rPr>
              <w:t>1</w:t>
            </w:r>
          </w:p>
        </w:tc>
        <w:tc>
          <w:tcPr>
            <w:tcW w:type="dxa" w:w="3784"/>
            <w:shd w:fill="C8E6C9" w:val="clear"/>
          </w:tcPr>
          <w:p>
            <w:pPr>
              <w:jc w:val="center"/>
            </w:pPr>
            <w:r/>
            <w:r>
              <w:rPr>
                <w:rFonts w:ascii="Times New Roman" w:hAnsi="Times New Roman"/>
                <w:sz w:val="20"/>
              </w:rPr>
              <w:t>100%</w:t>
            </w:r>
          </w:p>
        </w:tc>
      </w:tr>
      <w:tr>
        <w:tc>
          <w:tcPr>
            <w:tcW w:type="dxa" w:w="3784"/>
          </w:tcPr>
          <w:p>
            <w:pPr>
              <w:jc w:val="left"/>
            </w:pPr>
            <w:r/>
            <w:r>
              <w:rPr>
                <w:rFonts w:ascii="Times New Roman" w:hAnsi="Times New Roman"/>
                <w:b/>
                <w:sz w:val="20"/>
              </w:rPr>
              <w:t>TOTAL</w:t>
            </w:r>
          </w:p>
        </w:tc>
        <w:tc>
          <w:tcPr>
            <w:tcW w:type="dxa" w:w="3784"/>
          </w:tcPr>
          <w:p>
            <w:pPr>
              <w:jc w:val="center"/>
            </w:pPr>
            <w:r/>
            <w:r>
              <w:rPr>
                <w:rFonts w:ascii="Times New Roman" w:hAnsi="Times New Roman"/>
                <w:b/>
                <w:sz w:val="20"/>
              </w:rPr>
              <w:t>22</w:t>
            </w:r>
          </w:p>
        </w:tc>
        <w:tc>
          <w:tcPr>
            <w:tcW w:type="dxa" w:w="3784"/>
          </w:tcPr>
          <w:p>
            <w:pPr>
              <w:jc w:val="center"/>
            </w:pPr>
            <w:r/>
            <w:r>
              <w:rPr>
                <w:rFonts w:ascii="Times New Roman" w:hAnsi="Times New Roman"/>
                <w:b/>
                <w:sz w:val="20"/>
              </w:rPr>
              <w:t>22</w:t>
            </w:r>
          </w:p>
        </w:tc>
        <w:tc>
          <w:tcPr>
            <w:tcW w:type="dxa" w:w="3784"/>
            <w:shd w:fill="C8E6C9" w:val="clear"/>
          </w:tcPr>
          <w:p>
            <w:pPr>
              <w:jc w:val="center"/>
            </w:pPr>
            <w:r/>
            <w:r>
              <w:rPr>
                <w:rFonts w:ascii="Times New Roman" w:hAnsi="Times New Roman"/>
                <w:b/>
                <w:sz w:val="20"/>
              </w:rPr>
              <w:t>100%</w:t>
            </w:r>
          </w:p>
        </w:tc>
      </w:tr>
    </w:tbl>
    <w:p/>
    <w:p>
      <w:r>
        <w:rPr>
          <w:rFonts w:ascii="Times New Roman" w:hAnsi="Times New Roman"/>
          <w:b/>
          <w:sz w:val="20"/>
        </w:rPr>
        <w:t>Key Notes for Submission:</w:t>
      </w:r>
    </w:p>
    <w:p>
      <w:r>
        <w:rPr>
          <w:rFonts w:ascii="Times New Roman" w:hAnsi="Times New Roman"/>
          <w:sz w:val="18"/>
        </w:rPr>
        <w:t>• All 22 PRISMA-ScR items are fully addressed in the manuscript.</w:t>
      </w:r>
    </w:p>
    <w:p>
      <w:r>
        <w:rPr>
          <w:rFonts w:ascii="Times New Roman" w:hAnsi="Times New Roman"/>
          <w:sz w:val="18"/>
        </w:rPr>
        <w:t>• Item 5 (Protocol) references OSF registration DOI: 10.17605/OSF.IO/XYKFV.</w:t>
      </w:r>
    </w:p>
    <w:p>
      <w:r>
        <w:rPr>
          <w:rFonts w:ascii="Times New Roman" w:hAnsi="Times New Roman"/>
          <w:sz w:val="18"/>
        </w:rPr>
        <w:t>• Items 12 and 16 (Critical Appraisal): JBI checklists + AMSTAR 2, consistent with enhanced scoping review methodology.</w:t>
      </w:r>
    </w:p>
    <w:p>
      <w:r>
        <w:rPr>
          <w:rFonts w:ascii="Times New Roman" w:hAnsi="Times New Roman"/>
          <w:sz w:val="18"/>
        </w:rPr>
        <w:t>• Item 14 (Selection): PRISMA-ScR flow diagram as Figure 1 with all numerical data at each stage.</w:t>
      </w:r>
    </w:p>
    <w:p>
      <w:r>
        <w:rPr>
          <w:rFonts w:ascii="Times New Roman" w:hAnsi="Times New Roman"/>
          <w:sz w:val="18"/>
        </w:rPr>
        <w:t>• Item 22 (Funding): '[Removed for double-anonymous review]' — to be completed after acceptance.</w:t>
      </w:r>
    </w:p>
    <w:p>
      <w:r>
        <w:rPr>
          <w:rFonts w:ascii="Times New Roman" w:hAnsi="Times New Roman"/>
          <w:sz w:val="18"/>
        </w:rPr>
        <w:t>• This checklist should be uploaded as Additional File 1 alongside the manuscript.</w:t>
      </w:r>
    </w:p>
    <w:sectPr w:rsidR="00FC693F" w:rsidRPr="0006063C" w:rsidSect="00034616">
      <w:pgSz w:w="16838" w:h="11906"/>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