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APOE2 protects against Aβ pathology by improving neuronal mitochondrial function through ERRα signaling</w:t>
      </w:r>
    </w:p>
    <w:p>
      <w:pPr>
        <w:spacing w:line="360" w:lineRule="auto"/>
        <w:jc w:val="left"/>
        <w:rPr>
          <w:rFonts w:ascii="Times New Roman" w:hAnsi="Times New Roman" w:cs="Times New Roman"/>
          <w:szCs w:val="21"/>
        </w:rPr>
      </w:pPr>
      <w:r>
        <w:rPr>
          <w:rFonts w:ascii="Times New Roman" w:hAnsi="Times New Roman" w:cs="Times New Roman"/>
          <w:szCs w:val="21"/>
        </w:rPr>
        <w:t>Zhiyuan Ning, Ying Liu, Mengyao Wan, You Zuo,</w:t>
      </w:r>
      <w:r>
        <w:rPr>
          <w:rFonts w:hint="eastAsia" w:ascii="Times New Roman" w:hAnsi="Times New Roman" w:cs="Times New Roman"/>
          <w:sz w:val="20"/>
          <w:szCs w:val="20"/>
        </w:rPr>
        <w:t xml:space="preserve"> Siqi Chen,</w:t>
      </w:r>
      <w:r>
        <w:rPr>
          <w:rFonts w:ascii="Times New Roman" w:hAnsi="Times New Roman" w:cs="Times New Roman"/>
          <w:szCs w:val="21"/>
        </w:rPr>
        <w:t xml:space="preserve"> Zhongshan Shi, Yongteng Xu, Honghong Li, Ho Ko,</w:t>
      </w:r>
      <w:r>
        <w:rPr>
          <w:rFonts w:hint="eastAsia" w:ascii="Times New Roman" w:hAnsi="Times New Roman" w:cs="Times New Roman"/>
          <w:sz w:val="20"/>
          <w:szCs w:val="20"/>
        </w:rPr>
        <w:t xml:space="preserve"> Jing Zhang,</w:t>
      </w:r>
      <w:r>
        <w:rPr>
          <w:rFonts w:ascii="Times New Roman" w:hAnsi="Times New Roman" w:cs="Times New Roman"/>
          <w:szCs w:val="21"/>
        </w:rPr>
        <w:t xml:space="preserve"> Songhua Xiao, Daji Guo, Yamei Tang</w:t>
      </w:r>
    </w:p>
    <w:p>
      <w:pPr>
        <w:autoSpaceDE w:val="0"/>
        <w:autoSpaceDN w:val="0"/>
        <w:adjustRightInd w:val="0"/>
        <w:spacing w:line="360" w:lineRule="auto"/>
        <w:rPr>
          <w:rFonts w:ascii="Times New Roman" w:hAnsi="Times New Roman" w:cs="Times New Roman"/>
          <w:b/>
          <w:iCs/>
          <w:sz w:val="24"/>
          <w:szCs w:val="24"/>
        </w:rPr>
      </w:pPr>
      <w:r>
        <w:rPr>
          <w:rFonts w:ascii="Times New Roman" w:hAnsi="Times New Roman" w:cs="Times New Roman"/>
          <w:b/>
          <w:iCs/>
          <w:sz w:val="24"/>
          <w:szCs w:val="24"/>
        </w:rPr>
        <w:t>Supplementary Figure</w:t>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472430" cy="3359150"/>
            <wp:effectExtent l="0" t="0" r="0" b="0"/>
            <wp:docPr id="15709062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06260" name="图片 1"/>
                    <pic:cNvPicPr>
                      <a:picLocks noChangeAspect="1"/>
                    </pic:cNvPicPr>
                  </pic:nvPicPr>
                  <pic:blipFill>
                    <a:blip r:embed="rId4"/>
                    <a:stretch>
                      <a:fillRect/>
                    </a:stretch>
                  </pic:blipFill>
                  <pic:spPr>
                    <a:xfrm>
                      <a:off x="0" y="0"/>
                      <a:ext cx="5484037" cy="3365955"/>
                    </a:xfrm>
                    <a:prstGeom prst="rect">
                      <a:avLst/>
                    </a:prstGeom>
                  </pic:spPr>
                </pic:pic>
              </a:graphicData>
            </a:graphic>
          </wp:inline>
        </w:drawing>
      </w:r>
    </w:p>
    <w:p>
      <w:pPr>
        <w:spacing w:after="156" w:afterLines="50" w:line="360" w:lineRule="auto"/>
        <w:rPr>
          <w:rFonts w:ascii="Times New Roman" w:hAnsi="Times New Roman" w:cs="Times New Roman"/>
          <w:b/>
          <w:bCs/>
          <w:sz w:val="20"/>
          <w:szCs w:val="20"/>
        </w:rPr>
      </w:pPr>
      <w:bookmarkStart w:id="0" w:name="OLE_LINK152"/>
      <w:r>
        <w:rPr>
          <w:rFonts w:ascii="Times New Roman" w:hAnsi="Times New Roman" w:cs="Times New Roman"/>
          <w:b/>
          <w:bCs/>
          <w:sz w:val="20"/>
          <w:szCs w:val="20"/>
        </w:rPr>
        <w:t>Fig S1： Mathys.H et al single-nucleus RNA sequencing analysis</w:t>
      </w:r>
    </w:p>
    <w:bookmarkEnd w:id="0"/>
    <w:p>
      <w:pPr>
        <w:pStyle w:val="32"/>
        <w:numPr>
          <w:ilvl w:val="0"/>
          <w:numId w:val="1"/>
        </w:numPr>
        <w:spacing w:line="360" w:lineRule="auto"/>
        <w:contextualSpacing w:val="0"/>
        <w:rPr>
          <w:rFonts w:ascii="Times New Roman" w:hAnsi="Times New Roman" w:cs="Times New Roman"/>
          <w:sz w:val="20"/>
          <w:szCs w:val="20"/>
        </w:rPr>
      </w:pPr>
      <w:r>
        <w:rPr>
          <w:rFonts w:ascii="Times New Roman" w:hAnsi="Times New Roman" w:cs="Times New Roman"/>
          <w:sz w:val="20"/>
          <w:szCs w:val="20"/>
        </w:rPr>
        <w:t>The UMAP plot displayed six main cell types in Mathys.H et al single-nucleus RNA sequencing.</w:t>
      </w:r>
    </w:p>
    <w:p>
      <w:pPr>
        <w:pStyle w:val="32"/>
        <w:numPr>
          <w:ilvl w:val="0"/>
          <w:numId w:val="1"/>
        </w:numPr>
        <w:spacing w:line="360" w:lineRule="auto"/>
        <w:contextualSpacing w:val="0"/>
        <w:rPr>
          <w:rFonts w:ascii="Times New Roman" w:hAnsi="Times New Roman" w:cs="Times New Roman"/>
          <w:sz w:val="20"/>
          <w:szCs w:val="20"/>
        </w:rPr>
      </w:pPr>
      <w:bookmarkStart w:id="1" w:name="OLE_LINK151"/>
      <w:r>
        <w:rPr>
          <w:rFonts w:ascii="Times New Roman" w:hAnsi="Times New Roman" w:cs="Times New Roman"/>
          <w:sz w:val="20"/>
          <w:szCs w:val="20"/>
        </w:rPr>
        <w:t>GO pathway enrichment of</w:t>
      </w:r>
      <w:bookmarkEnd w:id="1"/>
      <w:r>
        <w:rPr>
          <w:rFonts w:ascii="Times New Roman" w:hAnsi="Times New Roman" w:cs="Times New Roman"/>
          <w:sz w:val="20"/>
          <w:szCs w:val="20"/>
        </w:rPr>
        <w:t xml:space="preserve"> upregulated genes in APOE2 excitatory neurons compared to APOE3.</w:t>
      </w:r>
    </w:p>
    <w:p>
      <w:pPr>
        <w:pStyle w:val="32"/>
        <w:numPr>
          <w:ilvl w:val="0"/>
          <w:numId w:val="1"/>
        </w:numPr>
        <w:spacing w:line="360" w:lineRule="auto"/>
        <w:contextualSpacing w:val="0"/>
        <w:rPr>
          <w:rFonts w:ascii="Times New Roman" w:hAnsi="Times New Roman" w:cs="Times New Roman"/>
          <w:sz w:val="20"/>
          <w:szCs w:val="20"/>
        </w:rPr>
      </w:pPr>
      <w:r>
        <w:rPr>
          <w:rFonts w:ascii="Times New Roman" w:hAnsi="Times New Roman" w:cs="Times New Roman"/>
          <w:sz w:val="20"/>
          <w:szCs w:val="20"/>
        </w:rPr>
        <w:t>GO pathway enrichment of upregulated genes in APOE2 inhibitory neurons compared to APOE3.</w:t>
      </w:r>
    </w:p>
    <w:p>
      <w:pPr>
        <w:pStyle w:val="32"/>
        <w:numPr>
          <w:ilvl w:val="0"/>
          <w:numId w:val="1"/>
        </w:numPr>
        <w:spacing w:line="360" w:lineRule="auto"/>
        <w:contextualSpacing w:val="0"/>
        <w:rPr>
          <w:rFonts w:ascii="Times New Roman" w:hAnsi="Times New Roman" w:cs="Times New Roman"/>
          <w:sz w:val="20"/>
          <w:szCs w:val="20"/>
        </w:rPr>
      </w:pPr>
      <w:bookmarkStart w:id="2" w:name="OLE_LINK154"/>
      <w:r>
        <w:rPr>
          <w:rFonts w:ascii="Times New Roman" w:hAnsi="Times New Roman" w:cs="Times New Roman"/>
          <w:sz w:val="20"/>
          <w:szCs w:val="20"/>
        </w:rPr>
        <w:t>Workflow of Scissor for identification of APOE2-associated cells.</w:t>
      </w:r>
    </w:p>
    <w:bookmarkEnd w:id="2"/>
    <w:p>
      <w:pPr>
        <w:pStyle w:val="32"/>
        <w:numPr>
          <w:ilvl w:val="0"/>
          <w:numId w:val="1"/>
        </w:numPr>
        <w:spacing w:line="360" w:lineRule="auto"/>
        <w:contextualSpacing w:val="0"/>
        <w:rPr>
          <w:rFonts w:ascii="Times New Roman" w:hAnsi="Times New Roman" w:cs="Times New Roman"/>
          <w:sz w:val="20"/>
          <w:szCs w:val="20"/>
        </w:rPr>
      </w:pPr>
      <w:r>
        <w:rPr>
          <w:rFonts w:ascii="Times New Roman" w:hAnsi="Times New Roman" w:cs="Times New Roman"/>
          <w:sz w:val="20"/>
          <w:szCs w:val="20"/>
        </w:rPr>
        <w:t xml:space="preserve">The UMAP plot displayed </w:t>
      </w:r>
      <w:bookmarkStart w:id="3" w:name="OLE_LINK149"/>
      <w:r>
        <w:rPr>
          <w:rFonts w:ascii="Times New Roman" w:hAnsi="Times New Roman" w:cs="Times New Roman"/>
          <w:sz w:val="20"/>
          <w:szCs w:val="20"/>
        </w:rPr>
        <w:t>APOE2 positive cells</w:t>
      </w:r>
      <w:bookmarkEnd w:id="3"/>
      <w:r>
        <w:rPr>
          <w:rFonts w:ascii="Times New Roman" w:hAnsi="Times New Roman" w:cs="Times New Roman"/>
          <w:sz w:val="20"/>
          <w:szCs w:val="20"/>
        </w:rPr>
        <w:t>, APOE2 negative cells, and background cells.</w:t>
      </w:r>
    </w:p>
    <w:p>
      <w:pPr>
        <w:pStyle w:val="32"/>
        <w:numPr>
          <w:ilvl w:val="0"/>
          <w:numId w:val="1"/>
        </w:numPr>
        <w:spacing w:line="360" w:lineRule="auto"/>
        <w:contextualSpacing w:val="0"/>
        <w:rPr>
          <w:rFonts w:ascii="Times New Roman" w:hAnsi="Times New Roman" w:cs="Times New Roman"/>
          <w:sz w:val="20"/>
          <w:szCs w:val="20"/>
        </w:rPr>
      </w:pPr>
      <w:r>
        <w:rPr>
          <w:rFonts w:ascii="Times New Roman" w:hAnsi="Times New Roman" w:cs="Times New Roman"/>
          <w:sz w:val="20"/>
          <w:szCs w:val="20"/>
        </w:rPr>
        <w:t xml:space="preserve">Heatmap showing </w:t>
      </w:r>
      <w:bookmarkStart w:id="4" w:name="OLE_LINK150"/>
      <w:r>
        <w:rPr>
          <w:rFonts w:ascii="Times New Roman" w:hAnsi="Times New Roman" w:cs="Times New Roman"/>
          <w:sz w:val="20"/>
          <w:szCs w:val="20"/>
        </w:rPr>
        <w:t xml:space="preserve">the top marker genes of </w:t>
      </w:r>
      <w:r>
        <w:rPr>
          <w:rFonts w:ascii="Times New Roman" w:hAnsi="Times New Roman" w:cs="Times New Roman"/>
          <w:kern w:val="0"/>
          <w:sz w:val="20"/>
          <w:szCs w:val="20"/>
        </w:rPr>
        <w:t>APOE2 positive cells</w:t>
      </w:r>
      <w:bookmarkEnd w:id="4"/>
      <w:r>
        <w:rPr>
          <w:rFonts w:ascii="Times New Roman" w:hAnsi="Times New Roman" w:cs="Times New Roman"/>
          <w:kern w:val="0"/>
          <w:sz w:val="20"/>
          <w:szCs w:val="20"/>
        </w:rPr>
        <w:t>.</w:t>
      </w:r>
    </w:p>
    <w:p>
      <w:pPr>
        <w:pStyle w:val="32"/>
        <w:numPr>
          <w:ilvl w:val="0"/>
          <w:numId w:val="1"/>
        </w:numPr>
        <w:spacing w:line="360" w:lineRule="auto"/>
        <w:contextualSpacing w:val="0"/>
        <w:rPr>
          <w:rFonts w:ascii="Times New Roman" w:hAnsi="Times New Roman" w:cs="Times New Roman"/>
          <w:sz w:val="20"/>
          <w:szCs w:val="20"/>
        </w:rPr>
      </w:pPr>
      <w:r>
        <w:rPr>
          <w:rFonts w:ascii="Times New Roman" w:hAnsi="Times New Roman" w:cs="Times New Roman"/>
          <w:kern w:val="0"/>
          <w:sz w:val="20"/>
          <w:szCs w:val="20"/>
        </w:rPr>
        <w:t>GO pathway enrichment of</w:t>
      </w:r>
      <w:r>
        <w:rPr>
          <w:rFonts w:ascii="Times New Roman" w:hAnsi="Times New Roman" w:cs="Times New Roman"/>
          <w:sz w:val="20"/>
          <w:szCs w:val="20"/>
        </w:rPr>
        <w:t xml:space="preserve"> </w:t>
      </w:r>
      <w:r>
        <w:rPr>
          <w:rFonts w:ascii="Times New Roman" w:hAnsi="Times New Roman" w:cs="Times New Roman"/>
          <w:kern w:val="0"/>
          <w:sz w:val="20"/>
          <w:szCs w:val="20"/>
        </w:rPr>
        <w:t>the top marker genes of APOE2 positive cells.</w:t>
      </w:r>
    </w:p>
    <w:p>
      <w:pPr>
        <w:widowControl/>
        <w:jc w:val="left"/>
        <w:rPr>
          <w:rFonts w:ascii="Times New Roman" w:hAnsi="Times New Roman" w:cs="Times New Roman"/>
          <w:szCs w:val="21"/>
        </w:rPr>
      </w:pPr>
      <w:r>
        <w:rPr>
          <w:rFonts w:ascii="Times New Roman" w:hAnsi="Times New Roman" w:cs="Times New Roman"/>
          <w:szCs w:val="21"/>
        </w:rPr>
        <w:br w:type="page"/>
      </w:r>
    </w:p>
    <w:p>
      <w:pPr>
        <w:spacing w:line="360" w:lineRule="auto"/>
        <w:rPr>
          <w:rFonts w:ascii="Times New Roman" w:hAnsi="Times New Roman" w:cs="Times New Roman"/>
          <w:szCs w:val="21"/>
        </w:rPr>
      </w:pPr>
      <w:r>
        <w:rPr>
          <w:rFonts w:ascii="Times New Roman" w:hAnsi="Times New Roman" w:cs="Times New Roman"/>
          <w:szCs w:val="21"/>
        </w:rPr>
        <w:drawing>
          <wp:inline distT="0" distB="0" distL="0" distR="0">
            <wp:extent cx="5274310" cy="3555365"/>
            <wp:effectExtent l="0" t="0" r="2540" b="6985"/>
            <wp:docPr id="16417405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740522" name="图片 1"/>
                    <pic:cNvPicPr>
                      <a:picLocks noChangeAspect="1"/>
                    </pic:cNvPicPr>
                  </pic:nvPicPr>
                  <pic:blipFill>
                    <a:blip r:embed="rId5"/>
                    <a:stretch>
                      <a:fillRect/>
                    </a:stretch>
                  </pic:blipFill>
                  <pic:spPr>
                    <a:xfrm>
                      <a:off x="0" y="0"/>
                      <a:ext cx="5274310" cy="3555365"/>
                    </a:xfrm>
                    <a:prstGeom prst="rect">
                      <a:avLst/>
                    </a:prstGeom>
                  </pic:spPr>
                </pic:pic>
              </a:graphicData>
            </a:graphic>
          </wp:inline>
        </w:drawing>
      </w:r>
    </w:p>
    <w:p>
      <w:pPr>
        <w:spacing w:after="156" w:afterLines="50" w:line="360" w:lineRule="auto"/>
        <w:rPr>
          <w:rFonts w:ascii="Times New Roman" w:hAnsi="Times New Roman" w:cs="Times New Roman"/>
          <w:b/>
          <w:bCs/>
          <w:kern w:val="0"/>
          <w:sz w:val="20"/>
          <w:szCs w:val="20"/>
        </w:rPr>
      </w:pPr>
      <w:r>
        <w:rPr>
          <w:rFonts w:ascii="Times New Roman" w:hAnsi="Times New Roman" w:cs="Times New Roman"/>
          <w:b/>
          <w:bCs/>
          <w:sz w:val="20"/>
          <w:szCs w:val="20"/>
        </w:rPr>
        <w:t>Fig. S2：</w:t>
      </w:r>
      <w:bookmarkStart w:id="5" w:name="OLE_LINK155"/>
      <w:r>
        <w:rPr>
          <w:rFonts w:ascii="Times New Roman" w:hAnsi="Times New Roman" w:cs="Times New Roman"/>
          <w:b/>
          <w:bCs/>
          <w:sz w:val="20"/>
          <w:szCs w:val="20"/>
        </w:rPr>
        <w:t xml:space="preserve">Mitochondrial-related </w:t>
      </w:r>
      <w:r>
        <w:rPr>
          <w:rFonts w:ascii="Times New Roman" w:hAnsi="Times New Roman" w:cs="Times New Roman"/>
          <w:b/>
          <w:bCs/>
          <w:kern w:val="0"/>
          <w:sz w:val="20"/>
          <w:szCs w:val="20"/>
        </w:rPr>
        <w:t>DEGs</w:t>
      </w:r>
      <w:bookmarkEnd w:id="5"/>
      <w:r>
        <w:rPr>
          <w:rFonts w:ascii="Times New Roman" w:hAnsi="Times New Roman" w:cs="Times New Roman"/>
          <w:b/>
          <w:bCs/>
          <w:kern w:val="0"/>
          <w:sz w:val="20"/>
          <w:szCs w:val="20"/>
        </w:rPr>
        <w:t xml:space="preserve"> in APOE2 neurons versus APOE3 neurons</w:t>
      </w:r>
    </w:p>
    <w:p>
      <w:pPr>
        <w:pStyle w:val="32"/>
        <w:numPr>
          <w:ilvl w:val="0"/>
          <w:numId w:val="2"/>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 xml:space="preserve">Workflow of identification of </w:t>
      </w:r>
      <w:r>
        <w:rPr>
          <w:rFonts w:ascii="Times New Roman" w:hAnsi="Times New Roman" w:cs="Times New Roman"/>
          <w:kern w:val="0"/>
          <w:sz w:val="20"/>
          <w:szCs w:val="20"/>
        </w:rPr>
        <w:t>Mitochondrial-related DEGs.</w:t>
      </w:r>
    </w:p>
    <w:p>
      <w:pPr>
        <w:pStyle w:val="32"/>
        <w:numPr>
          <w:ilvl w:val="0"/>
          <w:numId w:val="2"/>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 xml:space="preserve">Mitochondrial-related DEGs in </w:t>
      </w:r>
      <w:r>
        <w:rPr>
          <w:rFonts w:ascii="Times New Roman" w:hAnsi="Times New Roman" w:cs="Times New Roman"/>
          <w:kern w:val="0"/>
          <w:sz w:val="20"/>
          <w:szCs w:val="20"/>
        </w:rPr>
        <w:t>excitatory and inhibitory neurons.</w:t>
      </w:r>
      <w:r>
        <w:rPr>
          <w:rFonts w:ascii="Times New Roman" w:hAnsi="Times New Roman" w:cs="Times New Roman"/>
          <w:sz w:val="20"/>
          <w:szCs w:val="20"/>
        </w:rPr>
        <w:t xml:space="preserve"> The color scale represented Z-scores.</w:t>
      </w:r>
    </w:p>
    <w:p>
      <w:pPr>
        <w:pStyle w:val="32"/>
        <w:numPr>
          <w:ilvl w:val="0"/>
          <w:numId w:val="2"/>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 xml:space="preserve">Mitochondrial-related DEGs in </w:t>
      </w:r>
      <w:r>
        <w:rPr>
          <w:rFonts w:ascii="Times New Roman" w:hAnsi="Times New Roman" w:cs="Times New Roman"/>
          <w:kern w:val="0"/>
          <w:sz w:val="20"/>
          <w:szCs w:val="20"/>
        </w:rPr>
        <w:t>excitatory and inhibitory neurons in AD pathology.</w:t>
      </w:r>
      <w:r>
        <w:rPr>
          <w:rFonts w:ascii="Times New Roman" w:hAnsi="Times New Roman" w:cs="Times New Roman"/>
          <w:sz w:val="20"/>
          <w:szCs w:val="20"/>
        </w:rPr>
        <w:t xml:space="preserve"> The color scale represented Z-scores.</w:t>
      </w:r>
    </w:p>
    <w:p>
      <w:pPr>
        <w:widowControl/>
        <w:jc w:val="left"/>
        <w:rPr>
          <w:rFonts w:ascii="Times New Roman" w:hAnsi="Times New Roman" w:cs="Times New Roman"/>
          <w:sz w:val="20"/>
          <w:szCs w:val="20"/>
        </w:rPr>
      </w:pPr>
      <w:r>
        <w:rPr>
          <w:rFonts w:ascii="Times New Roman" w:hAnsi="Times New Roman" w:cs="Times New Roman"/>
          <w:sz w:val="20"/>
          <w:szCs w:val="20"/>
        </w:rPr>
        <w:drawing>
          <wp:inline distT="0" distB="0" distL="0" distR="0">
            <wp:extent cx="5454650" cy="5500370"/>
            <wp:effectExtent l="0" t="0" r="0" b="5080"/>
            <wp:docPr id="2377400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40019"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457999" cy="5504036"/>
                    </a:xfrm>
                    <a:prstGeom prst="rect">
                      <a:avLst/>
                    </a:prstGeom>
                    <a:noFill/>
                    <a:ln>
                      <a:noFill/>
                    </a:ln>
                  </pic:spPr>
                </pic:pic>
              </a:graphicData>
            </a:graphic>
          </wp:inline>
        </w:drawing>
      </w:r>
    </w:p>
    <w:p>
      <w:pPr>
        <w:spacing w:after="156" w:afterLines="50" w:line="360" w:lineRule="auto"/>
        <w:rPr>
          <w:rFonts w:ascii="Times New Roman" w:hAnsi="Times New Roman" w:cs="Times New Roman"/>
          <w:b/>
          <w:bCs/>
          <w:sz w:val="20"/>
          <w:szCs w:val="20"/>
        </w:rPr>
      </w:pPr>
      <w:bookmarkStart w:id="6" w:name="OLE_LINK159"/>
      <w:bookmarkStart w:id="7" w:name="OLE_LINK221"/>
      <w:r>
        <w:rPr>
          <w:rFonts w:ascii="Times New Roman" w:hAnsi="Times New Roman" w:cs="Times New Roman"/>
          <w:b/>
          <w:bCs/>
          <w:sz w:val="20"/>
          <w:szCs w:val="20"/>
        </w:rPr>
        <w:t>Fig. S3:</w:t>
      </w:r>
      <w:bookmarkEnd w:id="6"/>
      <w:r>
        <w:rPr>
          <w:rFonts w:ascii="Times New Roman" w:hAnsi="Times New Roman" w:cs="Times New Roman"/>
          <w:b/>
          <w:bCs/>
          <w:sz w:val="20"/>
          <w:szCs w:val="20"/>
        </w:rPr>
        <w:t xml:space="preserve"> </w:t>
      </w:r>
      <w:bookmarkStart w:id="8" w:name="OLE_LINK157"/>
      <w:r>
        <w:rPr>
          <w:rFonts w:ascii="Times New Roman" w:hAnsi="Times New Roman" w:cs="Times New Roman"/>
          <w:b/>
          <w:bCs/>
          <w:sz w:val="20"/>
          <w:szCs w:val="20"/>
        </w:rPr>
        <w:t>The influence of Braak stages</w:t>
      </w:r>
      <w:r>
        <w:rPr>
          <w:rFonts w:hint="eastAsia" w:ascii="Times New Roman" w:hAnsi="Times New Roman" w:cs="Times New Roman"/>
          <w:b/>
          <w:bCs/>
          <w:sz w:val="20"/>
          <w:szCs w:val="20"/>
        </w:rPr>
        <w:t>,</w:t>
      </w:r>
      <w:r>
        <w:rPr>
          <w:rFonts w:ascii="Times New Roman" w:hAnsi="Times New Roman" w:cs="Times New Roman"/>
          <w:b/>
          <w:bCs/>
          <w:sz w:val="20"/>
          <w:szCs w:val="20"/>
        </w:rPr>
        <w:t xml:space="preserve"> age</w:t>
      </w:r>
      <w:r>
        <w:rPr>
          <w:rFonts w:hint="eastAsia" w:ascii="Times New Roman" w:hAnsi="Times New Roman" w:cs="Times New Roman"/>
          <w:b/>
          <w:bCs/>
          <w:sz w:val="20"/>
          <w:szCs w:val="20"/>
        </w:rPr>
        <w:t>, and gender</w:t>
      </w:r>
      <w:r>
        <w:rPr>
          <w:rFonts w:ascii="Times New Roman" w:hAnsi="Times New Roman" w:cs="Times New Roman"/>
          <w:b/>
          <w:bCs/>
          <w:sz w:val="20"/>
          <w:szCs w:val="20"/>
        </w:rPr>
        <w:t xml:space="preserve"> on the impact of APOE2 on mitochondrial function</w:t>
      </w:r>
    </w:p>
    <w:bookmarkEnd w:id="7"/>
    <w:p>
      <w:pPr>
        <w:pStyle w:val="32"/>
        <w:numPr>
          <w:ilvl w:val="0"/>
          <w:numId w:val="3"/>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The heatmap showed correlations between mitochondrial-related pathway scores and the Braak stages in APOE2 and APOE3 neurons. Red indicated positive correlation with the Braak stages and blue indicated negative correlation with the Braak stages. The color scale represented sign (R) ×log10[P] values.</w:t>
      </w:r>
      <w:bookmarkEnd w:id="8"/>
      <w:r>
        <w:rPr>
          <w:rFonts w:ascii="Times New Roman" w:hAnsi="Times New Roman" w:cs="Times New Roman"/>
          <w:sz w:val="20"/>
          <w:szCs w:val="20"/>
        </w:rPr>
        <w:t xml:space="preserve"> P &lt; 0.05 indicated (x).</w:t>
      </w:r>
    </w:p>
    <w:p>
      <w:pPr>
        <w:pStyle w:val="32"/>
        <w:numPr>
          <w:ilvl w:val="0"/>
          <w:numId w:val="3"/>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The scatter plots showed the pathway activity of ‘ATP synthesis coupled electron transport’ and ‘oxidative phosphorylation’ in APOE2 and APOE3 excitatory and inhibitory neurons with the progression of Braak stages.</w:t>
      </w:r>
    </w:p>
    <w:p>
      <w:pPr>
        <w:pStyle w:val="32"/>
        <w:numPr>
          <w:ilvl w:val="0"/>
          <w:numId w:val="3"/>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The heatmap showed correlations between mitochondrial-related pathway scores and age in APOE2 and APOE3 neurons. Red indicated positive correlation with age and blue indicated negative correlation with age. The color scale represented sign (R) ×log10[P] values. P &lt; 0.05 indicated (x).</w:t>
      </w:r>
    </w:p>
    <w:p>
      <w:pPr>
        <w:pStyle w:val="32"/>
        <w:numPr>
          <w:ilvl w:val="0"/>
          <w:numId w:val="3"/>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The scatter plots showed the pathway activity of ‘ATP synthesis coupled electron transport’ and ‘oxidative phosphorylation’ in APOE2 and APOE3 excitatory and inhibitory neurons with age.</w:t>
      </w:r>
    </w:p>
    <w:p>
      <w:pPr>
        <w:pStyle w:val="32"/>
        <w:numPr>
          <w:ilvl w:val="0"/>
          <w:numId w:val="3"/>
        </w:numPr>
        <w:spacing w:after="156" w:afterLines="50" w:line="360" w:lineRule="auto"/>
        <w:rPr>
          <w:rFonts w:ascii="Times New Roman" w:hAnsi="Times New Roman" w:cs="Times New Roman"/>
          <w:sz w:val="20"/>
          <w:szCs w:val="20"/>
        </w:rPr>
      </w:pPr>
      <w:r>
        <w:rPr>
          <w:rFonts w:ascii="Times New Roman" w:hAnsi="Times New Roman" w:cs="Times New Roman"/>
          <w:sz w:val="20"/>
          <w:szCs w:val="20"/>
        </w:rPr>
        <w:t xml:space="preserve">Heatmap showed mitochondrion-associated pathways altered in excitatory and inhibitory neurons in APOE2 versus APOE3 individuals stratified by </w:t>
      </w:r>
      <w:r>
        <w:rPr>
          <w:rFonts w:hint="eastAsia" w:ascii="Times New Roman" w:hAnsi="Times New Roman" w:cs="Times New Roman"/>
          <w:sz w:val="20"/>
          <w:szCs w:val="20"/>
        </w:rPr>
        <w:t>gender</w:t>
      </w:r>
      <w:r>
        <w:rPr>
          <w:rFonts w:ascii="Times New Roman" w:hAnsi="Times New Roman" w:cs="Times New Roman"/>
          <w:sz w:val="20"/>
          <w:szCs w:val="20"/>
        </w:rPr>
        <w:t>. Red indicated APOE2 upregulation and blue indicated APOE2 downregulation. The color scale represents sign (log [FC]) ×log10[P] values. P &lt; 0.05 indicated (x).</w:t>
      </w:r>
    </w:p>
    <w:p>
      <w:pPr>
        <w:widowControl/>
        <w:jc w:val="left"/>
        <w:rPr>
          <w:rFonts w:ascii="Times New Roman" w:hAnsi="Times New Roman" w:cs="Times New Roman"/>
          <w:sz w:val="20"/>
          <w:szCs w:val="20"/>
        </w:rPr>
      </w:pPr>
      <w:r>
        <w:rPr>
          <w:rFonts w:ascii="Times New Roman" w:hAnsi="Times New Roman" w:cs="Times New Roman"/>
          <w:sz w:val="20"/>
          <w:szCs w:val="20"/>
        </w:rPr>
        <w:br w:type="page"/>
      </w:r>
    </w:p>
    <w:p>
      <w:pPr>
        <w:spacing w:line="480" w:lineRule="auto"/>
        <w:rPr>
          <w:rFonts w:ascii="Times New Roman" w:hAnsi="Times New Roman" w:cs="Times New Roman"/>
          <w:sz w:val="20"/>
          <w:szCs w:val="20"/>
        </w:rPr>
      </w:pPr>
      <w:r>
        <w:rPr>
          <w:rFonts w:ascii="Times New Roman" w:hAnsi="Times New Roman" w:cs="Times New Roman"/>
          <w:sz w:val="20"/>
          <w:szCs w:val="20"/>
        </w:rPr>
        <w:drawing>
          <wp:inline distT="0" distB="0" distL="0" distR="0">
            <wp:extent cx="5274310" cy="5417820"/>
            <wp:effectExtent l="0" t="0" r="2540" b="0"/>
            <wp:docPr id="3914307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30730" name="图片 1"/>
                    <pic:cNvPicPr>
                      <a:picLocks noChangeAspect="1"/>
                    </pic:cNvPicPr>
                  </pic:nvPicPr>
                  <pic:blipFill>
                    <a:blip r:embed="rId7"/>
                    <a:stretch>
                      <a:fillRect/>
                    </a:stretch>
                  </pic:blipFill>
                  <pic:spPr>
                    <a:xfrm>
                      <a:off x="0" y="0"/>
                      <a:ext cx="5274310" cy="5417820"/>
                    </a:xfrm>
                    <a:prstGeom prst="rect">
                      <a:avLst/>
                    </a:prstGeom>
                  </pic:spPr>
                </pic:pic>
              </a:graphicData>
            </a:graphic>
          </wp:inline>
        </w:drawing>
      </w:r>
    </w:p>
    <w:p>
      <w:pPr>
        <w:spacing w:line="360" w:lineRule="auto"/>
        <w:rPr>
          <w:rFonts w:ascii="Times New Roman" w:hAnsi="Times New Roman" w:cs="Times New Roman"/>
          <w:b/>
          <w:bCs/>
          <w:kern w:val="0"/>
          <w:sz w:val="20"/>
          <w:szCs w:val="20"/>
        </w:rPr>
      </w:pPr>
      <w:bookmarkStart w:id="9" w:name="OLE_LINK162"/>
      <w:r>
        <w:rPr>
          <w:rFonts w:ascii="Times New Roman" w:hAnsi="Times New Roman" w:cs="Times New Roman"/>
          <w:b/>
          <w:bCs/>
          <w:sz w:val="20"/>
          <w:szCs w:val="20"/>
        </w:rPr>
        <w:t>Fig. S</w:t>
      </w:r>
      <w:r>
        <w:rPr>
          <w:rFonts w:hint="eastAsia" w:ascii="Times New Roman" w:hAnsi="Times New Roman" w:cs="Times New Roman"/>
          <w:b/>
          <w:bCs/>
          <w:sz w:val="20"/>
          <w:szCs w:val="20"/>
        </w:rPr>
        <w:t>4</w:t>
      </w:r>
      <w:r>
        <w:rPr>
          <w:rFonts w:ascii="Times New Roman" w:hAnsi="Times New Roman" w:cs="Times New Roman"/>
          <w:b/>
          <w:bCs/>
          <w:sz w:val="20"/>
          <w:szCs w:val="20"/>
        </w:rPr>
        <w:t xml:space="preserve">: </w:t>
      </w:r>
      <w:r>
        <w:rPr>
          <w:rFonts w:ascii="Times New Roman" w:hAnsi="Times New Roman" w:cs="Times New Roman"/>
          <w:b/>
          <w:bCs/>
          <w:kern w:val="0"/>
          <w:sz w:val="20"/>
          <w:szCs w:val="20"/>
        </w:rPr>
        <w:t>Excitatory pyramidal neurons (Ex-PYR) and parvalbumin-positive basket interneurons (In−PV(Basket)) are likely the primary cell types influenced by APOE2</w:t>
      </w:r>
    </w:p>
    <w:bookmarkEnd w:id="9"/>
    <w:p>
      <w:pPr>
        <w:pStyle w:val="32"/>
        <w:numPr>
          <w:ilvl w:val="0"/>
          <w:numId w:val="4"/>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The UMAP plot displayed sixteen cell types in DLPFC, including seven cell types of excitatory neurons and five cell types of inhibitory neurons.</w:t>
      </w:r>
    </w:p>
    <w:p>
      <w:pPr>
        <w:pStyle w:val="32"/>
        <w:numPr>
          <w:ilvl w:val="0"/>
          <w:numId w:val="4"/>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Heatmap showed the expression of representative marker genes in each neuronal cell type.</w:t>
      </w:r>
    </w:p>
    <w:p>
      <w:pPr>
        <w:pStyle w:val="32"/>
        <w:numPr>
          <w:ilvl w:val="0"/>
          <w:numId w:val="4"/>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 xml:space="preserve">The distribution of </w:t>
      </w:r>
      <w:bookmarkStart w:id="10" w:name="OLE_LINK223"/>
      <w:r>
        <w:rPr>
          <w:rFonts w:ascii="Times New Roman" w:hAnsi="Times New Roman" w:cs="Times New Roman"/>
          <w:sz w:val="20"/>
          <w:szCs w:val="20"/>
        </w:rPr>
        <w:t>recovered ESRRA gene expression in neuronal cell types.</w:t>
      </w:r>
      <w:bookmarkEnd w:id="10"/>
    </w:p>
    <w:p>
      <w:pPr>
        <w:pStyle w:val="32"/>
        <w:numPr>
          <w:ilvl w:val="0"/>
          <w:numId w:val="4"/>
        </w:numPr>
        <w:spacing w:line="360" w:lineRule="auto"/>
        <w:ind w:left="357" w:hanging="357"/>
        <w:contextualSpacing w:val="0"/>
        <w:rPr>
          <w:rFonts w:ascii="Times New Roman" w:hAnsi="Times New Roman" w:cs="Times New Roman"/>
          <w:sz w:val="20"/>
          <w:szCs w:val="20"/>
        </w:rPr>
      </w:pPr>
      <w:r>
        <w:rPr>
          <w:rFonts w:ascii="Times New Roman" w:hAnsi="Times New Roman" w:cs="Times New Roman"/>
          <w:sz w:val="20"/>
          <w:szCs w:val="20"/>
        </w:rPr>
        <w:t>Heatmap showed mitochondrion-associated pathways altered across major twelve neuronal cell types in APOE2 versus APOE3 individual (nominal P &lt; 0.05, linear model). Red indicated APOE2 upregulation and blue indicated APOE2 downregulation. The color scale represents sign (log [FC]) ×log10[P] values. Pathways with absolute value of sign (log [FC]) ×log10[P]&gt;1.3 were shown in the heatmap.</w:t>
      </w:r>
    </w:p>
    <w:p>
      <w:pPr>
        <w:spacing w:after="156" w:afterLines="50" w:line="360" w:lineRule="auto"/>
        <w:rPr>
          <w:rFonts w:ascii="Times New Roman" w:hAnsi="Times New Roman" w:cs="Times New Roman"/>
          <w:b/>
          <w:bCs/>
          <w:sz w:val="20"/>
          <w:szCs w:val="20"/>
        </w:rPr>
      </w:pPr>
      <w:r>
        <w:rPr>
          <w:rFonts w:ascii="Times New Roman" w:hAnsi="Times New Roman" w:cs="Times New Roman"/>
          <w:b/>
          <w:bCs/>
          <w:sz w:val="20"/>
          <w:szCs w:val="20"/>
        </w:rPr>
        <w:drawing>
          <wp:inline distT="0" distB="0" distL="0" distR="0">
            <wp:extent cx="5405755" cy="5330190"/>
            <wp:effectExtent l="0" t="0" r="4445" b="3810"/>
            <wp:docPr id="10558403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40323" name="图片 1"/>
                    <pic:cNvPicPr>
                      <a:picLocks noChangeAspect="1"/>
                    </pic:cNvPicPr>
                  </pic:nvPicPr>
                  <pic:blipFill>
                    <a:blip r:embed="rId8"/>
                    <a:stretch>
                      <a:fillRect/>
                    </a:stretch>
                  </pic:blipFill>
                  <pic:spPr>
                    <a:xfrm>
                      <a:off x="0" y="0"/>
                      <a:ext cx="5413004" cy="5337408"/>
                    </a:xfrm>
                    <a:prstGeom prst="rect">
                      <a:avLst/>
                    </a:prstGeom>
                  </pic:spPr>
                </pic:pic>
              </a:graphicData>
            </a:graphic>
          </wp:inline>
        </w:drawing>
      </w:r>
    </w:p>
    <w:p>
      <w:pPr>
        <w:spacing w:after="156" w:afterLines="50" w:line="360" w:lineRule="auto"/>
        <w:rPr>
          <w:rFonts w:ascii="Times New Roman" w:hAnsi="Times New Roman" w:cs="Times New Roman"/>
          <w:b/>
          <w:bCs/>
          <w:sz w:val="20"/>
          <w:szCs w:val="20"/>
        </w:rPr>
      </w:pPr>
      <w:r>
        <w:rPr>
          <w:rFonts w:ascii="Times New Roman" w:hAnsi="Times New Roman" w:cs="Times New Roman"/>
          <w:b/>
          <w:bCs/>
          <w:sz w:val="20"/>
          <w:szCs w:val="20"/>
        </w:rPr>
        <w:t>Fig. S</w:t>
      </w:r>
      <w:r>
        <w:rPr>
          <w:rFonts w:hint="eastAsia" w:ascii="Times New Roman" w:hAnsi="Times New Roman" w:cs="Times New Roman"/>
          <w:b/>
          <w:bCs/>
          <w:sz w:val="20"/>
          <w:szCs w:val="20"/>
        </w:rPr>
        <w:t>5</w:t>
      </w:r>
      <w:r>
        <w:rPr>
          <w:rFonts w:ascii="Times New Roman" w:hAnsi="Times New Roman" w:cs="Times New Roman"/>
          <w:b/>
          <w:bCs/>
          <w:sz w:val="20"/>
          <w:szCs w:val="20"/>
        </w:rPr>
        <w:t xml:space="preserve">: </w:t>
      </w:r>
      <w:bookmarkStart w:id="11" w:name="OLE_LINK2"/>
      <w:r>
        <w:rPr>
          <w:rFonts w:hint="eastAsia" w:ascii="Times New Roman" w:hAnsi="Times New Roman" w:cs="Times New Roman"/>
          <w:b/>
          <w:bCs/>
          <w:sz w:val="20"/>
          <w:szCs w:val="20"/>
        </w:rPr>
        <w:t>ESRRA expression stratified by AD pathology and gender</w:t>
      </w:r>
    </w:p>
    <w:bookmarkEnd w:id="11"/>
    <w:p>
      <w:pPr>
        <w:pStyle w:val="32"/>
        <w:widowControl/>
        <w:numPr>
          <w:ilvl w:val="0"/>
          <w:numId w:val="5"/>
        </w:numPr>
        <w:spacing w:after="156" w:afterLines="50" w:line="480" w:lineRule="auto"/>
        <w:jc w:val="left"/>
        <w:rPr>
          <w:rFonts w:ascii="Times New Roman" w:hAnsi="Times New Roman" w:cs="Times New Roman"/>
          <w:sz w:val="20"/>
          <w:szCs w:val="20"/>
        </w:rPr>
      </w:pPr>
      <w:bookmarkStart w:id="12" w:name="OLE_LINK229"/>
      <w:bookmarkStart w:id="13" w:name="OLE_LINK226"/>
      <w:bookmarkStart w:id="14" w:name="OLE_LINK227"/>
      <w:r>
        <w:rPr>
          <w:rFonts w:ascii="Times New Roman" w:hAnsi="Times New Roman" w:cs="Times New Roman"/>
          <w:sz w:val="20"/>
          <w:szCs w:val="20"/>
        </w:rPr>
        <w:t xml:space="preserve">Violin plots revealed differences in </w:t>
      </w:r>
      <w:r>
        <w:rPr>
          <w:rFonts w:hint="eastAsia" w:ascii="Times New Roman" w:hAnsi="Times New Roman" w:cs="Times New Roman"/>
          <w:sz w:val="20"/>
          <w:szCs w:val="20"/>
        </w:rPr>
        <w:t>r</w:t>
      </w:r>
      <w:r>
        <w:rPr>
          <w:rFonts w:ascii="Times New Roman" w:hAnsi="Times New Roman" w:cs="Times New Roman"/>
          <w:sz w:val="20"/>
          <w:szCs w:val="20"/>
        </w:rPr>
        <w:t>ecovered ESRRA expression between</w:t>
      </w:r>
      <w:r>
        <w:rPr>
          <w:rFonts w:hint="eastAsia" w:ascii="Times New Roman" w:hAnsi="Times New Roman" w:cs="Times New Roman"/>
          <w:sz w:val="20"/>
          <w:szCs w:val="20"/>
        </w:rPr>
        <w:t xml:space="preserve"> individuals with</w:t>
      </w:r>
      <w:r>
        <w:rPr>
          <w:rFonts w:ascii="Times New Roman" w:hAnsi="Times New Roman" w:cs="Times New Roman"/>
          <w:sz w:val="20"/>
          <w:szCs w:val="20"/>
        </w:rPr>
        <w:t xml:space="preserve"> </w:t>
      </w:r>
      <w:r>
        <w:rPr>
          <w:rFonts w:hint="eastAsia" w:ascii="Times New Roman" w:hAnsi="Times New Roman" w:cs="Times New Roman"/>
          <w:sz w:val="20"/>
          <w:szCs w:val="20"/>
        </w:rPr>
        <w:t>non-</w:t>
      </w:r>
      <w:bookmarkStart w:id="15" w:name="OLE_LINK228"/>
      <w:r>
        <w:rPr>
          <w:rFonts w:hint="eastAsia" w:ascii="Times New Roman" w:hAnsi="Times New Roman" w:cs="Times New Roman"/>
          <w:sz w:val="20"/>
          <w:szCs w:val="20"/>
        </w:rPr>
        <w:t>AD pathology</w:t>
      </w:r>
      <w:bookmarkEnd w:id="15"/>
      <w:r>
        <w:rPr>
          <w:rFonts w:ascii="Times New Roman" w:hAnsi="Times New Roman" w:cs="Times New Roman"/>
          <w:sz w:val="20"/>
          <w:szCs w:val="20"/>
        </w:rPr>
        <w:t xml:space="preserve"> and </w:t>
      </w:r>
      <w:r>
        <w:rPr>
          <w:rFonts w:hint="eastAsia" w:ascii="Times New Roman" w:hAnsi="Times New Roman" w:cs="Times New Roman"/>
          <w:sz w:val="20"/>
          <w:szCs w:val="20"/>
        </w:rPr>
        <w:t>AD pathology</w:t>
      </w:r>
      <w:r>
        <w:rPr>
          <w:rFonts w:ascii="Times New Roman" w:hAnsi="Times New Roman" w:cs="Times New Roman"/>
          <w:sz w:val="20"/>
          <w:szCs w:val="20"/>
        </w:rPr>
        <w:t xml:space="preserve"> </w:t>
      </w:r>
      <w:r>
        <w:rPr>
          <w:rFonts w:hint="eastAsia" w:ascii="Times New Roman" w:hAnsi="Times New Roman" w:cs="Times New Roman"/>
          <w:sz w:val="20"/>
          <w:szCs w:val="20"/>
        </w:rPr>
        <w:t xml:space="preserve">in </w:t>
      </w:r>
      <w:r>
        <w:rPr>
          <w:rFonts w:ascii="Times New Roman" w:hAnsi="Times New Roman" w:cs="Times New Roman"/>
          <w:sz w:val="20"/>
          <w:szCs w:val="20"/>
        </w:rPr>
        <w:t>excitatory and inhibitory neurons.</w:t>
      </w:r>
      <w:r>
        <w:rPr>
          <w:rFonts w:hint="eastAsia" w:ascii="Times New Roman" w:hAnsi="Times New Roman" w:cs="Times New Roman"/>
          <w:sz w:val="20"/>
          <w:szCs w:val="20"/>
        </w:rPr>
        <w:t xml:space="preserve"> </w:t>
      </w:r>
    </w:p>
    <w:bookmarkEnd w:id="12"/>
    <w:p>
      <w:pPr>
        <w:pStyle w:val="32"/>
        <w:widowControl/>
        <w:numPr>
          <w:ilvl w:val="0"/>
          <w:numId w:val="5"/>
        </w:numPr>
        <w:spacing w:after="156" w:afterLines="50" w:line="480" w:lineRule="auto"/>
        <w:jc w:val="left"/>
        <w:rPr>
          <w:rFonts w:ascii="Times New Roman" w:hAnsi="Times New Roman" w:cs="Times New Roman"/>
          <w:sz w:val="20"/>
          <w:szCs w:val="20"/>
        </w:rPr>
      </w:pPr>
      <w:r>
        <w:rPr>
          <w:rFonts w:ascii="Times New Roman" w:hAnsi="Times New Roman" w:cs="Times New Roman"/>
          <w:sz w:val="20"/>
          <w:szCs w:val="20"/>
        </w:rPr>
        <w:t xml:space="preserve">Violin plots revealed differences in </w:t>
      </w:r>
      <w:r>
        <w:rPr>
          <w:rFonts w:hint="eastAsia" w:ascii="Times New Roman" w:hAnsi="Times New Roman" w:cs="Times New Roman"/>
          <w:sz w:val="20"/>
          <w:szCs w:val="20"/>
        </w:rPr>
        <w:t>r</w:t>
      </w:r>
      <w:r>
        <w:rPr>
          <w:rFonts w:ascii="Times New Roman" w:hAnsi="Times New Roman" w:cs="Times New Roman"/>
          <w:sz w:val="20"/>
          <w:szCs w:val="20"/>
        </w:rPr>
        <w:t xml:space="preserve">ecovered ESRRA expression between male and female </w:t>
      </w:r>
      <w:r>
        <w:rPr>
          <w:rFonts w:hint="eastAsia" w:ascii="Times New Roman" w:hAnsi="Times New Roman" w:cs="Times New Roman"/>
          <w:sz w:val="20"/>
          <w:szCs w:val="20"/>
        </w:rPr>
        <w:t xml:space="preserve">in </w:t>
      </w:r>
      <w:r>
        <w:rPr>
          <w:rFonts w:ascii="Times New Roman" w:hAnsi="Times New Roman" w:cs="Times New Roman"/>
          <w:sz w:val="20"/>
          <w:szCs w:val="20"/>
        </w:rPr>
        <w:t>excitatory and inhibitory neurons.</w:t>
      </w:r>
      <w:r>
        <w:rPr>
          <w:rFonts w:hint="eastAsia" w:ascii="Times New Roman" w:hAnsi="Times New Roman" w:cs="Times New Roman"/>
          <w:sz w:val="20"/>
          <w:szCs w:val="20"/>
        </w:rPr>
        <w:t xml:space="preserve"> </w:t>
      </w:r>
      <w:bookmarkEnd w:id="13"/>
    </w:p>
    <w:bookmarkEnd w:id="14"/>
    <w:p>
      <w:pPr>
        <w:pStyle w:val="32"/>
        <w:widowControl/>
        <w:numPr>
          <w:ilvl w:val="0"/>
          <w:numId w:val="5"/>
        </w:numPr>
        <w:spacing w:after="156" w:afterLines="50" w:line="480" w:lineRule="auto"/>
        <w:jc w:val="left"/>
        <w:rPr>
          <w:rFonts w:ascii="Times New Roman" w:hAnsi="Times New Roman" w:cs="Times New Roman"/>
          <w:sz w:val="20"/>
          <w:szCs w:val="20"/>
        </w:rPr>
      </w:pPr>
      <w:r>
        <w:rPr>
          <w:rFonts w:ascii="Times New Roman" w:hAnsi="Times New Roman" w:cs="Times New Roman"/>
          <w:sz w:val="20"/>
          <w:szCs w:val="20"/>
        </w:rPr>
        <w:t xml:space="preserve">Violin plots revealed differences in </w:t>
      </w:r>
      <w:r>
        <w:rPr>
          <w:rFonts w:hint="eastAsia" w:ascii="Times New Roman" w:hAnsi="Times New Roman" w:cs="Times New Roman"/>
          <w:sz w:val="20"/>
          <w:szCs w:val="20"/>
        </w:rPr>
        <w:t>r</w:t>
      </w:r>
      <w:r>
        <w:rPr>
          <w:rFonts w:ascii="Times New Roman" w:hAnsi="Times New Roman" w:cs="Times New Roman"/>
          <w:sz w:val="20"/>
          <w:szCs w:val="20"/>
        </w:rPr>
        <w:t xml:space="preserve">ecovered ESRRA expression between male and female </w:t>
      </w:r>
      <w:r>
        <w:rPr>
          <w:rFonts w:hint="eastAsia" w:ascii="Times New Roman" w:hAnsi="Times New Roman" w:cs="Times New Roman"/>
          <w:sz w:val="20"/>
          <w:szCs w:val="20"/>
        </w:rPr>
        <w:t xml:space="preserve">in </w:t>
      </w:r>
      <w:r>
        <w:rPr>
          <w:rFonts w:ascii="Times New Roman" w:hAnsi="Times New Roman" w:cs="Times New Roman"/>
          <w:sz w:val="20"/>
          <w:szCs w:val="20"/>
        </w:rPr>
        <w:t>excitatory and inhibitory neurons</w:t>
      </w:r>
      <w:bookmarkStart w:id="16" w:name="OLE_LINK230"/>
      <w:r>
        <w:rPr>
          <w:rFonts w:hint="eastAsia" w:ascii="Times New Roman" w:hAnsi="Times New Roman" w:cs="Times New Roman"/>
          <w:sz w:val="20"/>
          <w:szCs w:val="20"/>
        </w:rPr>
        <w:t xml:space="preserve"> stratified by AD pathology</w:t>
      </w:r>
      <w:bookmarkEnd w:id="16"/>
      <w:r>
        <w:rPr>
          <w:rFonts w:ascii="Times New Roman" w:hAnsi="Times New Roman" w:cs="Times New Roman"/>
          <w:sz w:val="20"/>
          <w:szCs w:val="20"/>
        </w:rPr>
        <w:t>.</w:t>
      </w:r>
      <w:r>
        <w:rPr>
          <w:rFonts w:hint="eastAsia" w:ascii="Times New Roman" w:hAnsi="Times New Roman" w:cs="Times New Roman"/>
          <w:sz w:val="20"/>
          <w:szCs w:val="20"/>
        </w:rPr>
        <w:t xml:space="preserve"> </w:t>
      </w:r>
    </w:p>
    <w:p>
      <w:pPr>
        <w:pStyle w:val="32"/>
        <w:widowControl/>
        <w:numPr>
          <w:ilvl w:val="0"/>
          <w:numId w:val="5"/>
        </w:numPr>
        <w:spacing w:after="156" w:afterLines="50" w:line="480" w:lineRule="auto"/>
        <w:jc w:val="left"/>
        <w:rPr>
          <w:rFonts w:ascii="Times New Roman" w:hAnsi="Times New Roman" w:cs="Times New Roman"/>
          <w:sz w:val="20"/>
          <w:szCs w:val="20"/>
        </w:rPr>
      </w:pPr>
      <w:r>
        <w:rPr>
          <w:rFonts w:ascii="Times New Roman" w:hAnsi="Times New Roman" w:cs="Times New Roman"/>
          <w:sz w:val="20"/>
          <w:szCs w:val="20"/>
        </w:rPr>
        <w:t xml:space="preserve">Violin plots revealed differences in </w:t>
      </w:r>
      <w:r>
        <w:rPr>
          <w:rFonts w:hint="eastAsia" w:ascii="Times New Roman" w:hAnsi="Times New Roman" w:cs="Times New Roman"/>
          <w:sz w:val="20"/>
          <w:szCs w:val="20"/>
        </w:rPr>
        <w:t>r</w:t>
      </w:r>
      <w:r>
        <w:rPr>
          <w:rFonts w:ascii="Times New Roman" w:hAnsi="Times New Roman" w:cs="Times New Roman"/>
          <w:sz w:val="20"/>
          <w:szCs w:val="20"/>
        </w:rPr>
        <w:t>ecovered ESRRA expression between</w:t>
      </w:r>
      <w:r>
        <w:rPr>
          <w:rFonts w:hint="eastAsia" w:ascii="Times New Roman" w:hAnsi="Times New Roman" w:cs="Times New Roman"/>
          <w:sz w:val="20"/>
          <w:szCs w:val="20"/>
        </w:rPr>
        <w:t xml:space="preserve"> individuals with</w:t>
      </w:r>
      <w:r>
        <w:rPr>
          <w:rFonts w:ascii="Times New Roman" w:hAnsi="Times New Roman" w:cs="Times New Roman"/>
          <w:sz w:val="20"/>
          <w:szCs w:val="20"/>
        </w:rPr>
        <w:t xml:space="preserve"> </w:t>
      </w:r>
      <w:r>
        <w:rPr>
          <w:rFonts w:hint="eastAsia" w:ascii="Times New Roman" w:hAnsi="Times New Roman" w:cs="Times New Roman"/>
          <w:sz w:val="20"/>
          <w:szCs w:val="20"/>
        </w:rPr>
        <w:t>non-AD pathology</w:t>
      </w:r>
      <w:r>
        <w:rPr>
          <w:rFonts w:ascii="Times New Roman" w:hAnsi="Times New Roman" w:cs="Times New Roman"/>
          <w:sz w:val="20"/>
          <w:szCs w:val="20"/>
        </w:rPr>
        <w:t xml:space="preserve"> and </w:t>
      </w:r>
      <w:r>
        <w:rPr>
          <w:rFonts w:hint="eastAsia" w:ascii="Times New Roman" w:hAnsi="Times New Roman" w:cs="Times New Roman"/>
          <w:sz w:val="20"/>
          <w:szCs w:val="20"/>
        </w:rPr>
        <w:t>AD pathology</w:t>
      </w:r>
      <w:r>
        <w:rPr>
          <w:rFonts w:ascii="Times New Roman" w:hAnsi="Times New Roman" w:cs="Times New Roman"/>
          <w:sz w:val="20"/>
          <w:szCs w:val="20"/>
        </w:rPr>
        <w:t xml:space="preserve"> </w:t>
      </w:r>
      <w:r>
        <w:rPr>
          <w:rFonts w:hint="eastAsia" w:ascii="Times New Roman" w:hAnsi="Times New Roman" w:cs="Times New Roman"/>
          <w:sz w:val="20"/>
          <w:szCs w:val="20"/>
        </w:rPr>
        <w:t xml:space="preserve">in </w:t>
      </w:r>
      <w:r>
        <w:rPr>
          <w:rFonts w:ascii="Times New Roman" w:hAnsi="Times New Roman" w:cs="Times New Roman"/>
          <w:sz w:val="20"/>
          <w:szCs w:val="20"/>
        </w:rPr>
        <w:t>excitatory and inhibitory neurons</w:t>
      </w:r>
      <w:r>
        <w:rPr>
          <w:rFonts w:hint="eastAsia" w:ascii="Times New Roman" w:hAnsi="Times New Roman" w:cs="Times New Roman"/>
          <w:sz w:val="20"/>
          <w:szCs w:val="20"/>
        </w:rPr>
        <w:t xml:space="preserve"> stratified by gender</w:t>
      </w:r>
      <w:r>
        <w:rPr>
          <w:rFonts w:ascii="Times New Roman" w:hAnsi="Times New Roman" w:cs="Times New Roman"/>
          <w:sz w:val="20"/>
          <w:szCs w:val="20"/>
        </w:rPr>
        <w:t>.</w:t>
      </w:r>
      <w:r>
        <w:rPr>
          <w:rFonts w:hint="eastAsia" w:ascii="Times New Roman" w:hAnsi="Times New Roman" w:cs="Times New Roman"/>
          <w:sz w:val="20"/>
          <w:szCs w:val="20"/>
        </w:rPr>
        <w:t xml:space="preserve"> </w:t>
      </w:r>
    </w:p>
    <w:p>
      <w:pPr>
        <w:widowControl/>
        <w:jc w:val="left"/>
        <w:rPr>
          <w:rFonts w:ascii="Times New Roman" w:hAnsi="Times New Roman" w:cs="Times New Roman"/>
          <w:sz w:val="20"/>
          <w:szCs w:val="20"/>
        </w:rPr>
      </w:pPr>
      <w:r>
        <w:rPr>
          <w:rFonts w:ascii="Times New Roman" w:hAnsi="Times New Roman" w:cs="Times New Roman"/>
          <w:sz w:val="20"/>
          <w:szCs w:val="20"/>
        </w:rPr>
        <w:br w:type="page"/>
      </w:r>
    </w:p>
    <w:p>
      <w:pPr>
        <w:spacing w:line="480" w:lineRule="auto"/>
        <w:rPr>
          <w:rFonts w:ascii="Times New Roman" w:hAnsi="Times New Roman" w:cs="Times New Roman"/>
          <w:sz w:val="20"/>
          <w:szCs w:val="20"/>
        </w:rPr>
      </w:pPr>
      <w:r>
        <w:rPr>
          <w:rFonts w:ascii="Times New Roman" w:hAnsi="Times New Roman" w:cs="Times New Roman"/>
          <w:sz w:val="20"/>
          <w:szCs w:val="20"/>
        </w:rPr>
        <w:drawing>
          <wp:inline distT="0" distB="0" distL="0" distR="0">
            <wp:extent cx="5274310" cy="2503170"/>
            <wp:effectExtent l="0" t="0" r="2540" b="0"/>
            <wp:docPr id="9253709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370982" name="图片 1"/>
                    <pic:cNvPicPr>
                      <a:picLocks noChangeAspect="1"/>
                    </pic:cNvPicPr>
                  </pic:nvPicPr>
                  <pic:blipFill>
                    <a:blip r:embed="rId9"/>
                    <a:stretch>
                      <a:fillRect/>
                    </a:stretch>
                  </pic:blipFill>
                  <pic:spPr>
                    <a:xfrm>
                      <a:off x="0" y="0"/>
                      <a:ext cx="5274310" cy="2503170"/>
                    </a:xfrm>
                    <a:prstGeom prst="rect">
                      <a:avLst/>
                    </a:prstGeom>
                  </pic:spPr>
                </pic:pic>
              </a:graphicData>
            </a:graphic>
          </wp:inline>
        </w:drawing>
      </w:r>
    </w:p>
    <w:p>
      <w:pPr>
        <w:spacing w:after="156" w:afterLines="50" w:line="360" w:lineRule="auto"/>
        <w:rPr>
          <w:rFonts w:ascii="Times New Roman" w:hAnsi="Times New Roman" w:cs="Times New Roman"/>
          <w:b/>
          <w:bCs/>
          <w:kern w:val="0"/>
          <w:sz w:val="20"/>
          <w:szCs w:val="20"/>
        </w:rPr>
      </w:pPr>
      <w:bookmarkStart w:id="17" w:name="OLE_LINK213"/>
      <w:r>
        <w:rPr>
          <w:rFonts w:ascii="Times New Roman" w:hAnsi="Times New Roman" w:cs="Times New Roman"/>
          <w:b/>
          <w:bCs/>
          <w:sz w:val="20"/>
          <w:szCs w:val="20"/>
        </w:rPr>
        <w:t>Fig. S</w:t>
      </w:r>
      <w:r>
        <w:rPr>
          <w:rFonts w:hint="eastAsia" w:ascii="Times New Roman" w:hAnsi="Times New Roman" w:cs="Times New Roman"/>
          <w:b/>
          <w:bCs/>
          <w:sz w:val="20"/>
          <w:szCs w:val="20"/>
        </w:rPr>
        <w:t>6</w:t>
      </w:r>
      <w:r>
        <w:rPr>
          <w:rFonts w:ascii="Times New Roman" w:hAnsi="Times New Roman" w:cs="Times New Roman"/>
          <w:b/>
          <w:bCs/>
          <w:sz w:val="20"/>
          <w:szCs w:val="20"/>
        </w:rPr>
        <w:t xml:space="preserve">: Detection of the binding between </w:t>
      </w:r>
      <w:r>
        <w:rPr>
          <w:rFonts w:ascii="Times New Roman" w:hAnsi="Times New Roman" w:cs="Times New Roman"/>
          <w:b/>
          <w:bCs/>
          <w:kern w:val="0"/>
          <w:sz w:val="20"/>
          <w:szCs w:val="20"/>
        </w:rPr>
        <w:t>ERRα and A</w:t>
      </w:r>
      <w:r>
        <w:rPr>
          <w:rFonts w:hint="eastAsia" w:ascii="Times New Roman" w:hAnsi="Times New Roman" w:cs="Times New Roman"/>
          <w:b/>
          <w:bCs/>
          <w:kern w:val="0"/>
          <w:sz w:val="20"/>
          <w:szCs w:val="20"/>
        </w:rPr>
        <w:t>po</w:t>
      </w:r>
      <w:r>
        <w:rPr>
          <w:rFonts w:ascii="Times New Roman" w:hAnsi="Times New Roman" w:cs="Times New Roman"/>
          <w:b/>
          <w:bCs/>
          <w:kern w:val="0"/>
          <w:sz w:val="20"/>
          <w:szCs w:val="20"/>
        </w:rPr>
        <w:t>E</w:t>
      </w:r>
      <w:bookmarkStart w:id="18" w:name="OLE_LINK168"/>
      <w:r>
        <w:rPr>
          <w:rFonts w:ascii="Times New Roman" w:hAnsi="Times New Roman" w:cs="Times New Roman"/>
          <w:b/>
          <w:bCs/>
          <w:kern w:val="0"/>
          <w:sz w:val="20"/>
          <w:szCs w:val="20"/>
        </w:rPr>
        <w:t xml:space="preserve"> in hAPOE3-TR mouse cortex and plasmid validation</w:t>
      </w:r>
      <w:bookmarkEnd w:id="18"/>
    </w:p>
    <w:p>
      <w:pPr>
        <w:tabs>
          <w:tab w:val="left" w:pos="510"/>
        </w:tabs>
        <w:spacing w:line="360" w:lineRule="auto"/>
        <w:rPr>
          <w:rFonts w:ascii="Times New Roman" w:hAnsi="Times New Roman" w:cs="Times New Roman"/>
          <w:kern w:val="0"/>
          <w:sz w:val="20"/>
          <w:szCs w:val="20"/>
        </w:rPr>
      </w:pPr>
      <w:r>
        <w:rPr>
          <w:rFonts w:ascii="Times New Roman" w:hAnsi="Times New Roman" w:cs="Times New Roman"/>
          <w:kern w:val="0"/>
          <w:sz w:val="20"/>
          <w:szCs w:val="20"/>
        </w:rPr>
        <w:t xml:space="preserve">a. Co-IP </w:t>
      </w:r>
      <w:r>
        <w:rPr>
          <w:rFonts w:hint="eastAsia" w:ascii="Times New Roman" w:hAnsi="Times New Roman" w:cs="Times New Roman"/>
          <w:kern w:val="0"/>
          <w:sz w:val="20"/>
          <w:szCs w:val="20"/>
        </w:rPr>
        <w:t xml:space="preserve">indicating </w:t>
      </w:r>
      <w:r>
        <w:rPr>
          <w:rFonts w:ascii="Times New Roman" w:hAnsi="Times New Roman" w:cs="Times New Roman"/>
          <w:kern w:val="0"/>
          <w:sz w:val="20"/>
          <w:szCs w:val="20"/>
        </w:rPr>
        <w:t>the direct bind of ERRα protein and ApoE</w:t>
      </w:r>
      <w:r>
        <w:rPr>
          <w:rFonts w:hint="eastAsia" w:ascii="Times New Roman" w:hAnsi="Times New Roman" w:cs="Times New Roman"/>
          <w:kern w:val="0"/>
          <w:sz w:val="20"/>
          <w:szCs w:val="20"/>
        </w:rPr>
        <w:t>3</w:t>
      </w:r>
      <w:r>
        <w:rPr>
          <w:rFonts w:ascii="Times New Roman" w:hAnsi="Times New Roman" w:cs="Times New Roman"/>
          <w:kern w:val="0"/>
          <w:sz w:val="20"/>
          <w:szCs w:val="20"/>
        </w:rPr>
        <w:t xml:space="preserve"> protein in hAPOE</w:t>
      </w:r>
      <w:r>
        <w:rPr>
          <w:rFonts w:hint="eastAsia" w:ascii="Times New Roman" w:hAnsi="Times New Roman" w:cs="Times New Roman"/>
          <w:kern w:val="0"/>
          <w:sz w:val="20"/>
          <w:szCs w:val="20"/>
        </w:rPr>
        <w:t>3</w:t>
      </w:r>
      <w:r>
        <w:rPr>
          <w:rFonts w:ascii="Times New Roman" w:hAnsi="Times New Roman" w:cs="Times New Roman"/>
          <w:kern w:val="0"/>
          <w:sz w:val="20"/>
          <w:szCs w:val="20"/>
        </w:rPr>
        <w:t>-TR mouse cortex.</w:t>
      </w:r>
    </w:p>
    <w:p>
      <w:pPr>
        <w:spacing w:line="360" w:lineRule="auto"/>
        <w:rPr>
          <w:rFonts w:ascii="Times New Roman" w:hAnsi="Times New Roman" w:cs="Times New Roman"/>
          <w:kern w:val="0"/>
          <w:sz w:val="20"/>
          <w:szCs w:val="20"/>
        </w:rPr>
      </w:pPr>
      <w:bookmarkStart w:id="19" w:name="OLE_LINK169"/>
      <w:r>
        <w:rPr>
          <w:rFonts w:hint="eastAsia" w:ascii="Times New Roman" w:hAnsi="Times New Roman" w:cs="Times New Roman"/>
          <w:kern w:val="0"/>
          <w:sz w:val="20"/>
          <w:szCs w:val="20"/>
        </w:rPr>
        <w:t>b</w:t>
      </w:r>
      <w:r>
        <w:rPr>
          <w:rFonts w:ascii="Times New Roman" w:hAnsi="Times New Roman" w:cs="Times New Roman"/>
          <w:kern w:val="0"/>
          <w:sz w:val="20"/>
          <w:szCs w:val="20"/>
        </w:rPr>
        <w:t xml:space="preserve">. Plasmid validation of </w:t>
      </w:r>
      <w:bookmarkEnd w:id="19"/>
      <w:r>
        <w:rPr>
          <w:rFonts w:ascii="Times New Roman" w:hAnsi="Times New Roman" w:cs="Times New Roman"/>
          <w:kern w:val="0"/>
          <w:sz w:val="20"/>
          <w:szCs w:val="20"/>
        </w:rPr>
        <w:t>APOE3-Myc and APOE2-Flag.</w:t>
      </w:r>
    </w:p>
    <w:p>
      <w:pPr>
        <w:spacing w:line="360" w:lineRule="auto"/>
        <w:rPr>
          <w:rFonts w:ascii="Times New Roman" w:hAnsi="Times New Roman" w:cs="Times New Roman"/>
          <w:kern w:val="0"/>
          <w:sz w:val="20"/>
          <w:szCs w:val="20"/>
        </w:rPr>
      </w:pPr>
      <w:r>
        <w:rPr>
          <w:rFonts w:hint="eastAsia" w:ascii="Times New Roman" w:hAnsi="Times New Roman" w:cs="Times New Roman"/>
          <w:kern w:val="0"/>
          <w:sz w:val="20"/>
          <w:szCs w:val="20"/>
        </w:rPr>
        <w:t>c</w:t>
      </w:r>
      <w:r>
        <w:rPr>
          <w:rFonts w:ascii="Times New Roman" w:hAnsi="Times New Roman" w:cs="Times New Roman"/>
          <w:kern w:val="0"/>
          <w:sz w:val="20"/>
          <w:szCs w:val="20"/>
        </w:rPr>
        <w:t>. Plasmid validation of ESRRA-Flag.</w:t>
      </w:r>
      <w:bookmarkEnd w:id="17"/>
    </w:p>
    <w:p>
      <w:pPr>
        <w:widowControl/>
        <w:jc w:val="left"/>
        <w:rPr>
          <w:rFonts w:hint="eastAsia" w:ascii="Times New Roman" w:hAnsi="Times New Roman" w:cs="Times New Roman"/>
          <w:kern w:val="0"/>
          <w:sz w:val="20"/>
          <w:szCs w:val="20"/>
        </w:rPr>
      </w:pPr>
      <w:r>
        <w:rPr>
          <w:rFonts w:ascii="Times New Roman" w:hAnsi="Times New Roman" w:cs="Times New Roman"/>
          <w:kern w:val="0"/>
          <w:sz w:val="20"/>
          <w:szCs w:val="20"/>
        </w:rPr>
        <w:br w:type="page"/>
      </w:r>
    </w:p>
    <w:p>
      <w:pPr>
        <w:spacing w:line="360" w:lineRule="auto"/>
        <w:jc w:val="center"/>
      </w:pPr>
      <w:r>
        <w:drawing>
          <wp:inline distT="0" distB="0" distL="114300" distR="114300">
            <wp:extent cx="5264785" cy="2078355"/>
            <wp:effectExtent l="0" t="0" r="571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64785" cy="2078355"/>
                    </a:xfrm>
                    <a:prstGeom prst="rect">
                      <a:avLst/>
                    </a:prstGeom>
                    <a:noFill/>
                    <a:ln>
                      <a:noFill/>
                    </a:ln>
                  </pic:spPr>
                </pic:pic>
              </a:graphicData>
            </a:graphic>
          </wp:inline>
        </w:drawing>
      </w:r>
    </w:p>
    <w:p>
      <w:pPr>
        <w:spacing w:line="360" w:lineRule="auto"/>
        <w:jc w:val="center"/>
      </w:pPr>
      <w:r>
        <w:drawing>
          <wp:inline distT="0" distB="0" distL="114300" distR="114300">
            <wp:extent cx="5264785" cy="1876425"/>
            <wp:effectExtent l="0" t="0" r="5715"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5264785" cy="1876425"/>
                    </a:xfrm>
                    <a:prstGeom prst="rect">
                      <a:avLst/>
                    </a:prstGeom>
                    <a:noFill/>
                    <a:ln>
                      <a:noFill/>
                    </a:ln>
                  </pic:spPr>
                </pic:pic>
              </a:graphicData>
            </a:graphic>
          </wp:inline>
        </w:drawing>
      </w:r>
    </w:p>
    <w:p>
      <w:pPr>
        <w:spacing w:line="360" w:lineRule="auto"/>
        <w:jc w:val="center"/>
      </w:pPr>
      <w:r>
        <w:drawing>
          <wp:inline distT="0" distB="0" distL="114300" distR="114300">
            <wp:extent cx="5266055" cy="1867535"/>
            <wp:effectExtent l="0" t="0" r="4445"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266055" cy="1867535"/>
                    </a:xfrm>
                    <a:prstGeom prst="rect">
                      <a:avLst/>
                    </a:prstGeom>
                    <a:noFill/>
                    <a:ln>
                      <a:noFill/>
                    </a:ln>
                  </pic:spPr>
                </pic:pic>
              </a:graphicData>
            </a:graphic>
          </wp:inline>
        </w:drawing>
      </w:r>
      <w:bookmarkStart w:id="27" w:name="_GoBack"/>
      <w:bookmarkEnd w:id="27"/>
    </w:p>
    <w:p>
      <w:pPr>
        <w:spacing w:line="360" w:lineRule="auto"/>
        <w:jc w:val="center"/>
        <w:rPr>
          <w:rFonts w:ascii="Times New Roman" w:hAnsi="Times New Roman" w:cs="Times New Roman"/>
          <w:szCs w:val="21"/>
        </w:rPr>
      </w:pPr>
      <w:r>
        <w:rPr>
          <w:rFonts w:ascii="Times New Roman" w:hAnsi="Times New Roman" w:cs="Times New Roman"/>
          <w:szCs w:val="21"/>
        </w:rPr>
        <w:drawing>
          <wp:inline distT="0" distB="0" distL="0" distR="0">
            <wp:extent cx="4785360" cy="6487160"/>
            <wp:effectExtent l="0" t="0" r="0" b="8890"/>
            <wp:docPr id="39359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9512" name="图片 1"/>
                    <pic:cNvPicPr>
                      <a:picLocks noChangeAspect="1"/>
                    </pic:cNvPicPr>
                  </pic:nvPicPr>
                  <pic:blipFill>
                    <a:blip r:embed="rId13"/>
                    <a:stretch>
                      <a:fillRect/>
                    </a:stretch>
                  </pic:blipFill>
                  <pic:spPr>
                    <a:xfrm>
                      <a:off x="0" y="0"/>
                      <a:ext cx="4801005" cy="6508464"/>
                    </a:xfrm>
                    <a:prstGeom prst="rect">
                      <a:avLst/>
                    </a:prstGeom>
                  </pic:spPr>
                </pic:pic>
              </a:graphicData>
            </a:graphic>
          </wp:inline>
        </w:drawing>
      </w:r>
    </w:p>
    <w:p>
      <w:pPr>
        <w:spacing w:after="156" w:afterLines="50" w:line="360" w:lineRule="auto"/>
        <w:rPr>
          <w:rFonts w:ascii="Times New Roman" w:hAnsi="Times New Roman" w:cs="Times New Roman"/>
          <w:b/>
          <w:bCs/>
          <w:sz w:val="20"/>
          <w:szCs w:val="20"/>
        </w:rPr>
      </w:pPr>
      <w:r>
        <w:rPr>
          <w:rFonts w:ascii="Times New Roman" w:hAnsi="Times New Roman" w:cs="Times New Roman"/>
          <w:b/>
          <w:bCs/>
          <w:sz w:val="20"/>
          <w:szCs w:val="20"/>
        </w:rPr>
        <w:t>Fig. S</w:t>
      </w:r>
      <w:r>
        <w:rPr>
          <w:rFonts w:hint="eastAsia" w:ascii="Times New Roman" w:hAnsi="Times New Roman" w:cs="Times New Roman"/>
          <w:b/>
          <w:bCs/>
          <w:sz w:val="20"/>
          <w:szCs w:val="20"/>
        </w:rPr>
        <w:t>7</w:t>
      </w:r>
      <w:r>
        <w:rPr>
          <w:rFonts w:ascii="Times New Roman" w:hAnsi="Times New Roman" w:cs="Times New Roman"/>
          <w:b/>
          <w:bCs/>
          <w:sz w:val="20"/>
          <w:szCs w:val="20"/>
        </w:rPr>
        <w:t xml:space="preserve">: ERRα expression and synaptic molecular alterations following treatment with an </w:t>
      </w:r>
      <w:bookmarkStart w:id="20" w:name="OLE_LINK215"/>
      <w:r>
        <w:rPr>
          <w:rFonts w:ascii="Times New Roman" w:hAnsi="Times New Roman" w:cs="Times New Roman"/>
          <w:b/>
          <w:bCs/>
          <w:sz w:val="20"/>
          <w:szCs w:val="20"/>
        </w:rPr>
        <w:t>ERRα</w:t>
      </w:r>
      <w:bookmarkEnd w:id="20"/>
      <w:r>
        <w:rPr>
          <w:rFonts w:ascii="Times New Roman" w:hAnsi="Times New Roman" w:cs="Times New Roman"/>
          <w:b/>
          <w:bCs/>
          <w:sz w:val="20"/>
          <w:szCs w:val="20"/>
        </w:rPr>
        <w:t xml:space="preserve"> agonist.</w:t>
      </w:r>
    </w:p>
    <w:p>
      <w:pPr>
        <w:pStyle w:val="32"/>
        <w:numPr>
          <w:ilvl w:val="0"/>
          <w:numId w:val="6"/>
        </w:numPr>
        <w:spacing w:after="156" w:afterLines="50" w:line="360" w:lineRule="auto"/>
        <w:rPr>
          <w:rFonts w:ascii="Times New Roman" w:hAnsi="Times New Roman" w:cs="Times New Roman"/>
          <w:sz w:val="20"/>
          <w:szCs w:val="20"/>
        </w:rPr>
      </w:pPr>
      <w:r>
        <w:rPr>
          <w:rFonts w:ascii="Times New Roman" w:hAnsi="Times New Roman" w:cs="Times New Roman"/>
          <w:sz w:val="20"/>
          <w:szCs w:val="20"/>
        </w:rPr>
        <w:t>Representative immunofluorescence staining</w:t>
      </w:r>
      <w:r>
        <w:rPr>
          <w:rFonts w:hint="eastAsia" w:ascii="Times New Roman" w:hAnsi="Times New Roman" w:cs="Times New Roman"/>
          <w:sz w:val="20"/>
          <w:szCs w:val="20"/>
        </w:rPr>
        <w:t xml:space="preserve"> of</w:t>
      </w:r>
      <w:bookmarkStart w:id="21" w:name="OLE_LINK216"/>
      <w:r>
        <w:rPr>
          <w:rFonts w:hint="eastAsia" w:ascii="Times New Roman" w:hAnsi="Times New Roman" w:cs="Times New Roman"/>
          <w:sz w:val="20"/>
          <w:szCs w:val="20"/>
        </w:rPr>
        <w:t xml:space="preserve"> </w:t>
      </w:r>
      <w:r>
        <w:rPr>
          <w:rFonts w:ascii="Times New Roman" w:hAnsi="Times New Roman" w:cs="Times New Roman"/>
          <w:sz w:val="20"/>
          <w:szCs w:val="20"/>
        </w:rPr>
        <w:t>ERRα</w:t>
      </w:r>
      <w:r>
        <w:rPr>
          <w:rFonts w:hint="eastAsia" w:ascii="Times New Roman" w:hAnsi="Times New Roman" w:cs="Times New Roman"/>
          <w:sz w:val="20"/>
          <w:szCs w:val="20"/>
        </w:rPr>
        <w:t xml:space="preserve"> in </w:t>
      </w:r>
      <w:r>
        <w:rPr>
          <w:rFonts w:ascii="Times New Roman" w:hAnsi="Times New Roman" w:cs="Times New Roman"/>
          <w:sz w:val="20"/>
          <w:szCs w:val="20"/>
        </w:rPr>
        <w:t>perirhinal</w:t>
      </w:r>
      <w:r>
        <w:rPr>
          <w:rFonts w:hint="eastAsia" w:ascii="Times New Roman" w:hAnsi="Times New Roman" w:cs="Times New Roman"/>
          <w:sz w:val="20"/>
          <w:szCs w:val="20"/>
        </w:rPr>
        <w:t xml:space="preserve"> cortex</w:t>
      </w:r>
      <w:bookmarkEnd w:id="21"/>
      <w:r>
        <w:rPr>
          <w:rFonts w:hint="eastAsia" w:ascii="Times New Roman" w:hAnsi="Times New Roman" w:cs="Times New Roman"/>
          <w:sz w:val="20"/>
          <w:szCs w:val="20"/>
        </w:rPr>
        <w:t xml:space="preserve">. </w:t>
      </w:r>
      <w:r>
        <w:rPr>
          <w:rFonts w:ascii="Times New Roman" w:hAnsi="Times New Roman" w:cs="Times New Roman"/>
          <w:kern w:val="0"/>
          <w:sz w:val="20"/>
          <w:szCs w:val="20"/>
        </w:rPr>
        <w:t>Scale bar, 100 μm</w:t>
      </w:r>
      <w:r>
        <w:rPr>
          <w:rFonts w:hint="eastAsia" w:ascii="Times New Roman" w:hAnsi="Times New Roman" w:cs="Times New Roman"/>
          <w:kern w:val="0"/>
          <w:sz w:val="20"/>
          <w:szCs w:val="20"/>
        </w:rPr>
        <w:t>.</w:t>
      </w:r>
    </w:p>
    <w:p>
      <w:pPr>
        <w:pStyle w:val="32"/>
        <w:numPr>
          <w:ilvl w:val="0"/>
          <w:numId w:val="6"/>
        </w:numPr>
        <w:spacing w:after="156" w:afterLines="50" w:line="360" w:lineRule="auto"/>
        <w:rPr>
          <w:rFonts w:ascii="Times New Roman" w:hAnsi="Times New Roman" w:cs="Times New Roman"/>
          <w:sz w:val="20"/>
          <w:szCs w:val="20"/>
        </w:rPr>
      </w:pPr>
      <w:r>
        <w:rPr>
          <w:rFonts w:hint="eastAsia" w:ascii="Times New Roman" w:hAnsi="Times New Roman" w:cs="Times New Roman"/>
          <w:sz w:val="20"/>
          <w:szCs w:val="20"/>
        </w:rPr>
        <w:t>Q</w:t>
      </w:r>
      <w:r>
        <w:rPr>
          <w:rFonts w:ascii="Times New Roman" w:hAnsi="Times New Roman" w:cs="Times New Roman"/>
          <w:sz w:val="20"/>
          <w:szCs w:val="20"/>
        </w:rPr>
        <w:t>uantification analysis of</w:t>
      </w:r>
      <w:r>
        <w:rPr>
          <w:rFonts w:hint="eastAsia" w:ascii="Times New Roman" w:hAnsi="Times New Roman" w:cs="Times New Roman"/>
          <w:sz w:val="20"/>
          <w:szCs w:val="20"/>
        </w:rPr>
        <w:t xml:space="preserve"> </w:t>
      </w:r>
      <w:r>
        <w:rPr>
          <w:rFonts w:ascii="Times New Roman" w:hAnsi="Times New Roman" w:cs="Times New Roman"/>
          <w:sz w:val="20"/>
          <w:szCs w:val="20"/>
        </w:rPr>
        <w:t>ERRα</w:t>
      </w:r>
      <w:r>
        <w:rPr>
          <w:rFonts w:hint="eastAsia" w:ascii="Times New Roman" w:hAnsi="Times New Roman" w:cs="Times New Roman"/>
          <w:sz w:val="20"/>
          <w:szCs w:val="20"/>
        </w:rPr>
        <w:t xml:space="preserve"> positive cell numbers in </w:t>
      </w:r>
      <w:r>
        <w:rPr>
          <w:rFonts w:ascii="Times New Roman" w:hAnsi="Times New Roman" w:cs="Times New Roman"/>
          <w:sz w:val="20"/>
          <w:szCs w:val="20"/>
        </w:rPr>
        <w:t>perirhinal</w:t>
      </w:r>
      <w:r>
        <w:rPr>
          <w:rFonts w:hint="eastAsia" w:ascii="Times New Roman" w:hAnsi="Times New Roman" w:cs="Times New Roman"/>
          <w:sz w:val="20"/>
          <w:szCs w:val="20"/>
        </w:rPr>
        <w:t xml:space="preserve"> cortex (3</w:t>
      </w:r>
      <w:r>
        <w:rPr>
          <w:rFonts w:ascii="Times New Roman" w:hAnsi="Times New Roman" w:cs="Times New Roman"/>
          <w:kern w:val="0"/>
          <w:sz w:val="20"/>
          <w:szCs w:val="20"/>
        </w:rPr>
        <w:t>–</w:t>
      </w:r>
      <w:r>
        <w:rPr>
          <w:rFonts w:hint="eastAsia" w:ascii="Times New Roman" w:hAnsi="Times New Roman" w:cs="Times New Roman"/>
          <w:sz w:val="20"/>
          <w:szCs w:val="20"/>
        </w:rPr>
        <w:t>4 mice for each group).</w:t>
      </w:r>
    </w:p>
    <w:p>
      <w:pPr>
        <w:pStyle w:val="32"/>
        <w:numPr>
          <w:ilvl w:val="0"/>
          <w:numId w:val="6"/>
        </w:numPr>
        <w:spacing w:after="156" w:afterLines="50" w:line="360" w:lineRule="auto"/>
        <w:rPr>
          <w:rFonts w:ascii="Times New Roman" w:hAnsi="Times New Roman" w:cs="Times New Roman"/>
          <w:sz w:val="20"/>
          <w:szCs w:val="20"/>
        </w:rPr>
      </w:pPr>
      <w:r>
        <w:rPr>
          <w:rFonts w:ascii="Times New Roman" w:hAnsi="Times New Roman" w:cs="Times New Roman"/>
          <w:sz w:val="20"/>
          <w:szCs w:val="20"/>
        </w:rPr>
        <w:t>Representative immunofluorescence staining</w:t>
      </w:r>
      <w:r>
        <w:rPr>
          <w:rFonts w:hint="eastAsia" w:ascii="Times New Roman" w:hAnsi="Times New Roman" w:cs="Times New Roman"/>
          <w:sz w:val="20"/>
          <w:szCs w:val="20"/>
        </w:rPr>
        <w:t xml:space="preserve"> of </w:t>
      </w:r>
      <w:r>
        <w:rPr>
          <w:rFonts w:ascii="Times New Roman" w:hAnsi="Times New Roman" w:cs="Times New Roman"/>
          <w:sz w:val="20"/>
          <w:szCs w:val="20"/>
        </w:rPr>
        <w:t>ERRα</w:t>
      </w:r>
      <w:r>
        <w:rPr>
          <w:rFonts w:hint="eastAsia" w:ascii="Times New Roman" w:hAnsi="Times New Roman" w:cs="Times New Roman"/>
          <w:sz w:val="20"/>
          <w:szCs w:val="20"/>
        </w:rPr>
        <w:t xml:space="preserve"> in</w:t>
      </w:r>
      <w:bookmarkStart w:id="22" w:name="OLE_LINK218"/>
      <w:r>
        <w:rPr>
          <w:rFonts w:hint="eastAsia" w:ascii="Times New Roman" w:hAnsi="Times New Roman" w:cs="Times New Roman"/>
          <w:sz w:val="20"/>
          <w:szCs w:val="20"/>
        </w:rPr>
        <w:t xml:space="preserve"> DG</w:t>
      </w:r>
      <w:bookmarkEnd w:id="22"/>
      <w:r>
        <w:rPr>
          <w:rFonts w:hint="eastAsia" w:ascii="Times New Roman" w:hAnsi="Times New Roman" w:cs="Times New Roman"/>
          <w:sz w:val="20"/>
          <w:szCs w:val="20"/>
        </w:rPr>
        <w:t xml:space="preserve"> regions. </w:t>
      </w:r>
      <w:r>
        <w:rPr>
          <w:rFonts w:ascii="Times New Roman" w:hAnsi="Times New Roman" w:cs="Times New Roman"/>
          <w:kern w:val="0"/>
          <w:sz w:val="20"/>
          <w:szCs w:val="20"/>
        </w:rPr>
        <w:t>Scale bar, 100 μm</w:t>
      </w:r>
      <w:r>
        <w:rPr>
          <w:rFonts w:hint="eastAsia" w:ascii="Times New Roman" w:hAnsi="Times New Roman" w:cs="Times New Roman"/>
          <w:kern w:val="0"/>
          <w:sz w:val="20"/>
          <w:szCs w:val="20"/>
        </w:rPr>
        <w:t>.</w:t>
      </w:r>
    </w:p>
    <w:p>
      <w:pPr>
        <w:pStyle w:val="32"/>
        <w:numPr>
          <w:ilvl w:val="0"/>
          <w:numId w:val="6"/>
        </w:numPr>
        <w:spacing w:after="156" w:afterLines="50" w:line="480" w:lineRule="auto"/>
        <w:rPr>
          <w:rFonts w:ascii="Times New Roman" w:hAnsi="Times New Roman" w:cs="Times New Roman"/>
          <w:sz w:val="20"/>
          <w:szCs w:val="20"/>
        </w:rPr>
      </w:pPr>
      <w:r>
        <w:rPr>
          <w:rFonts w:hint="eastAsia" w:ascii="Times New Roman" w:hAnsi="Times New Roman" w:cs="Times New Roman"/>
          <w:sz w:val="20"/>
          <w:szCs w:val="20"/>
        </w:rPr>
        <w:t>Q</w:t>
      </w:r>
      <w:r>
        <w:rPr>
          <w:rFonts w:ascii="Times New Roman" w:hAnsi="Times New Roman" w:cs="Times New Roman"/>
          <w:sz w:val="20"/>
          <w:szCs w:val="20"/>
        </w:rPr>
        <w:t>uantification analysis of</w:t>
      </w:r>
      <w:r>
        <w:rPr>
          <w:rFonts w:hint="eastAsia" w:ascii="Times New Roman" w:hAnsi="Times New Roman" w:cs="Times New Roman"/>
          <w:sz w:val="20"/>
          <w:szCs w:val="20"/>
        </w:rPr>
        <w:t xml:space="preserve"> </w:t>
      </w:r>
      <w:r>
        <w:rPr>
          <w:rFonts w:ascii="Times New Roman" w:hAnsi="Times New Roman" w:cs="Times New Roman"/>
          <w:sz w:val="20"/>
          <w:szCs w:val="20"/>
        </w:rPr>
        <w:t>ERRα</w:t>
      </w:r>
      <w:r>
        <w:rPr>
          <w:rFonts w:hint="eastAsia" w:ascii="Times New Roman" w:hAnsi="Times New Roman" w:cs="Times New Roman"/>
          <w:sz w:val="20"/>
          <w:szCs w:val="20"/>
        </w:rPr>
        <w:t xml:space="preserve"> positive cell numbers in </w:t>
      </w:r>
      <w:r>
        <w:rPr>
          <w:rFonts w:ascii="Times New Roman" w:hAnsi="Times New Roman" w:cs="Times New Roman"/>
          <w:kern w:val="0"/>
          <w:sz w:val="20"/>
          <w:szCs w:val="20"/>
        </w:rPr>
        <w:t>DG</w:t>
      </w:r>
      <w:r>
        <w:rPr>
          <w:rFonts w:hint="eastAsia" w:ascii="Times New Roman" w:hAnsi="Times New Roman" w:cs="Times New Roman"/>
          <w:sz w:val="20"/>
          <w:szCs w:val="20"/>
        </w:rPr>
        <w:t xml:space="preserve"> (3-4 male mice for each group).</w:t>
      </w:r>
    </w:p>
    <w:p>
      <w:pPr>
        <w:pStyle w:val="32"/>
        <w:numPr>
          <w:ilvl w:val="0"/>
          <w:numId w:val="6"/>
        </w:numPr>
        <w:spacing w:after="156" w:afterLines="50" w:line="480" w:lineRule="auto"/>
        <w:rPr>
          <w:rFonts w:ascii="Times New Roman" w:hAnsi="Times New Roman" w:cs="Times New Roman"/>
          <w:sz w:val="20"/>
          <w:szCs w:val="20"/>
        </w:rPr>
      </w:pPr>
      <w:r>
        <w:rPr>
          <w:rFonts w:ascii="Times New Roman" w:hAnsi="Times New Roman" w:cs="Times New Roman"/>
          <w:sz w:val="20"/>
          <w:szCs w:val="20"/>
        </w:rPr>
        <w:t>Representative immunofluorescence staining</w:t>
      </w:r>
      <w:r>
        <w:rPr>
          <w:rFonts w:hint="eastAsia" w:ascii="Times New Roman" w:hAnsi="Times New Roman" w:cs="Times New Roman"/>
          <w:sz w:val="20"/>
          <w:szCs w:val="20"/>
        </w:rPr>
        <w:t xml:space="preserve"> of </w:t>
      </w:r>
      <w:r>
        <w:rPr>
          <w:rFonts w:ascii="Times New Roman" w:hAnsi="Times New Roman" w:cs="Times New Roman"/>
          <w:sz w:val="20"/>
          <w:szCs w:val="20"/>
        </w:rPr>
        <w:t>ERRα</w:t>
      </w:r>
      <w:r>
        <w:rPr>
          <w:rFonts w:hint="eastAsia" w:ascii="Times New Roman" w:hAnsi="Times New Roman" w:cs="Times New Roman"/>
          <w:sz w:val="20"/>
          <w:szCs w:val="20"/>
        </w:rPr>
        <w:t xml:space="preserve"> in CA1 </w:t>
      </w:r>
      <w:bookmarkStart w:id="23" w:name="OLE_LINK217"/>
      <w:r>
        <w:rPr>
          <w:rFonts w:hint="eastAsia" w:ascii="Times New Roman" w:hAnsi="Times New Roman" w:cs="Times New Roman"/>
          <w:sz w:val="20"/>
          <w:szCs w:val="20"/>
        </w:rPr>
        <w:t>regions</w:t>
      </w:r>
      <w:bookmarkEnd w:id="23"/>
      <w:r>
        <w:rPr>
          <w:rFonts w:hint="eastAsia" w:ascii="Times New Roman" w:hAnsi="Times New Roman" w:cs="Times New Roman"/>
          <w:sz w:val="20"/>
          <w:szCs w:val="20"/>
        </w:rPr>
        <w:t>.</w:t>
      </w:r>
      <w:r>
        <w:rPr>
          <w:rFonts w:ascii="Times New Roman" w:hAnsi="Times New Roman" w:cs="Times New Roman"/>
          <w:kern w:val="0"/>
          <w:sz w:val="20"/>
          <w:szCs w:val="20"/>
        </w:rPr>
        <w:t xml:space="preserve"> Scale bar, 100 μm</w:t>
      </w:r>
      <w:r>
        <w:rPr>
          <w:rFonts w:hint="eastAsia" w:ascii="Times New Roman" w:hAnsi="Times New Roman" w:cs="Times New Roman"/>
          <w:kern w:val="0"/>
          <w:sz w:val="20"/>
          <w:szCs w:val="20"/>
        </w:rPr>
        <w:t>.</w:t>
      </w:r>
    </w:p>
    <w:p>
      <w:pPr>
        <w:pStyle w:val="32"/>
        <w:numPr>
          <w:ilvl w:val="0"/>
          <w:numId w:val="6"/>
        </w:numPr>
        <w:spacing w:after="156" w:afterLines="50" w:line="480" w:lineRule="auto"/>
        <w:rPr>
          <w:rFonts w:ascii="Times New Roman" w:hAnsi="Times New Roman" w:cs="Times New Roman"/>
          <w:sz w:val="20"/>
          <w:szCs w:val="20"/>
        </w:rPr>
      </w:pPr>
      <w:r>
        <w:rPr>
          <w:rFonts w:hint="eastAsia" w:ascii="Times New Roman" w:hAnsi="Times New Roman" w:cs="Times New Roman"/>
          <w:sz w:val="20"/>
          <w:szCs w:val="20"/>
        </w:rPr>
        <w:t>Q</w:t>
      </w:r>
      <w:r>
        <w:rPr>
          <w:rFonts w:ascii="Times New Roman" w:hAnsi="Times New Roman" w:cs="Times New Roman"/>
          <w:sz w:val="20"/>
          <w:szCs w:val="20"/>
        </w:rPr>
        <w:t>uantification analysis of</w:t>
      </w:r>
      <w:r>
        <w:rPr>
          <w:rFonts w:hint="eastAsia" w:ascii="Times New Roman" w:hAnsi="Times New Roman" w:cs="Times New Roman"/>
          <w:sz w:val="20"/>
          <w:szCs w:val="20"/>
        </w:rPr>
        <w:t xml:space="preserve"> </w:t>
      </w:r>
      <w:r>
        <w:rPr>
          <w:rFonts w:ascii="Times New Roman" w:hAnsi="Times New Roman" w:cs="Times New Roman"/>
          <w:sz w:val="20"/>
          <w:szCs w:val="20"/>
        </w:rPr>
        <w:t>ERRα</w:t>
      </w:r>
      <w:r>
        <w:rPr>
          <w:rFonts w:hint="eastAsia" w:ascii="Times New Roman" w:hAnsi="Times New Roman" w:cs="Times New Roman"/>
          <w:sz w:val="20"/>
          <w:szCs w:val="20"/>
        </w:rPr>
        <w:t xml:space="preserve"> positive cell numbers in CA1 (3-4 mice for each group).</w:t>
      </w:r>
    </w:p>
    <w:p>
      <w:pPr>
        <w:pStyle w:val="32"/>
        <w:numPr>
          <w:ilvl w:val="0"/>
          <w:numId w:val="6"/>
        </w:numPr>
        <w:spacing w:after="156" w:afterLines="50" w:line="480" w:lineRule="auto"/>
        <w:rPr>
          <w:rFonts w:ascii="Times New Roman" w:hAnsi="Times New Roman" w:cs="Times New Roman"/>
          <w:sz w:val="20"/>
          <w:szCs w:val="20"/>
        </w:rPr>
      </w:pPr>
      <w:r>
        <w:rPr>
          <w:rFonts w:ascii="Times New Roman" w:hAnsi="Times New Roman" w:cs="Times New Roman"/>
          <w:sz w:val="20"/>
          <w:szCs w:val="20"/>
        </w:rPr>
        <w:t xml:space="preserve">Representative immunoblotting images of </w:t>
      </w:r>
      <w:r>
        <w:rPr>
          <w:rFonts w:hint="eastAsia" w:ascii="Times New Roman" w:hAnsi="Times New Roman" w:cs="Times New Roman"/>
          <w:sz w:val="20"/>
          <w:szCs w:val="20"/>
        </w:rPr>
        <w:t>SYN</w:t>
      </w:r>
      <w:r>
        <w:rPr>
          <w:rFonts w:ascii="Times New Roman" w:hAnsi="Times New Roman" w:cs="Times New Roman"/>
          <w:sz w:val="20"/>
          <w:szCs w:val="20"/>
        </w:rPr>
        <w:t xml:space="preserve"> protein expression from </w:t>
      </w:r>
      <w:r>
        <w:rPr>
          <w:rFonts w:hint="eastAsia" w:ascii="Times New Roman" w:hAnsi="Times New Roman" w:cs="Times New Roman"/>
          <w:sz w:val="20"/>
          <w:szCs w:val="20"/>
        </w:rPr>
        <w:t>male cortex.</w:t>
      </w:r>
    </w:p>
    <w:p>
      <w:pPr>
        <w:pStyle w:val="32"/>
        <w:numPr>
          <w:ilvl w:val="0"/>
          <w:numId w:val="6"/>
        </w:numPr>
        <w:spacing w:line="480" w:lineRule="auto"/>
        <w:rPr>
          <w:rFonts w:ascii="Times New Roman" w:hAnsi="Times New Roman" w:cs="Times New Roman"/>
          <w:sz w:val="20"/>
          <w:szCs w:val="20"/>
        </w:rPr>
      </w:pPr>
      <w:r>
        <w:rPr>
          <w:rFonts w:ascii="Times New Roman" w:hAnsi="Times New Roman" w:cs="Times New Roman"/>
          <w:sz w:val="20"/>
          <w:szCs w:val="20"/>
        </w:rPr>
        <w:t xml:space="preserve">Quantification analysis of </w:t>
      </w:r>
      <w:r>
        <w:rPr>
          <w:rFonts w:hint="eastAsia" w:ascii="Times New Roman" w:hAnsi="Times New Roman" w:cs="Times New Roman"/>
          <w:kern w:val="0"/>
          <w:sz w:val="20"/>
          <w:szCs w:val="20"/>
        </w:rPr>
        <w:t>ccortex</w:t>
      </w:r>
      <w:r>
        <w:rPr>
          <w:rFonts w:ascii="Times New Roman" w:hAnsi="Times New Roman" w:cs="Times New Roman"/>
          <w:sz w:val="20"/>
          <w:szCs w:val="20"/>
        </w:rPr>
        <w:t xml:space="preserve"> </w:t>
      </w:r>
      <w:r>
        <w:rPr>
          <w:rFonts w:hint="eastAsia" w:ascii="Times New Roman" w:hAnsi="Times New Roman" w:cs="Times New Roman"/>
          <w:sz w:val="20"/>
          <w:szCs w:val="20"/>
        </w:rPr>
        <w:t>SYN</w:t>
      </w:r>
      <w:r>
        <w:rPr>
          <w:rFonts w:ascii="Times New Roman" w:hAnsi="Times New Roman" w:cs="Times New Roman"/>
          <w:sz w:val="20"/>
          <w:szCs w:val="20"/>
        </w:rPr>
        <w:t xml:space="preserve"> protein expression in male mice (n = 4, sham group; n = 3, Aβ+vehicle group; n = 3, Aβ+agonist group).</w:t>
      </w:r>
    </w:p>
    <w:p>
      <w:pPr>
        <w:pStyle w:val="32"/>
        <w:numPr>
          <w:ilvl w:val="0"/>
          <w:numId w:val="6"/>
        </w:numPr>
        <w:spacing w:after="156" w:afterLines="50" w:line="480" w:lineRule="auto"/>
        <w:rPr>
          <w:rFonts w:ascii="Times New Roman" w:hAnsi="Times New Roman" w:cs="Times New Roman"/>
          <w:sz w:val="20"/>
          <w:szCs w:val="20"/>
        </w:rPr>
      </w:pPr>
      <w:r>
        <w:rPr>
          <w:rFonts w:ascii="Times New Roman" w:hAnsi="Times New Roman" w:cs="Times New Roman"/>
          <w:sz w:val="20"/>
          <w:szCs w:val="20"/>
        </w:rPr>
        <w:t xml:space="preserve">Representative immunoblotting images of </w:t>
      </w:r>
      <w:bookmarkStart w:id="24" w:name="OLE_LINK220"/>
      <w:r>
        <w:rPr>
          <w:rFonts w:hint="eastAsia" w:ascii="Times New Roman" w:hAnsi="Times New Roman" w:cs="Times New Roman"/>
          <w:sz w:val="20"/>
          <w:szCs w:val="20"/>
        </w:rPr>
        <w:t>Homer1</w:t>
      </w:r>
      <w:r>
        <w:rPr>
          <w:rFonts w:ascii="Times New Roman" w:hAnsi="Times New Roman" w:cs="Times New Roman"/>
          <w:sz w:val="20"/>
          <w:szCs w:val="20"/>
        </w:rPr>
        <w:t xml:space="preserve"> </w:t>
      </w:r>
      <w:bookmarkEnd w:id="24"/>
      <w:r>
        <w:rPr>
          <w:rFonts w:ascii="Times New Roman" w:hAnsi="Times New Roman" w:cs="Times New Roman"/>
          <w:sz w:val="20"/>
          <w:szCs w:val="20"/>
        </w:rPr>
        <w:t xml:space="preserve">protein expression from </w:t>
      </w:r>
      <w:r>
        <w:rPr>
          <w:rFonts w:hint="eastAsia" w:ascii="Times New Roman" w:hAnsi="Times New Roman" w:cs="Times New Roman"/>
          <w:sz w:val="20"/>
          <w:szCs w:val="20"/>
        </w:rPr>
        <w:t>male cortex.</w:t>
      </w:r>
    </w:p>
    <w:p>
      <w:pPr>
        <w:pStyle w:val="32"/>
        <w:numPr>
          <w:ilvl w:val="0"/>
          <w:numId w:val="6"/>
        </w:numPr>
        <w:spacing w:line="480" w:lineRule="auto"/>
        <w:rPr>
          <w:rFonts w:ascii="Times New Roman" w:hAnsi="Times New Roman" w:cs="Times New Roman"/>
          <w:sz w:val="20"/>
          <w:szCs w:val="20"/>
        </w:rPr>
      </w:pPr>
      <w:r>
        <w:rPr>
          <w:rFonts w:ascii="Times New Roman" w:hAnsi="Times New Roman" w:cs="Times New Roman"/>
          <w:sz w:val="20"/>
          <w:szCs w:val="20"/>
        </w:rPr>
        <w:t xml:space="preserve">Quantification analysis of </w:t>
      </w:r>
      <w:r>
        <w:rPr>
          <w:rFonts w:hint="eastAsia" w:ascii="Times New Roman" w:hAnsi="Times New Roman" w:cs="Times New Roman"/>
          <w:kern w:val="0"/>
          <w:sz w:val="20"/>
          <w:szCs w:val="20"/>
        </w:rPr>
        <w:t>cortex</w:t>
      </w:r>
      <w:r>
        <w:rPr>
          <w:rFonts w:ascii="Times New Roman" w:hAnsi="Times New Roman" w:cs="Times New Roman"/>
          <w:sz w:val="20"/>
          <w:szCs w:val="20"/>
        </w:rPr>
        <w:t xml:space="preserve"> </w:t>
      </w:r>
      <w:r>
        <w:rPr>
          <w:rFonts w:ascii="Times New Roman" w:hAnsi="Times New Roman" w:cs="Times New Roman"/>
          <w:kern w:val="0"/>
          <w:sz w:val="20"/>
          <w:szCs w:val="20"/>
        </w:rPr>
        <w:t xml:space="preserve">Homer1 </w:t>
      </w:r>
      <w:r>
        <w:rPr>
          <w:rFonts w:ascii="Times New Roman" w:hAnsi="Times New Roman" w:cs="Times New Roman"/>
          <w:sz w:val="20"/>
          <w:szCs w:val="20"/>
        </w:rPr>
        <w:t>protein expression in male mice (n = 4, sham group; n = 3, Aβ+vehicle group; n = 3, Aβ+agonist group).</w:t>
      </w:r>
    </w:p>
    <w:p>
      <w:pPr>
        <w:pStyle w:val="32"/>
        <w:numPr>
          <w:ilvl w:val="0"/>
          <w:numId w:val="6"/>
        </w:numPr>
        <w:spacing w:after="156" w:afterLines="50" w:line="480" w:lineRule="auto"/>
        <w:rPr>
          <w:rFonts w:ascii="Times New Roman" w:hAnsi="Times New Roman" w:cs="Times New Roman"/>
          <w:sz w:val="20"/>
          <w:szCs w:val="20"/>
        </w:rPr>
      </w:pPr>
      <w:r>
        <w:rPr>
          <w:rFonts w:ascii="Times New Roman" w:hAnsi="Times New Roman" w:cs="Times New Roman"/>
          <w:sz w:val="20"/>
          <w:szCs w:val="20"/>
        </w:rPr>
        <w:t xml:space="preserve">Representative immunoblotting images of PSD95 protein expression from </w:t>
      </w:r>
      <w:r>
        <w:rPr>
          <w:rFonts w:hint="eastAsia" w:ascii="Times New Roman" w:hAnsi="Times New Roman" w:cs="Times New Roman"/>
          <w:sz w:val="20"/>
          <w:szCs w:val="20"/>
        </w:rPr>
        <w:t xml:space="preserve">male </w:t>
      </w:r>
      <w:bookmarkStart w:id="25" w:name="OLE_LINK219"/>
      <w:r>
        <w:rPr>
          <w:rFonts w:ascii="Times New Roman" w:hAnsi="Times New Roman" w:cs="Times New Roman"/>
          <w:sz w:val="20"/>
          <w:szCs w:val="20"/>
        </w:rPr>
        <w:t>hippocampus</w:t>
      </w:r>
      <w:bookmarkEnd w:id="25"/>
      <w:r>
        <w:rPr>
          <w:rFonts w:hint="eastAsia" w:ascii="Times New Roman" w:hAnsi="Times New Roman" w:cs="Times New Roman"/>
          <w:sz w:val="20"/>
          <w:szCs w:val="20"/>
        </w:rPr>
        <w:t>.</w:t>
      </w:r>
    </w:p>
    <w:p>
      <w:pPr>
        <w:pStyle w:val="32"/>
        <w:numPr>
          <w:ilvl w:val="0"/>
          <w:numId w:val="6"/>
        </w:numPr>
        <w:spacing w:line="480" w:lineRule="auto"/>
        <w:rPr>
          <w:rFonts w:ascii="Times New Roman" w:hAnsi="Times New Roman" w:cs="Times New Roman"/>
          <w:sz w:val="20"/>
          <w:szCs w:val="20"/>
        </w:rPr>
      </w:pPr>
      <w:r>
        <w:rPr>
          <w:rFonts w:ascii="Times New Roman" w:hAnsi="Times New Roman" w:cs="Times New Roman"/>
          <w:sz w:val="20"/>
          <w:szCs w:val="20"/>
        </w:rPr>
        <w:t xml:space="preserve">Quantification analysis of </w:t>
      </w:r>
      <w:r>
        <w:rPr>
          <w:rFonts w:ascii="Times New Roman" w:hAnsi="Times New Roman" w:cs="Times New Roman"/>
          <w:kern w:val="0"/>
          <w:sz w:val="20"/>
          <w:szCs w:val="20"/>
        </w:rPr>
        <w:t>hippocampus</w:t>
      </w:r>
      <w:r>
        <w:rPr>
          <w:rFonts w:ascii="Times New Roman" w:hAnsi="Times New Roman" w:cs="Times New Roman"/>
          <w:sz w:val="20"/>
          <w:szCs w:val="20"/>
        </w:rPr>
        <w:t xml:space="preserve"> PSD95 protein expression in male mice (n = 4, sham group; n = 3, Aβ+vehicle group; n = 3, Aβ+agonist group).</w:t>
      </w:r>
    </w:p>
    <w:p>
      <w:pPr>
        <w:spacing w:line="360" w:lineRule="auto"/>
        <w:rPr>
          <w:rFonts w:ascii="Times New Roman" w:hAnsi="Times New Roman" w:cs="Times New Roman"/>
          <w:szCs w:val="21"/>
        </w:rPr>
      </w:pPr>
      <w:bookmarkStart w:id="26" w:name="OLE_LINK231"/>
      <w:r>
        <w:rPr>
          <w:rFonts w:ascii="Times New Roman" w:hAnsi="Times New Roman" w:cs="Times New Roman"/>
          <w:szCs w:val="21"/>
        </w:rPr>
        <w:t>(</w:t>
      </w:r>
      <w:r>
        <w:rPr>
          <w:rFonts w:hint="eastAsia" w:ascii="Times New Roman" w:hAnsi="Times New Roman" w:cs="Times New Roman"/>
          <w:szCs w:val="21"/>
        </w:rPr>
        <w:t>b</w:t>
      </w:r>
      <w:r>
        <w:rPr>
          <w:rFonts w:ascii="Times New Roman" w:hAnsi="Times New Roman" w:cs="Times New Roman"/>
          <w:szCs w:val="21"/>
        </w:rPr>
        <w:t xml:space="preserve">, d, </w:t>
      </w:r>
      <w:r>
        <w:rPr>
          <w:rFonts w:hint="eastAsia" w:ascii="Times New Roman" w:hAnsi="Times New Roman" w:cs="Times New Roman"/>
          <w:szCs w:val="21"/>
        </w:rPr>
        <w:t>f</w:t>
      </w:r>
      <w:r>
        <w:rPr>
          <w:rFonts w:ascii="Times New Roman" w:hAnsi="Times New Roman" w:cs="Times New Roman"/>
          <w:szCs w:val="21"/>
        </w:rPr>
        <w:t xml:space="preserve">, h, </w:t>
      </w:r>
      <w:r>
        <w:rPr>
          <w:rFonts w:hint="eastAsia" w:ascii="Times New Roman" w:hAnsi="Times New Roman" w:cs="Times New Roman"/>
          <w:szCs w:val="21"/>
        </w:rPr>
        <w:t>j, l</w:t>
      </w:r>
      <w:r>
        <w:rPr>
          <w:rFonts w:ascii="Times New Roman" w:hAnsi="Times New Roman" w:cs="Times New Roman"/>
          <w:szCs w:val="21"/>
        </w:rPr>
        <w:t xml:space="preserve">) Data were presented as the mean ± S.E; One-way ANOVA; *, P&lt;0.05; ***, P&lt;0.001; </w:t>
      </w:r>
      <w:r>
        <w:rPr>
          <w:rFonts w:hint="eastAsia" w:ascii="Times New Roman" w:hAnsi="Times New Roman" w:cs="Times New Roman"/>
          <w:szCs w:val="21"/>
        </w:rPr>
        <w:t>ns, no significant</w:t>
      </w:r>
      <w:r>
        <w:rPr>
          <w:rFonts w:ascii="Times New Roman" w:hAnsi="Times New Roman" w:cs="Times New Roman"/>
          <w:szCs w:val="21"/>
        </w:rPr>
        <w:t>.</w:t>
      </w:r>
      <w:bookmarkEnd w:id="2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1924C7"/>
    <w:multiLevelType w:val="multilevel"/>
    <w:tmpl w:val="141924C7"/>
    <w:lvl w:ilvl="0" w:tentative="0">
      <w:start w:val="1"/>
      <w:numFmt w:val="lowerLetter"/>
      <w:lvlText w:val="%1."/>
      <w:lvlJc w:val="left"/>
      <w:pPr>
        <w:ind w:left="360" w:hanging="360"/>
      </w:pPr>
      <w:rPr>
        <w:rFonts w:hint="default"/>
        <w:color w:val="00000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50C28E3"/>
    <w:multiLevelType w:val="multilevel"/>
    <w:tmpl w:val="150C28E3"/>
    <w:lvl w:ilvl="0" w:tentative="0">
      <w:start w:val="1"/>
      <w:numFmt w:val="lowerLetter"/>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41406509"/>
    <w:multiLevelType w:val="multilevel"/>
    <w:tmpl w:val="41406509"/>
    <w:lvl w:ilvl="0" w:tentative="0">
      <w:start w:val="1"/>
      <w:numFmt w:val="lowerLetter"/>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644E5E90"/>
    <w:multiLevelType w:val="multilevel"/>
    <w:tmpl w:val="644E5E90"/>
    <w:lvl w:ilvl="0" w:tentative="0">
      <w:start w:val="1"/>
      <w:numFmt w:val="lowerLetter"/>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6ABD10CD"/>
    <w:multiLevelType w:val="multilevel"/>
    <w:tmpl w:val="6ABD10CD"/>
    <w:lvl w:ilvl="0" w:tentative="0">
      <w:start w:val="1"/>
      <w:numFmt w:val="lowerLetter"/>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773D3A54"/>
    <w:multiLevelType w:val="multilevel"/>
    <w:tmpl w:val="773D3A54"/>
    <w:lvl w:ilvl="0" w:tentative="0">
      <w:start w:val="1"/>
      <w:numFmt w:val="lowerLetter"/>
      <w:lvlText w:val="%1."/>
      <w:lvlJc w:val="left"/>
      <w:pPr>
        <w:ind w:left="360" w:hanging="360"/>
      </w:pPr>
      <w:rPr>
        <w:rFonts w:ascii="Times New Roman" w:hAnsi="Times New Roman" w:cs="Times New Roman"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UxMDg5OTUzYWNjODkwZmIzZWZiNjFmMDYxYTFmOWYifQ=="/>
  </w:docVars>
  <w:rsids>
    <w:rsidRoot w:val="00ED4C33"/>
    <w:rsid w:val="000234EA"/>
    <w:rsid w:val="00162011"/>
    <w:rsid w:val="001760FF"/>
    <w:rsid w:val="001A2AB8"/>
    <w:rsid w:val="001C5C6D"/>
    <w:rsid w:val="00281BDA"/>
    <w:rsid w:val="00295D69"/>
    <w:rsid w:val="002A7439"/>
    <w:rsid w:val="002B2982"/>
    <w:rsid w:val="002B670C"/>
    <w:rsid w:val="00345DD9"/>
    <w:rsid w:val="00362F97"/>
    <w:rsid w:val="00371506"/>
    <w:rsid w:val="003B5BFD"/>
    <w:rsid w:val="00484B60"/>
    <w:rsid w:val="00533792"/>
    <w:rsid w:val="005F68F1"/>
    <w:rsid w:val="00624830"/>
    <w:rsid w:val="00704A73"/>
    <w:rsid w:val="007962E3"/>
    <w:rsid w:val="007F477E"/>
    <w:rsid w:val="00872D33"/>
    <w:rsid w:val="008833BD"/>
    <w:rsid w:val="008E612D"/>
    <w:rsid w:val="009F2BA6"/>
    <w:rsid w:val="00B81289"/>
    <w:rsid w:val="00BF02E7"/>
    <w:rsid w:val="00C0381A"/>
    <w:rsid w:val="00C178C1"/>
    <w:rsid w:val="00CD42FA"/>
    <w:rsid w:val="00D0615B"/>
    <w:rsid w:val="00D33F20"/>
    <w:rsid w:val="00D952FA"/>
    <w:rsid w:val="00DF575E"/>
    <w:rsid w:val="00E57A7C"/>
    <w:rsid w:val="00EA330D"/>
    <w:rsid w:val="00EB03E9"/>
    <w:rsid w:val="00ED4C33"/>
    <w:rsid w:val="46FE4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autoRedefine/>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39"/>
    <w:unhideWhenUsed/>
    <w:uiPriority w:val="99"/>
    <w:pPr>
      <w:jc w:val="left"/>
    </w:p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8">
    <w:name w:val="annotation reference"/>
    <w:basedOn w:val="17"/>
    <w:semiHidden/>
    <w:unhideWhenUsed/>
    <w:uiPriority w:val="99"/>
    <w:rPr>
      <w:sz w:val="21"/>
      <w:szCs w:val="21"/>
    </w:rPr>
  </w:style>
  <w:style w:type="character" w:customStyle="1" w:styleId="19">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7"/>
    <w:link w:val="3"/>
    <w:autoRedefine/>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7"/>
    <w:link w:val="4"/>
    <w:autoRedefine/>
    <w:semiHidden/>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7"/>
    <w:link w:val="5"/>
    <w:semiHidden/>
    <w:uiPriority w:val="9"/>
    <w:rPr>
      <w:rFonts w:cstheme="majorBidi"/>
      <w:color w:val="104862" w:themeColor="accent1" w:themeShade="BF"/>
      <w:sz w:val="28"/>
      <w:szCs w:val="28"/>
    </w:rPr>
  </w:style>
  <w:style w:type="character" w:customStyle="1" w:styleId="23">
    <w:name w:val="标题 5 字符"/>
    <w:basedOn w:val="17"/>
    <w:link w:val="6"/>
    <w:semiHidden/>
    <w:uiPriority w:val="9"/>
    <w:rPr>
      <w:rFonts w:cstheme="majorBidi"/>
      <w:color w:val="104862" w:themeColor="accent1" w:themeShade="BF"/>
      <w:sz w:val="24"/>
      <w:szCs w:val="24"/>
    </w:rPr>
  </w:style>
  <w:style w:type="character" w:customStyle="1" w:styleId="24">
    <w:name w:val="标题 6 字符"/>
    <w:basedOn w:val="17"/>
    <w:link w:val="7"/>
    <w:semiHidden/>
    <w:uiPriority w:val="9"/>
    <w:rPr>
      <w:rFonts w:cstheme="majorBidi"/>
      <w:b/>
      <w:bCs/>
      <w:color w:val="104862" w:themeColor="accent1" w:themeShade="BF"/>
    </w:rPr>
  </w:style>
  <w:style w:type="character" w:customStyle="1" w:styleId="25">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99"/>
    <w:pPr>
      <w:ind w:left="720"/>
      <w:contextualSpacing/>
    </w:pPr>
  </w:style>
  <w:style w:type="character" w:customStyle="1" w:styleId="33">
    <w:name w:val="Intense Emphasis"/>
    <w:basedOn w:val="17"/>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7"/>
    <w:link w:val="34"/>
    <w:qFormat/>
    <w:uiPriority w:val="30"/>
    <w:rPr>
      <w:i/>
      <w:iCs/>
      <w:color w:val="104862" w:themeColor="accent1" w:themeShade="BF"/>
    </w:rPr>
  </w:style>
  <w:style w:type="character" w:customStyle="1" w:styleId="36">
    <w:name w:val="Intense Reference"/>
    <w:basedOn w:val="17"/>
    <w:qFormat/>
    <w:uiPriority w:val="32"/>
    <w:rPr>
      <w:b/>
      <w:bCs/>
      <w:smallCaps/>
      <w:color w:val="104862" w:themeColor="accent1" w:themeShade="BF"/>
      <w:spacing w:val="5"/>
    </w:rPr>
  </w:style>
  <w:style w:type="character" w:customStyle="1" w:styleId="37">
    <w:name w:val="页眉 字符"/>
    <w:basedOn w:val="17"/>
    <w:link w:val="13"/>
    <w:uiPriority w:val="99"/>
    <w:rPr>
      <w:sz w:val="18"/>
      <w:szCs w:val="18"/>
    </w:rPr>
  </w:style>
  <w:style w:type="character" w:customStyle="1" w:styleId="38">
    <w:name w:val="页脚 字符"/>
    <w:basedOn w:val="17"/>
    <w:link w:val="12"/>
    <w:autoRedefine/>
    <w:uiPriority w:val="99"/>
    <w:rPr>
      <w:sz w:val="18"/>
      <w:szCs w:val="18"/>
    </w:rPr>
  </w:style>
  <w:style w:type="character" w:customStyle="1" w:styleId="39">
    <w:name w:val="批注文字 字符"/>
    <w:basedOn w:val="17"/>
    <w:link w:val="11"/>
    <w:autoRedefine/>
    <w:uiPriority w:val="99"/>
  </w:style>
  <w:style w:type="paragraph" w:customStyle="1" w:styleId="40">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895</Words>
  <Characters>5102</Characters>
  <Lines>42</Lines>
  <Paragraphs>11</Paragraphs>
  <TotalTime>166</TotalTime>
  <ScaleCrop>false</ScaleCrop>
  <LinksUpToDate>false</LinksUpToDate>
  <CharactersWithSpaces>5986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2023-12-15T03:13:00Z</dcterms:created>
  <dc:creator>ningzhiyuan@126.com</dc:creator>
  <cp:lastModifiedBy>Unexpectedly</cp:lastModifiedBy>
  <cp:lastPrinted>2024-04-12T02:38:00Z</cp:lastPrinted>
  <dcterms:modified xsi:type="dcterms:W3CDTF">2024-05-16T15:07:34Z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2B2D5BF250134FD7A164F86B7CA02811_12</vt:lpwstr>
  </property>
</Properties>
</file>