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B6240" w14:textId="67330641" w:rsidR="00BF26F5" w:rsidRDefault="00BF26F5" w:rsidP="00311B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26F5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5C1B580D" w14:textId="3FD2CAB3" w:rsidR="00024C52" w:rsidRPr="00024C52" w:rsidRDefault="00024C52" w:rsidP="00311B9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24C52">
        <w:rPr>
          <w:rFonts w:ascii="Times New Roman" w:hAnsi="Times New Roman" w:cs="Times New Roman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sz w:val="24"/>
          <w:szCs w:val="24"/>
        </w:rPr>
        <w:t>1:</w:t>
      </w:r>
      <w:r w:rsidRPr="00024C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24C52">
        <w:rPr>
          <w:rFonts w:ascii="Times New Roman" w:hAnsi="Times New Roman" w:cs="Times New Roman"/>
          <w:color w:val="000000" w:themeColor="text1"/>
          <w:sz w:val="24"/>
          <w:szCs w:val="24"/>
        </w:rPr>
        <w:t>Materials and methods</w:t>
      </w:r>
    </w:p>
    <w:p w14:paraId="6A0C4750" w14:textId="430619DF" w:rsidR="00311B90" w:rsidRPr="00311B90" w:rsidRDefault="00311B90" w:rsidP="00311B9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11B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Univariate and multivariate analyses</w:t>
      </w:r>
    </w:p>
    <w:p w14:paraId="493D16EF" w14:textId="7A2F1203" w:rsidR="00311B90" w:rsidRDefault="00311B90" w:rsidP="00311B9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The data were normalized using the probabilistic quotient normalization (PQN) algorithm for all samples. Then quality control-robust spline batch correction (QC-RSC) was performed using QC samples. Metabolites with relative standard deviations (RSD) &gt;30% in QC samples were removed. Univariate analysis was performed for metabolites, and statistical analysis was conducted utilizing the t-test. The results were analyzed as multiple tests, mainly using Benjamini-Hochberg (BH) correction to q-values. Multivariate analysis was performed for metabolites, mainly using partial least squares discriminant analysis (PLS-DA) to obtain each metabolite’s variable importance in projection (VIP). Volcano plot was mapped based on all detected ions and the distribution of these ions was shown. ggplot2, an R package, was implemented for visualization.</w:t>
      </w:r>
    </w:p>
    <w:p w14:paraId="5339D183" w14:textId="15CD5F78" w:rsidR="002571DB" w:rsidRPr="002571DB" w:rsidRDefault="002571DB" w:rsidP="00311B9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F1B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Cell proliferation assays</w:t>
      </w:r>
    </w:p>
    <w:p w14:paraId="4031465F" w14:textId="3D659057" w:rsidR="002571DB" w:rsidRDefault="002571DB" w:rsidP="00311B9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Experiments were performed using the Cell Counting Kit-8 (CCK-8) from </w:t>
      </w:r>
      <w:proofErr w:type="spellStart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Dojindo</w:t>
      </w:r>
      <w:proofErr w:type="spellEnd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, Kumamoto, Japan. Following seeding of 10</w:t>
      </w:r>
      <w:r w:rsidRPr="006F1B7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into 96-well plates, cells were incubated for 24, 48, and 72 h after corresponding treatments. Then, at predetermined time points, 10 </w:t>
      </w:r>
      <w:proofErr w:type="spellStart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μl</w:t>
      </w:r>
      <w:proofErr w:type="spellEnd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CCK-8 solution was added to each well and allowed to incubate for 1-4 h. Measurement of absorbance was conducted utilizing the </w:t>
      </w:r>
      <w:proofErr w:type="spellStart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SpectraMax</w:t>
      </w:r>
      <w:proofErr w:type="spellEnd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M2 Microplate Reader from the company Molecular Devices located in CA, USA at a wavelength of 450 nm.</w:t>
      </w:r>
    </w:p>
    <w:p w14:paraId="263A2E33" w14:textId="1EB68C08" w:rsidR="002571DB" w:rsidRPr="002571DB" w:rsidRDefault="002571DB" w:rsidP="00311B9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F1B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Analysis of cell apoptosis and cell cycle</w:t>
      </w:r>
    </w:p>
    <w:p w14:paraId="424175B9" w14:textId="644E0C1A" w:rsidR="002571DB" w:rsidRPr="002571DB" w:rsidRDefault="002571DB" w:rsidP="00311B9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Annexin V-PE/7AAD Kit (BD Biosciences, Bedford, MA, USA) was utilized to examine cellular apoptosis. The Annexin V-PE/7AAD mix was added to the cell suspension and incubated for 15 minutes. Cells intended for cell cycle analysis were retrieved using PBS and subsequently immersed in 70% ethanol prior to being stored at a temperature of -20 °C overnight. The cells were exposed with PI/RNase Staining Buffer (BD Biosciences, Bedford, MA, USA) for 15 minutes. Detection was performed utilizing Navios flow cytometer from Beckman Coulter Inc. Data was analyzed using </w:t>
      </w:r>
      <w:proofErr w:type="spellStart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>ModFit</w:t>
      </w:r>
      <w:proofErr w:type="spellEnd"/>
      <w:r w:rsidRPr="006F1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LT software.</w:t>
      </w:r>
    </w:p>
    <w:p w14:paraId="330DDBAE" w14:textId="77777777" w:rsidR="00BF26F5" w:rsidRPr="00BF26F5" w:rsidRDefault="00BF26F5" w:rsidP="00311B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26F5">
        <w:rPr>
          <w:rFonts w:ascii="Times New Roman" w:hAnsi="Times New Roman" w:cs="Times New Roman"/>
          <w:b/>
          <w:bCs/>
          <w:sz w:val="24"/>
          <w:szCs w:val="24"/>
        </w:rPr>
        <w:t>RNA isolation and quantitative real-time PCR</w:t>
      </w:r>
    </w:p>
    <w:p w14:paraId="2B83E8E5" w14:textId="50FD806A" w:rsidR="00BF26F5" w:rsidRPr="00BF26F5" w:rsidRDefault="00BF26F5" w:rsidP="00311B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26F5">
        <w:rPr>
          <w:rFonts w:ascii="Times New Roman" w:hAnsi="Times New Roman" w:cs="Times New Roman"/>
          <w:sz w:val="24"/>
          <w:szCs w:val="24"/>
        </w:rPr>
        <w:t xml:space="preserve">Total RNA was purified by using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RNAiso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 Plus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TaKaRa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, Dalian, China). RNA concentration was measured via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NanoDrop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 2000 spectrophotometer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 Fisher Scientific, WALTHAM, MA). Reverse transcription was taken by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highvolume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 complementary DNA reverse transcription kit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TaKaRa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>, Dalian, China). Quantitative real-time polymerase chain reaction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>-PCR) was conducted through the Power SYBR™ Green PCR Master Mix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TaKaRa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>, Dalian, China) on a 7400 real-time PCR system based on the manufacturer’s instructions. Finally, the fold change representing the mRNA expression levels of genes was calculated in terms of 2− ΔΔCT. GAPDH served as an internal reference.</w:t>
      </w:r>
    </w:p>
    <w:p w14:paraId="28343F45" w14:textId="096231C1" w:rsidR="00BF26F5" w:rsidRPr="00BF26F5" w:rsidRDefault="00BF26F5" w:rsidP="00311B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26F5">
        <w:rPr>
          <w:rFonts w:ascii="Times New Roman" w:hAnsi="Times New Roman" w:cs="Times New Roman"/>
          <w:b/>
          <w:bCs/>
          <w:sz w:val="24"/>
          <w:szCs w:val="24"/>
        </w:rPr>
        <w:t>Western blotting</w:t>
      </w:r>
    </w:p>
    <w:p w14:paraId="719EAD89" w14:textId="5A581FF1" w:rsidR="00024C52" w:rsidRPr="00BF26F5" w:rsidRDefault="00BF26F5" w:rsidP="00024C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26F5">
        <w:rPr>
          <w:rFonts w:ascii="Times New Roman" w:hAnsi="Times New Roman" w:cs="Times New Roman"/>
          <w:sz w:val="24"/>
          <w:szCs w:val="24"/>
        </w:rPr>
        <w:t>The cells protein was isolated by dissolving buffer solution with protease inhibitor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, Shanghai, China) and placed on ice for 0.5 h. The bicinchoninic acid assay </w:t>
      </w:r>
      <w:r w:rsidRPr="00BF26F5">
        <w:rPr>
          <w:rFonts w:ascii="Times New Roman" w:hAnsi="Times New Roman" w:cs="Times New Roman"/>
          <w:sz w:val="24"/>
          <w:szCs w:val="24"/>
        </w:rPr>
        <w:lastRenderedPageBreak/>
        <w:t>(BCA) method was put to measure protein concentration after centrifugation (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Shenergy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Biocolor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, Shanghai, China). Proteins in equal amounts were added into the electrophoresis on sodium dodecyl sulfate-polyacrylamide gel hole and separated at 200 V for 30min. </w:t>
      </w:r>
      <w:r w:rsidRPr="006C70F0">
        <w:rPr>
          <w:rFonts w:ascii="Times New Roman" w:hAnsi="Times New Roman" w:cs="Times New Roman"/>
          <w:color w:val="FF0000"/>
          <w:sz w:val="24"/>
          <w:szCs w:val="24"/>
        </w:rPr>
        <w:t xml:space="preserve">Then transfer the protein onto </w:t>
      </w:r>
      <w:r w:rsidR="006C70F0" w:rsidRPr="006C70F0">
        <w:rPr>
          <w:rFonts w:ascii="Times New Roman" w:hAnsi="Times New Roman" w:cs="Times New Roman" w:hint="eastAsia"/>
          <w:color w:val="FF0000"/>
          <w:sz w:val="24"/>
          <w:szCs w:val="24"/>
        </w:rPr>
        <w:t>polyvinylidene fluoride membranes</w:t>
      </w:r>
      <w:r w:rsidRPr="006C70F0">
        <w:rPr>
          <w:rFonts w:ascii="Times New Roman" w:hAnsi="Times New Roman" w:cs="Times New Roman"/>
          <w:color w:val="FF0000"/>
          <w:sz w:val="24"/>
          <w:szCs w:val="24"/>
        </w:rPr>
        <w:t xml:space="preserve"> at 10 V for 30min.</w:t>
      </w:r>
      <w:r w:rsidRPr="00BF26F5">
        <w:rPr>
          <w:rFonts w:ascii="Times New Roman" w:hAnsi="Times New Roman" w:cs="Times New Roman"/>
          <w:sz w:val="24"/>
          <w:szCs w:val="24"/>
        </w:rPr>
        <w:t xml:space="preserve"> Next seal the membranes in 5% fat-free milk at room temperature for 1 h, and incubated overnight with primary antibodies of ENPP2(sc-374222, Santa Cruz Biotechnology), LPL (sc-373759, Santa Cruz Biotechnology), c-myc. Cyclin D1, CDK4, p21, p27, Bcl-2,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Bax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, PARP,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cle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-PARP (Cell Signaling Technologies, Beverly, MA, USA), α-actin, and GAPDH (Zhongshan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Goldenbridge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 xml:space="preserve">, Beijing, China) at 4 °C. After washing three times in Tris-buffered saline containing Tween (TBST), the membranes were incubated at room temperature for 1 h with appropriate secondary antibody (Zhongshan </w:t>
      </w:r>
      <w:proofErr w:type="spellStart"/>
      <w:r w:rsidRPr="00BF26F5">
        <w:rPr>
          <w:rFonts w:ascii="Times New Roman" w:hAnsi="Times New Roman" w:cs="Times New Roman"/>
          <w:sz w:val="24"/>
          <w:szCs w:val="24"/>
        </w:rPr>
        <w:t>Goldenbridge</w:t>
      </w:r>
      <w:proofErr w:type="spellEnd"/>
      <w:r w:rsidRPr="00BF26F5">
        <w:rPr>
          <w:rFonts w:ascii="Times New Roman" w:hAnsi="Times New Roman" w:cs="Times New Roman"/>
          <w:sz w:val="24"/>
          <w:szCs w:val="24"/>
        </w:rPr>
        <w:t>, Beijing, China). After another three times washing, the chemiluminescence reagent (Pierce) was covered in the membranes for visualization at Bio-Rad Image Lab ™ (Bio-Rad, Hercules, CA) and the protein gray density quantification was analyzed via the ImageJ software. β-actin and GAPDH served as an internal reference.</w:t>
      </w:r>
    </w:p>
    <w:sectPr w:rsidR="00024C52" w:rsidRPr="00BF26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135BE" w14:textId="77777777" w:rsidR="00B37ADA" w:rsidRDefault="00B37ADA" w:rsidP="006F4CAB">
      <w:pPr>
        <w:rPr>
          <w:rFonts w:hint="eastAsia"/>
        </w:rPr>
      </w:pPr>
      <w:r>
        <w:separator/>
      </w:r>
    </w:p>
  </w:endnote>
  <w:endnote w:type="continuationSeparator" w:id="0">
    <w:p w14:paraId="765A4031" w14:textId="77777777" w:rsidR="00B37ADA" w:rsidRDefault="00B37ADA" w:rsidP="006F4C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A8ADA" w14:textId="77777777" w:rsidR="00B37ADA" w:rsidRDefault="00B37ADA" w:rsidP="006F4CAB">
      <w:pPr>
        <w:rPr>
          <w:rFonts w:hint="eastAsia"/>
        </w:rPr>
      </w:pPr>
      <w:r>
        <w:separator/>
      </w:r>
    </w:p>
  </w:footnote>
  <w:footnote w:type="continuationSeparator" w:id="0">
    <w:p w14:paraId="61FC60CE" w14:textId="77777777" w:rsidR="00B37ADA" w:rsidRDefault="00B37ADA" w:rsidP="006F4C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E0"/>
    <w:rsid w:val="00024C52"/>
    <w:rsid w:val="00100438"/>
    <w:rsid w:val="001B09E1"/>
    <w:rsid w:val="002571DB"/>
    <w:rsid w:val="00311B90"/>
    <w:rsid w:val="00377ABF"/>
    <w:rsid w:val="00580B09"/>
    <w:rsid w:val="005C441F"/>
    <w:rsid w:val="0069754F"/>
    <w:rsid w:val="006C70F0"/>
    <w:rsid w:val="006E491B"/>
    <w:rsid w:val="006F4CAB"/>
    <w:rsid w:val="00713167"/>
    <w:rsid w:val="00B37ADA"/>
    <w:rsid w:val="00BF26F5"/>
    <w:rsid w:val="00BF4D12"/>
    <w:rsid w:val="00E06A76"/>
    <w:rsid w:val="00E473C4"/>
    <w:rsid w:val="00F0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C7CED"/>
  <w15:chartTrackingRefBased/>
  <w15:docId w15:val="{A19EEEB9-0201-4CF4-94C3-C3BDD7EE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C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C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丽妍 卢</dc:creator>
  <cp:keywords/>
  <dc:description/>
  <cp:lastModifiedBy>丽妍 卢</cp:lastModifiedBy>
  <cp:revision>10</cp:revision>
  <dcterms:created xsi:type="dcterms:W3CDTF">2023-03-23T01:54:00Z</dcterms:created>
  <dcterms:modified xsi:type="dcterms:W3CDTF">2024-07-19T15:17:00Z</dcterms:modified>
</cp:coreProperties>
</file>