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E54B3A">
      <w:pPr>
        <w:jc w:val="center"/>
        <w:rPr>
          <w:rFonts w:hint="eastAsia" w:eastAsiaTheme="minorEastAsia"/>
          <w:lang w:eastAsia="zh-CN"/>
        </w:rPr>
      </w:pPr>
      <w:r>
        <w:rPr>
          <w:rFonts w:hint="eastAsia" w:eastAsiaTheme="minorEastAsia"/>
          <w:lang w:eastAsia="zh-CN"/>
        </w:rPr>
        <w:drawing>
          <wp:inline distT="0" distB="0" distL="114300" distR="114300">
            <wp:extent cx="5267960" cy="6170930"/>
            <wp:effectExtent l="0" t="0" r="0" b="3810"/>
            <wp:docPr id="1" name="图片 1" descr="S1-修稿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1-修稿用"/>
                    <pic:cNvPicPr>
                      <a:picLocks noChangeAspect="1"/>
                    </pic:cNvPicPr>
                  </pic:nvPicPr>
                  <pic:blipFill>
                    <a:blip r:embed="rId4"/>
                    <a:stretch>
                      <a:fillRect/>
                    </a:stretch>
                  </pic:blipFill>
                  <pic:spPr>
                    <a:xfrm>
                      <a:off x="0" y="0"/>
                      <a:ext cx="5267960" cy="6170930"/>
                    </a:xfrm>
                    <a:prstGeom prst="rect">
                      <a:avLst/>
                    </a:prstGeom>
                  </pic:spPr>
                </pic:pic>
              </a:graphicData>
            </a:graphic>
          </wp:inline>
        </w:drawing>
      </w:r>
    </w:p>
    <w:p w14:paraId="645D85EF">
      <w:pPr>
        <w:spacing w:line="480" w:lineRule="auto"/>
        <w:rPr>
          <w:rFonts w:hint="default" w:ascii="Times New Roman" w:hAnsi="Times New Roman" w:eastAsia="宋体" w:cs="Times New Roman"/>
          <w:color w:val="auto"/>
          <w:sz w:val="15"/>
          <w:szCs w:val="15"/>
          <w:highlight w:val="none"/>
          <w:lang w:val="en-US" w:eastAsia="zh-CN"/>
        </w:rPr>
      </w:pPr>
      <w:r>
        <w:rPr>
          <w:rFonts w:hint="default" w:ascii="Times New Roman" w:hAnsi="Times New Roman" w:eastAsia="宋体" w:cs="Times New Roman"/>
          <w:color w:val="auto"/>
          <w:sz w:val="15"/>
          <w:szCs w:val="15"/>
          <w:highlight w:val="none"/>
          <w:lang w:val="en-US" w:eastAsia="zh-CN"/>
        </w:rPr>
        <w:t>Figure S1. The malignant phenotype of OS cells exhibited an increase after being treated with HLY78. (A) The nuclear translocation of β-Catenin in JSA-1 and 143B cells following treatment with HLY78 was thoroughly assessed utilizing the Western blot. (B-D) The CCK-8 assay (B) and colony formation assay (C,D) were employed to assess the proliferative capacity of OS cells upon the addition of HLY78. (E,F) Utilizing the Transwell assay, the invasion and migration capacities of OS cells are evaluated. (G,H) The CCK-8 assay is employed to assess the resistance of OS cells towards cisplatin. (I) Representative images of the in vitro sphere formation assay. (J) The quantity of sphere in the in vitro sphere formation assay.</w:t>
      </w:r>
      <w:r>
        <w:rPr>
          <w:rFonts w:hint="eastAsia" w:ascii="Times New Roman" w:hAnsi="Times New Roman" w:eastAsia="宋体" w:cs="Times New Roman"/>
          <w:color w:val="auto"/>
          <w:sz w:val="15"/>
          <w:szCs w:val="15"/>
          <w:highlight w:val="none"/>
          <w:lang w:val="en-US" w:eastAsia="zh-CN"/>
        </w:rPr>
        <w:t xml:space="preserve"> </w:t>
      </w:r>
      <w:r>
        <w:rPr>
          <w:rFonts w:hint="default" w:ascii="Times New Roman" w:hAnsi="Times New Roman" w:eastAsia="宋体" w:cs="Times New Roman"/>
          <w:color w:val="auto"/>
          <w:sz w:val="15"/>
          <w:szCs w:val="15"/>
          <w:highlight w:val="none"/>
          <w:lang w:val="en-US" w:eastAsia="zh-CN"/>
        </w:rPr>
        <w:t>*</w:t>
      </w:r>
      <w:r>
        <w:rPr>
          <w:rFonts w:hint="default" w:ascii="Times New Roman" w:hAnsi="Times New Roman" w:eastAsia="宋体" w:cs="Times New Roman"/>
          <w:i/>
          <w:iCs/>
          <w:color w:val="auto"/>
          <w:sz w:val="15"/>
          <w:szCs w:val="15"/>
          <w:highlight w:val="none"/>
          <w:lang w:val="en-US" w:eastAsia="zh-CN"/>
        </w:rPr>
        <w:t>p</w:t>
      </w:r>
      <w:r>
        <w:rPr>
          <w:rFonts w:hint="eastAsia" w:ascii="微软雅黑" w:hAnsi="微软雅黑" w:eastAsia="微软雅黑" w:cs="微软雅黑"/>
          <w:i w:val="0"/>
          <w:iCs w:val="0"/>
          <w:color w:val="auto"/>
          <w:sz w:val="15"/>
          <w:szCs w:val="15"/>
          <w:highlight w:val="none"/>
          <w:lang w:val="en-US" w:eastAsia="zh-CN"/>
        </w:rPr>
        <w:t>&lt;</w:t>
      </w:r>
      <w:r>
        <w:rPr>
          <w:rFonts w:hint="default" w:ascii="Times New Roman" w:hAnsi="Times New Roman" w:eastAsia="宋体" w:cs="Times New Roman"/>
          <w:i w:val="0"/>
          <w:iCs w:val="0"/>
          <w:color w:val="auto"/>
          <w:sz w:val="15"/>
          <w:szCs w:val="15"/>
          <w:highlight w:val="none"/>
          <w:lang w:val="en-US" w:eastAsia="zh-CN"/>
        </w:rPr>
        <w:t>0.05</w:t>
      </w:r>
      <w:r>
        <w:rPr>
          <w:rFonts w:hint="eastAsia" w:ascii="Times New Roman" w:hAnsi="Times New Roman" w:eastAsia="宋体" w:cs="Times New Roman"/>
          <w:i w:val="0"/>
          <w:iCs w:val="0"/>
          <w:color w:val="auto"/>
          <w:sz w:val="15"/>
          <w:szCs w:val="15"/>
          <w:highlight w:val="none"/>
          <w:lang w:val="en-US" w:eastAsia="zh-CN"/>
        </w:rPr>
        <w:t>；</w:t>
      </w:r>
      <w:r>
        <w:rPr>
          <w:rFonts w:hint="default" w:ascii="Times New Roman" w:hAnsi="Times New Roman" w:eastAsia="宋体" w:cs="Times New Roman"/>
          <w:color w:val="auto"/>
          <w:sz w:val="15"/>
          <w:szCs w:val="15"/>
          <w:highlight w:val="none"/>
          <w:lang w:val="en-US" w:eastAsia="zh-CN"/>
        </w:rPr>
        <w:t>*</w:t>
      </w:r>
      <w:r>
        <w:rPr>
          <w:rFonts w:hint="eastAsia" w:ascii="Times New Roman" w:hAnsi="Times New Roman" w:eastAsia="宋体" w:cs="Times New Roman"/>
          <w:color w:val="auto"/>
          <w:sz w:val="15"/>
          <w:szCs w:val="15"/>
          <w:highlight w:val="none"/>
          <w:lang w:val="en-US" w:eastAsia="zh-CN"/>
        </w:rPr>
        <w:t>*</w:t>
      </w:r>
      <w:r>
        <w:rPr>
          <w:rFonts w:hint="default" w:ascii="Times New Roman" w:hAnsi="Times New Roman" w:eastAsia="宋体" w:cs="Times New Roman"/>
          <w:i/>
          <w:iCs/>
          <w:color w:val="auto"/>
          <w:sz w:val="15"/>
          <w:szCs w:val="15"/>
          <w:highlight w:val="none"/>
          <w:lang w:val="en-US" w:eastAsia="zh-CN"/>
        </w:rPr>
        <w:t>p</w:t>
      </w:r>
      <w:r>
        <w:rPr>
          <w:rFonts w:hint="eastAsia" w:ascii="微软雅黑" w:hAnsi="微软雅黑" w:eastAsia="微软雅黑" w:cs="微软雅黑"/>
          <w:i w:val="0"/>
          <w:iCs w:val="0"/>
          <w:color w:val="auto"/>
          <w:sz w:val="15"/>
          <w:szCs w:val="15"/>
          <w:highlight w:val="none"/>
          <w:lang w:val="en-US" w:eastAsia="zh-CN"/>
        </w:rPr>
        <w:t>&lt;</w:t>
      </w:r>
      <w:r>
        <w:rPr>
          <w:rFonts w:hint="eastAsia" w:ascii="Times New Roman" w:hAnsi="Times New Roman" w:eastAsia="宋体" w:cs="Times New Roman"/>
          <w:color w:val="auto"/>
          <w:sz w:val="15"/>
          <w:szCs w:val="15"/>
          <w:highlight w:val="none"/>
          <w:lang w:val="en-US" w:eastAsia="zh-CN"/>
        </w:rPr>
        <w:t>0.01；***</w:t>
      </w:r>
      <w:r>
        <w:rPr>
          <w:rFonts w:hint="default" w:ascii="Times New Roman" w:hAnsi="Times New Roman" w:eastAsia="宋体" w:cs="Times New Roman"/>
          <w:i/>
          <w:iCs/>
          <w:color w:val="auto"/>
          <w:sz w:val="15"/>
          <w:szCs w:val="15"/>
          <w:highlight w:val="none"/>
          <w:lang w:val="en-US" w:eastAsia="zh-CN"/>
        </w:rPr>
        <w:t>p</w:t>
      </w:r>
      <w:r>
        <w:rPr>
          <w:rFonts w:hint="eastAsia" w:ascii="微软雅黑" w:hAnsi="微软雅黑" w:eastAsia="微软雅黑" w:cs="微软雅黑"/>
          <w:i w:val="0"/>
          <w:iCs w:val="0"/>
          <w:color w:val="auto"/>
          <w:sz w:val="15"/>
          <w:szCs w:val="15"/>
          <w:highlight w:val="none"/>
          <w:lang w:val="en-US" w:eastAsia="zh-CN"/>
        </w:rPr>
        <w:t>&lt;</w:t>
      </w:r>
      <w:r>
        <w:rPr>
          <w:rFonts w:hint="eastAsia" w:ascii="Times New Roman" w:hAnsi="Times New Roman" w:eastAsia="宋体" w:cs="Times New Roman"/>
          <w:color w:val="auto"/>
          <w:sz w:val="15"/>
          <w:szCs w:val="15"/>
          <w:highlight w:val="none"/>
          <w:lang w:val="en-US" w:eastAsia="zh-CN"/>
        </w:rPr>
        <w:t>0.001</w:t>
      </w:r>
    </w:p>
    <w:p w14:paraId="3A0F854B">
      <w:pPr>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z w:val="15"/>
          <w:szCs w:val="15"/>
          <w:highlight w:val="none"/>
          <w:lang w:val="en-US" w:eastAsia="zh-CN"/>
        </w:rPr>
        <w:br w:type="page"/>
      </w:r>
    </w:p>
    <w:p w14:paraId="5EA864A8">
      <w:pPr>
        <w:spacing w:line="480" w:lineRule="auto"/>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z w:val="15"/>
          <w:szCs w:val="15"/>
          <w:highlight w:val="none"/>
          <w:lang w:val="en-US" w:eastAsia="zh-CN"/>
        </w:rPr>
        <w:drawing>
          <wp:inline distT="0" distB="0" distL="114300" distR="114300">
            <wp:extent cx="5271135" cy="4340860"/>
            <wp:effectExtent l="0" t="0" r="7620" b="9525"/>
            <wp:docPr id="2" name="图片 2" descr="S2-修稿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2-修稿用"/>
                    <pic:cNvPicPr>
                      <a:picLocks noChangeAspect="1"/>
                    </pic:cNvPicPr>
                  </pic:nvPicPr>
                  <pic:blipFill>
                    <a:blip r:embed="rId5"/>
                    <a:stretch>
                      <a:fillRect/>
                    </a:stretch>
                  </pic:blipFill>
                  <pic:spPr>
                    <a:xfrm>
                      <a:off x="0" y="0"/>
                      <a:ext cx="5271135" cy="4340860"/>
                    </a:xfrm>
                    <a:prstGeom prst="rect">
                      <a:avLst/>
                    </a:prstGeom>
                  </pic:spPr>
                </pic:pic>
              </a:graphicData>
            </a:graphic>
          </wp:inline>
        </w:drawing>
      </w:r>
    </w:p>
    <w:p w14:paraId="2E6D3976">
      <w:pPr>
        <w:spacing w:line="480" w:lineRule="auto"/>
        <w:rPr>
          <w:rFonts w:hint="eastAsia" w:ascii="Times New Roman" w:hAnsi="Times New Roman" w:eastAsia="宋体" w:cs="Times New Roman"/>
          <w:color w:val="auto"/>
          <w:sz w:val="15"/>
          <w:szCs w:val="15"/>
          <w:highlight w:val="none"/>
          <w:lang w:val="en-US" w:eastAsia="zh-CN"/>
        </w:rPr>
      </w:pPr>
      <w:r>
        <w:rPr>
          <w:rFonts w:hint="default" w:ascii="Times New Roman" w:hAnsi="Times New Roman" w:eastAsia="宋体" w:cs="Times New Roman"/>
          <w:color w:val="auto"/>
          <w:sz w:val="15"/>
          <w:szCs w:val="15"/>
          <w:highlight w:val="none"/>
          <w:lang w:val="en-US" w:eastAsia="zh-CN"/>
        </w:rPr>
        <w:t>Figure S</w:t>
      </w:r>
      <w:r>
        <w:rPr>
          <w:rFonts w:hint="eastAsia" w:ascii="Times New Roman" w:hAnsi="Times New Roman" w:eastAsia="宋体" w:cs="Times New Roman"/>
          <w:color w:val="auto"/>
          <w:sz w:val="15"/>
          <w:szCs w:val="15"/>
          <w:highlight w:val="none"/>
          <w:lang w:val="en-US" w:eastAsia="zh-CN"/>
        </w:rPr>
        <w:t xml:space="preserve">2. Upon the introduction of HLY78 into OS cells with downregulated CTNNB1, the restoration of their malignant phenotype was not particularly evident. (A) The nuclear translocation of β-Catenin in OS cells with knocked-down β-Catenin was evaluated using the western blot following the addition of HLY78. (B-D) The CCK-8 assay is employed to assess the resistance of OS cells towards cisplatin. (E) Representative images of the in vitro sphere formation assay. (F) The quantity of sphere in the in vitro sphere formation assay. *p&lt;0.05；**p&lt;0.01；***p&lt;0.001 </w:t>
      </w:r>
    </w:p>
    <w:p w14:paraId="7FB4B127">
      <w:pPr>
        <w:spacing w:line="480" w:lineRule="auto"/>
        <w:jc w:val="center"/>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z w:val="15"/>
          <w:szCs w:val="15"/>
          <w:highlight w:val="none"/>
          <w:lang w:val="en-US" w:eastAsia="zh-CN"/>
        </w:rPr>
        <w:drawing>
          <wp:inline distT="0" distB="0" distL="114300" distR="114300">
            <wp:extent cx="5020945" cy="8852535"/>
            <wp:effectExtent l="0" t="0" r="9525" b="10160"/>
            <wp:docPr id="4" name="图片 4" descr="S3-修稿用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3-修稿用2"/>
                    <pic:cNvPicPr>
                      <a:picLocks noChangeAspect="1"/>
                    </pic:cNvPicPr>
                  </pic:nvPicPr>
                  <pic:blipFill>
                    <a:blip r:embed="rId6"/>
                    <a:stretch>
                      <a:fillRect/>
                    </a:stretch>
                  </pic:blipFill>
                  <pic:spPr>
                    <a:xfrm>
                      <a:off x="0" y="0"/>
                      <a:ext cx="5020945" cy="8852535"/>
                    </a:xfrm>
                    <a:prstGeom prst="rect">
                      <a:avLst/>
                    </a:prstGeom>
                  </pic:spPr>
                </pic:pic>
              </a:graphicData>
            </a:graphic>
          </wp:inline>
        </w:drawing>
      </w:r>
    </w:p>
    <w:p w14:paraId="092150A4">
      <w:pPr>
        <w:spacing w:line="480" w:lineRule="auto"/>
        <w:rPr>
          <w:rFonts w:hint="default" w:ascii="Times New Roman" w:hAnsi="Times New Roman" w:eastAsia="宋体" w:cs="Times New Roman"/>
          <w:color w:val="auto"/>
          <w:sz w:val="15"/>
          <w:szCs w:val="15"/>
          <w:highlight w:val="none"/>
          <w:lang w:val="en-US" w:eastAsia="zh-CN"/>
        </w:rPr>
      </w:pPr>
      <w:r>
        <w:rPr>
          <w:rFonts w:hint="default" w:ascii="Times New Roman" w:hAnsi="Times New Roman" w:eastAsia="宋体" w:cs="Times New Roman"/>
          <w:color w:val="auto"/>
          <w:sz w:val="15"/>
          <w:szCs w:val="15"/>
          <w:highlight w:val="none"/>
          <w:lang w:val="en-US" w:eastAsia="zh-CN"/>
        </w:rPr>
        <w:t>Figure S</w:t>
      </w:r>
      <w:r>
        <w:rPr>
          <w:rFonts w:hint="eastAsia" w:ascii="Times New Roman" w:hAnsi="Times New Roman" w:eastAsia="宋体" w:cs="Times New Roman"/>
          <w:color w:val="auto"/>
          <w:sz w:val="15"/>
          <w:szCs w:val="15"/>
          <w:highlight w:val="none"/>
          <w:lang w:val="en-US" w:eastAsia="zh-CN"/>
        </w:rPr>
        <w:t>3. Molecular dynamics simulation of the structural changes between CD155 and SRC after the addition of Troxerutin, and the contribution of each residue to the change in binding free energy. (A) Conformation of the CD155-SRC complex at 0 ns in molecular dynamics simulations. (B) Conformation of the CD155-SRC complex at 10 ns in molecular dynamics simulations. (C) Conformation of the CD155-SRC complex at 20 ns in molecular dynamics simulations. (D) Conformation of the CD155-SRC complex at 30-100 ns in molecular dynamics simulations. (E) Conformation of the CD155-SRC complex at 0 ns during molecular dynamics simulations with Troxerutin added. (F) Conformation of the CD155-SRC complex at 10 ns during molecular dynamics simulations with Troxerutin added. (G) Conformation of the CD155-SRC complex at 20 ns during molecular dynamics simulations with Troxerutin added. (H) Conformation of the CD155-SRC complex at 30-100 ns during molecular dynamics simulations with Troxerutin added. (I) Decomposition of free energy residues in the binding of CD155 and Troxerutin. (J,K) Residue decomposition of the binding free energy between CD155 (J) and SRC (K). (L,M) Residue decomposition of binding free energy between CD155 (L) and SRC (M) after adding Troxerutin.</w:t>
      </w:r>
    </w:p>
    <w:p w14:paraId="046ACAF5">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0F37EF"/>
    <w:rsid w:val="5E0F37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2025-03-20T03:10:00Z</dcterms:created>
  <dc:creator>猫咪有尾巴</dc:creator>
  <cp:lastModifiedBy>猫咪有尾巴</cp:lastModifiedBy>
  <dcterms:modified xsi:type="dcterms:W3CDTF">2025-03-20T03:11:46Z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6DBB581E9AEC4E3ABF61E45A2E470177_11</vt:lpwstr>
  </property>
  <property fmtid="{D5CDD505-2E9C-101B-9397-08002B2CF9AE}" pid="4" name="KSOTemplateDocerSaveRecord">
    <vt:lpwstr>eyJoZGlkIjoiNTE1OTc5MGVjMGIwNWY5MmQ1MmRkNDc5ZWZhMDNiMzMiLCJ1c2VySWQiOiIzMjg4MDQ5MDEifQ==</vt:lpwstr>
  </property>
</Properties>
</file>