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C1" w:rsidRDefault="00CD604E" w:rsidP="00E229C1">
      <w:pPr>
        <w:widowControl/>
        <w:jc w:val="left"/>
        <w:rPr>
          <w:rFonts w:ascii="Times New Roman" w:hAnsi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b/>
                <w:color w:val="000000"/>
                <w:kern w:val="0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Sn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x</m:t>
            </m:r>
          </m:sub>
        </m:sSub>
        <m:sSub>
          <m:sSubPr>
            <m:ctrlPr>
              <w:rPr>
                <w:rFonts w:ascii="Cambria Math" w:hAnsi="Cambria Math"/>
                <w:b/>
                <w:color w:val="000000"/>
                <w:kern w:val="0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P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y</m:t>
            </m:r>
          </m:sub>
        </m:sSub>
      </m:oMath>
      <w:r w:rsidRPr="00451B7A">
        <w:rPr>
          <w:rFonts w:ascii="Times New Roman" w:hAnsi="Times New Roman" w:hint="eastAsia"/>
          <w:b/>
          <w:color w:val="000000"/>
          <w:kern w:val="0"/>
          <w:sz w:val="24"/>
          <w:szCs w:val="24"/>
        </w:rPr>
        <w:t xml:space="preserve"> </w:t>
      </w:r>
      <w:r w:rsidRPr="00451B7A">
        <w:rPr>
          <w:rFonts w:ascii="Times New Roman" w:hAnsi="Times New Roman"/>
          <w:b/>
          <w:color w:val="000000"/>
          <w:kern w:val="0"/>
          <w:sz w:val="24"/>
          <w:szCs w:val="24"/>
        </w:rPr>
        <w:t>Monolayers</w:t>
      </w:r>
      <w:r>
        <w:rPr>
          <w:rFonts w:ascii="Times New Roman" w:hAnsi="Times New Roman"/>
          <w:b/>
          <w:color w:val="000000"/>
          <w:kern w:val="0"/>
          <w:sz w:val="24"/>
          <w:szCs w:val="24"/>
        </w:rPr>
        <w:t>:</w:t>
      </w:r>
      <w:r w:rsidRPr="00451B7A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A New Type of </w:t>
      </w:r>
      <w:r w:rsidRPr="00451B7A">
        <w:rPr>
          <w:rFonts w:ascii="Times New Roman" w:hAnsi="Times New Roman"/>
          <w:b/>
          <w:kern w:val="0"/>
          <w:sz w:val="24"/>
          <w:szCs w:val="24"/>
        </w:rPr>
        <w:t xml:space="preserve">Two-dimensional Materials 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with </w:t>
      </w:r>
      <w:r w:rsidRPr="00451B7A">
        <w:rPr>
          <w:rFonts w:ascii="Times New Roman" w:hAnsi="Times New Roman"/>
          <w:b/>
          <w:kern w:val="0"/>
          <w:sz w:val="24"/>
          <w:szCs w:val="24"/>
        </w:rPr>
        <w:t>High Stability</w:t>
      </w:r>
      <w:r>
        <w:rPr>
          <w:rFonts w:ascii="Times New Roman" w:hAnsi="Times New Roman"/>
          <w:b/>
          <w:kern w:val="0"/>
          <w:sz w:val="24"/>
          <w:szCs w:val="24"/>
        </w:rPr>
        <w:t>,</w:t>
      </w:r>
      <w:r w:rsidRPr="00451B7A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Pr="00451B7A">
        <w:rPr>
          <w:rFonts w:ascii="Times New Roman" w:hAnsi="Times New Roman"/>
          <w:b/>
          <w:sz w:val="24"/>
          <w:szCs w:val="24"/>
        </w:rPr>
        <w:t>Carrier</w:t>
      </w:r>
      <w:r w:rsidRPr="00451B7A">
        <w:rPr>
          <w:rFonts w:ascii="Times New Roman" w:hAnsi="Times New Roman"/>
          <w:b/>
          <w:kern w:val="0"/>
          <w:sz w:val="24"/>
          <w:szCs w:val="24"/>
        </w:rPr>
        <w:t xml:space="preserve"> Mobility 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and </w:t>
      </w:r>
      <w:r w:rsidRPr="00451B7A">
        <w:rPr>
          <w:rFonts w:ascii="Times New Roman" w:hAnsi="Times New Roman"/>
          <w:b/>
          <w:sz w:val="24"/>
          <w:szCs w:val="24"/>
        </w:rPr>
        <w:t>Magnetic Properties</w:t>
      </w:r>
    </w:p>
    <w:p w:rsidR="00CD604E" w:rsidRPr="00E229C1" w:rsidRDefault="00CD604E" w:rsidP="00E229C1">
      <w:pPr>
        <w:widowControl/>
        <w:jc w:val="left"/>
        <w:rPr>
          <w:rFonts w:ascii="Times New Roman" w:eastAsia="Yu Gothic UI" w:hAnsi="Times New Roman" w:cs="Times New Roman"/>
          <w:kern w:val="0"/>
          <w:sz w:val="24"/>
          <w:szCs w:val="24"/>
        </w:rPr>
      </w:pPr>
      <w:bookmarkStart w:id="0" w:name="_GoBack"/>
      <w:bookmarkEnd w:id="0"/>
    </w:p>
    <w:p w:rsidR="00E229C1" w:rsidRPr="00E229C1" w:rsidRDefault="00E229C1" w:rsidP="00E229C1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229C1">
        <w:rPr>
          <w:rFonts w:ascii="Times New Roman" w:eastAsia="Yu Gothic UI" w:hAnsi="Times New Roman" w:cs="Times New Roman"/>
          <w:kern w:val="0"/>
          <w:sz w:val="24"/>
          <w:szCs w:val="24"/>
        </w:rPr>
        <w:t>Yan-Mei Dou, Chang-Wen Zhang, Ping Li, and Pei-Ji Wang</w:t>
      </w:r>
      <w:r w:rsidRPr="00E229C1">
        <w:rPr>
          <w:rFonts w:ascii="Times New Roman" w:hAnsi="Times New Roman"/>
          <w:i/>
          <w:vertAlign w:val="superscript"/>
        </w:rPr>
        <w:footnoteReference w:id="1"/>
      </w:r>
    </w:p>
    <w:p w:rsidR="00E229C1" w:rsidRPr="00E229C1" w:rsidRDefault="00E229C1" w:rsidP="00E229C1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229C1">
        <w:rPr>
          <w:rFonts w:ascii="Times New Roman" w:hAnsi="Times New Roman" w:cs="Times New Roman"/>
          <w:i/>
          <w:iCs/>
          <w:sz w:val="24"/>
          <w:szCs w:val="24"/>
        </w:rPr>
        <w:t>School of Physics and Technology, University of Jinan, Jinan, Shandong, 250022, People’s Republic of China</w:t>
      </w:r>
    </w:p>
    <w:p w:rsidR="00A55056" w:rsidRDefault="00A55056"/>
    <w:p w:rsidR="00EB70FC" w:rsidRDefault="00EB70FC"/>
    <w:p w:rsidR="00EB70FC" w:rsidRDefault="00EB70FC"/>
    <w:p w:rsidR="00EB70FC" w:rsidRDefault="00EB70FC"/>
    <w:p w:rsidR="00EB70FC" w:rsidRDefault="00EB70FC" w:rsidP="00EB70FC">
      <w:r>
        <w:rPr>
          <w:rFonts w:hint="eastAsia"/>
          <w:noProof/>
        </w:rPr>
        <w:drawing>
          <wp:inline distT="0" distB="0" distL="0" distR="0">
            <wp:extent cx="4651513" cy="42561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087" cy="42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0FC" w:rsidRPr="00712D6A" w:rsidRDefault="00EB70FC" w:rsidP="00EB70FC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712D6A">
        <w:rPr>
          <w:rFonts w:ascii="Times New Roman" w:hAnsi="Times New Roman" w:cs="Times New Roman"/>
          <w:color w:val="000000" w:themeColor="text1"/>
          <w:szCs w:val="21"/>
        </w:rPr>
        <w:t>Figure S1. The total energy and kinetic energy versus the simulation steps; final equilibrium</w:t>
      </w:r>
    </w:p>
    <w:p w:rsidR="00EB70FC" w:rsidRPr="00712D6A" w:rsidRDefault="00EB70FC" w:rsidP="00EB70FC">
      <w:pPr>
        <w:jc w:val="left"/>
        <w:rPr>
          <w:rFonts w:ascii="Times New Roman" w:hAnsi="Times New Roman" w:cs="Times New Roman"/>
        </w:rPr>
      </w:pPr>
      <w:proofErr w:type="gramStart"/>
      <w:r w:rsidRPr="00712D6A">
        <w:rPr>
          <w:rFonts w:ascii="Times New Roman" w:hAnsi="Times New Roman" w:cs="Times New Roman"/>
          <w:color w:val="000000" w:themeColor="text1"/>
          <w:szCs w:val="21"/>
        </w:rPr>
        <w:t>structures</w:t>
      </w:r>
      <w:proofErr w:type="gramEnd"/>
      <w:r w:rsidRPr="00712D6A">
        <w:rPr>
          <w:rFonts w:ascii="Times New Roman" w:hAnsi="Times New Roman" w:cs="Times New Roman"/>
          <w:color w:val="000000" w:themeColor="text1"/>
          <w:szCs w:val="21"/>
        </w:rPr>
        <w:t xml:space="preserve"> (inset) at T=300 K structures of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Sn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x</m:t>
            </m:r>
          </m:sub>
        </m:sSub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y</m:t>
            </m:r>
          </m:sub>
        </m:sSub>
      </m:oMath>
      <w:r w:rsidRPr="00712D6A">
        <w:rPr>
          <w:rFonts w:ascii="Times New Roman" w:eastAsia="宋体" w:hAnsi="Times New Roman" w:cs="Times New Roman"/>
          <w:i/>
          <w:kern w:val="0"/>
          <w:szCs w:val="21"/>
        </w:rPr>
        <w:t xml:space="preserve"> </w:t>
      </w:r>
      <w:r w:rsidRPr="00712D6A">
        <w:rPr>
          <w:rFonts w:ascii="Times New Roman" w:eastAsia="宋体" w:hAnsi="Times New Roman" w:cs="Times New Roman"/>
          <w:kern w:val="0"/>
          <w:szCs w:val="21"/>
        </w:rPr>
        <w:t>monolayers</w:t>
      </w:r>
      <w:r w:rsidRPr="00712D6A">
        <w:rPr>
          <w:rFonts w:ascii="Times New Roman" w:hAnsi="Times New Roman" w:cs="Times New Roman"/>
          <w:color w:val="000000" w:themeColor="text1"/>
          <w:szCs w:val="21"/>
        </w:rPr>
        <w:t xml:space="preserve">: </w:t>
      </w:r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(a) P</w:t>
      </w:r>
      <m:oMath>
        <m:acc>
          <m:accPr>
            <m:chr m:val="̅"/>
            <m:ctrl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6</m:t>
            </m:r>
          </m:e>
        </m:acc>
      </m:oMath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 xml:space="preserve">m2-SnP, (b) </w:t>
      </w:r>
      <w:proofErr w:type="spellStart"/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Pmc</w:t>
      </w:r>
      <w:proofErr w:type="spellEnd"/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  <w:kern w:val="24"/>
                <w:szCs w:val="2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2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1</m:t>
            </m:r>
          </m:sub>
        </m:sSub>
      </m:oMath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-Sn</w:t>
      </w:r>
      <m:oMath>
        <m:sSub>
          <m:sSubPr>
            <m:ctrlPr>
              <w:rPr>
                <w:rFonts w:ascii="Cambria Math" w:hAnsi="Cambria Math" w:cs="Times New Roman"/>
                <w:iCs/>
                <w:color w:val="000000" w:themeColor="text1"/>
                <w:kern w:val="24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2</m:t>
            </m:r>
          </m:sub>
        </m:sSub>
      </m:oMath>
      <w:r w:rsidRPr="00712D6A">
        <w:rPr>
          <w:rFonts w:ascii="Times New Roman" w:hAnsi="Times New Roman" w:cs="Times New Roman"/>
          <w:color w:val="000000" w:themeColor="text1"/>
          <w:szCs w:val="21"/>
        </w:rPr>
        <w:t>; the Fermi level (horizontal dashed line) is shifted to 0 eV).</w:t>
      </w:r>
    </w:p>
    <w:p w:rsidR="00EB70FC" w:rsidRDefault="00EB70FC"/>
    <w:p w:rsidR="00EB70FC" w:rsidRPr="00712D6A" w:rsidRDefault="00EB70FC"/>
    <w:p w:rsidR="00EB70FC" w:rsidRDefault="00712D6A" w:rsidP="00712D6A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308546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D6A" w:rsidRPr="00712D6A" w:rsidRDefault="00712D6A" w:rsidP="00712D6A">
      <w:pPr>
        <w:jc w:val="left"/>
        <w:rPr>
          <w:rFonts w:ascii="Times New Roman" w:hAnsi="Times New Roman" w:cs="Times New Roman"/>
        </w:rPr>
      </w:pPr>
      <w:r w:rsidRPr="00712D6A">
        <w:rPr>
          <w:rFonts w:ascii="Times New Roman" w:hAnsi="Times New Roman" w:cs="Times New Roman"/>
        </w:rPr>
        <w:t xml:space="preserve">Figure S2. Computed phonon spectra of </w:t>
      </w:r>
      <w:r w:rsidRPr="00712D6A">
        <w:rPr>
          <w:rFonts w:ascii="Times New Roman" w:hAnsi="Times New Roman" w:cs="Times New Roman"/>
          <w:color w:val="000000" w:themeColor="text1"/>
          <w:szCs w:val="21"/>
        </w:rPr>
        <w:t xml:space="preserve">structures of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Sn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x</m:t>
            </m:r>
          </m:sub>
        </m:sSub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y</m:t>
            </m:r>
          </m:sub>
        </m:sSub>
      </m:oMath>
      <w:r w:rsidRPr="00712D6A">
        <w:rPr>
          <w:rFonts w:ascii="Times New Roman" w:eastAsia="宋体" w:hAnsi="Times New Roman" w:cs="Times New Roman"/>
          <w:i/>
          <w:kern w:val="0"/>
          <w:szCs w:val="21"/>
        </w:rPr>
        <w:t xml:space="preserve"> </w:t>
      </w:r>
      <w:r w:rsidRPr="00712D6A">
        <w:rPr>
          <w:rFonts w:ascii="Times New Roman" w:eastAsia="宋体" w:hAnsi="Times New Roman" w:cs="Times New Roman"/>
          <w:kern w:val="0"/>
          <w:szCs w:val="21"/>
        </w:rPr>
        <w:t>monolayers</w:t>
      </w:r>
      <w:r>
        <w:rPr>
          <w:rFonts w:ascii="Times New Roman" w:eastAsia="宋体" w:hAnsi="Times New Roman" w:cs="Times New Roman" w:hint="eastAsia"/>
          <w:kern w:val="0"/>
          <w:szCs w:val="21"/>
        </w:rPr>
        <w:t xml:space="preserve">: </w:t>
      </w:r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(a) P</w:t>
      </w:r>
      <m:oMath>
        <m:acc>
          <m:accPr>
            <m:chr m:val="̅"/>
            <m:ctrl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6</m:t>
            </m:r>
          </m:e>
        </m:acc>
      </m:oMath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m2-SnP, (b) Pmc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  <w:kern w:val="24"/>
                <w:szCs w:val="2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2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1</m:t>
            </m:r>
          </m:sub>
        </m:sSub>
      </m:oMath>
      <w:r w:rsidRPr="00712D6A">
        <w:rPr>
          <w:rFonts w:ascii="Times New Roman" w:hAnsi="Times New Roman" w:cs="Times New Roman"/>
          <w:color w:val="000000" w:themeColor="text1"/>
          <w:kern w:val="24"/>
          <w:szCs w:val="21"/>
        </w:rPr>
        <w:t>-Sn</w:t>
      </w:r>
      <m:oMath>
        <m:sSub>
          <m:sSubPr>
            <m:ctrlPr>
              <w:rPr>
                <w:rFonts w:ascii="Cambria Math" w:hAnsi="Cambria Math" w:cs="Times New Roman"/>
                <w:iCs/>
                <w:color w:val="000000" w:themeColor="text1"/>
                <w:kern w:val="24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kern w:val="24"/>
                <w:szCs w:val="21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iCs/>
          <w:color w:val="000000" w:themeColor="text1"/>
          <w:kern w:val="24"/>
          <w:szCs w:val="21"/>
        </w:rPr>
        <w:t>.</w:t>
      </w:r>
    </w:p>
    <w:sectPr w:rsidR="00712D6A" w:rsidRPr="00712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F42" w:rsidRDefault="00134F42" w:rsidP="00E229C1">
      <w:r>
        <w:separator/>
      </w:r>
    </w:p>
  </w:endnote>
  <w:endnote w:type="continuationSeparator" w:id="0">
    <w:p w:rsidR="00134F42" w:rsidRDefault="00134F42" w:rsidP="00E2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F42" w:rsidRDefault="00134F42" w:rsidP="00E229C1">
      <w:r>
        <w:separator/>
      </w:r>
    </w:p>
  </w:footnote>
  <w:footnote w:type="continuationSeparator" w:id="0">
    <w:p w:rsidR="00134F42" w:rsidRDefault="00134F42" w:rsidP="00E229C1">
      <w:r>
        <w:continuationSeparator/>
      </w:r>
    </w:p>
  </w:footnote>
  <w:footnote w:id="1">
    <w:p w:rsidR="00E229C1" w:rsidRDefault="00E229C1" w:rsidP="00E229C1">
      <w:pPr>
        <w:pStyle w:val="a7"/>
      </w:pPr>
      <w:r>
        <w:rPr>
          <w:rStyle w:val="a9"/>
        </w:rPr>
        <w:footnoteRef/>
      </w:r>
      <w:r>
        <w:t xml:space="preserve"> </w:t>
      </w:r>
      <w:r w:rsidRPr="001E3C26">
        <w:rPr>
          <w:rFonts w:ascii="Times New Roman" w:hAnsi="Times New Roman"/>
        </w:rPr>
        <w:t>Corresponding author</w:t>
      </w:r>
      <w:r w:rsidRPr="001E3C26">
        <w:rPr>
          <w:rFonts w:ascii="Times New Roman" w:hAnsi="Times New Roman"/>
          <w:lang w:eastAsia="zh-CN"/>
        </w:rPr>
        <w:t xml:space="preserve">: </w:t>
      </w:r>
      <w:r w:rsidRPr="009F6771">
        <w:rPr>
          <w:rFonts w:ascii="Times New Roman" w:hAnsi="Times New Roman"/>
        </w:rPr>
        <w:t>E-mail: ss_wangpj@ujn.edu.cn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34"/>
    <w:rsid w:val="00082734"/>
    <w:rsid w:val="00134F42"/>
    <w:rsid w:val="004C7E0D"/>
    <w:rsid w:val="00712D6A"/>
    <w:rsid w:val="00771AD4"/>
    <w:rsid w:val="00925E02"/>
    <w:rsid w:val="00A55056"/>
    <w:rsid w:val="00CD604E"/>
    <w:rsid w:val="00E229C1"/>
    <w:rsid w:val="00EA5EB1"/>
    <w:rsid w:val="00EB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7BB80A"/>
  <w15:docId w15:val="{6FD53ADA-F8E1-42C9-AFEA-CE055135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29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29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29C1"/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E229C1"/>
    <w:pPr>
      <w:snapToGrid w:val="0"/>
      <w:jc w:val="left"/>
    </w:pPr>
    <w:rPr>
      <w:rFonts w:ascii="Calibri" w:eastAsia="宋体" w:hAnsi="Calibri" w:cs="Times New Roman"/>
      <w:sz w:val="18"/>
      <w:szCs w:val="18"/>
      <w:lang w:val="x-none" w:eastAsia="x-none"/>
    </w:rPr>
  </w:style>
  <w:style w:type="character" w:customStyle="1" w:styleId="a8">
    <w:name w:val="脚注文本 字符"/>
    <w:basedOn w:val="a0"/>
    <w:link w:val="a7"/>
    <w:uiPriority w:val="99"/>
    <w:semiHidden/>
    <w:rsid w:val="00E229C1"/>
    <w:rPr>
      <w:rFonts w:ascii="Calibri" w:eastAsia="宋体" w:hAnsi="Calibri" w:cs="Times New Roman"/>
      <w:sz w:val="18"/>
      <w:szCs w:val="18"/>
      <w:lang w:val="x-none" w:eastAsia="x-none"/>
    </w:rPr>
  </w:style>
  <w:style w:type="character" w:styleId="a9">
    <w:name w:val="footnote reference"/>
    <w:uiPriority w:val="99"/>
    <w:semiHidden/>
    <w:unhideWhenUsed/>
    <w:rsid w:val="00E229C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B70F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B70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Company>CHINA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liuz</cp:lastModifiedBy>
  <cp:revision>2</cp:revision>
  <dcterms:created xsi:type="dcterms:W3CDTF">2020-07-22T03:04:00Z</dcterms:created>
  <dcterms:modified xsi:type="dcterms:W3CDTF">2020-07-22T03:04:00Z</dcterms:modified>
</cp:coreProperties>
</file>