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120"/>
        <w:rPr>
          <w:b/>
          <w:bCs/>
          <w:color w:val="000000"/>
          <w:sz w:val="72"/>
          <w:szCs w:val="72"/>
        </w:rPr>
      </w:pPr>
      <w:r>
        <w:rPr>
          <w:b/>
          <w:bCs/>
          <w:color w:val="000000"/>
          <w:sz w:val="72"/>
          <w:szCs w:val="72"/>
        </w:rPr>
        <w:t xml:space="preserve">Supporting Information </w:t>
      </w:r>
    </w:p>
    <w:p>
      <w:pPr>
        <w:jc w:val="center"/>
        <w:rPr>
          <w:rFonts w:hint="default" w:ascii="Times New Roman" w:hAnsi="Times New Roman" w:cs="Times New Roman"/>
          <w:b/>
          <w:bCs/>
          <w:sz w:val="36"/>
          <w:szCs w:val="36"/>
          <w:lang w:val="en-US" w:eastAsia="zh-CN"/>
        </w:rPr>
      </w:pPr>
    </w:p>
    <w:p>
      <w:pPr>
        <w:jc w:val="center"/>
        <w:rPr>
          <w:rFonts w:hint="default" w:ascii="Times New Roman" w:hAnsi="Times New Roman" w:cs="Times New Roman"/>
          <w:b/>
          <w:bCs/>
          <w:sz w:val="36"/>
          <w:szCs w:val="36"/>
          <w:lang w:val="en-US" w:eastAsia="zh-CN"/>
        </w:rPr>
      </w:pPr>
    </w:p>
    <w:p>
      <w:pPr>
        <w:jc w:val="center"/>
        <w:rPr>
          <w:rFonts w:ascii="Times New Roman" w:hAnsi="Times New Roman" w:cs="Times New Roman"/>
          <w:b/>
          <w:bCs/>
          <w:sz w:val="36"/>
          <w:szCs w:val="36"/>
          <w:highlight w:val="yellow"/>
        </w:rPr>
      </w:pPr>
      <w:r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 xml:space="preserve">Multimodal imaging and photothermal/chemodynamic therapy of cervical cancer using GSH-responsive </w:t>
      </w:r>
      <w:r>
        <w:rPr>
          <w:rFonts w:hint="eastAsia" w:ascii="Times New Roman" w:hAnsi="Times New Roman" w:cs="Times New Roman"/>
          <w:b/>
          <w:bCs/>
          <w:sz w:val="36"/>
          <w:szCs w:val="36"/>
          <w:highlight w:val="yellow"/>
        </w:rPr>
        <w:t>MoS</w:t>
      </w:r>
      <w:r>
        <w:rPr>
          <w:rFonts w:hint="eastAsia" w:ascii="Times New Roman" w:hAnsi="Times New Roman" w:cs="Times New Roman"/>
          <w:b/>
          <w:bCs/>
          <w:sz w:val="36"/>
          <w:szCs w:val="36"/>
          <w:highlight w:val="yellow"/>
          <w:vertAlign w:val="subscript"/>
        </w:rPr>
        <w:t>2</w:t>
      </w:r>
      <w:r>
        <w:rPr>
          <w:rFonts w:hint="eastAsia" w:ascii="Times New Roman" w:hAnsi="Times New Roman" w:cs="Times New Roman"/>
          <w:b/>
          <w:bCs/>
          <w:sz w:val="36"/>
          <w:szCs w:val="36"/>
          <w:highlight w:val="yellow"/>
        </w:rPr>
        <w:t>@MnO2</w:t>
      </w:r>
      <w:r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 xml:space="preserve"> theranostic nanoparticles</w:t>
      </w:r>
      <w:bookmarkStart w:id="0" w:name="_GoBack"/>
      <w:bookmarkEnd w:id="0"/>
    </w:p>
    <w:p>
      <w:pPr>
        <w:jc w:val="both"/>
        <w:rPr>
          <w:rFonts w:hint="eastAsia" w:ascii="Times New Roman" w:hAnsi="Times New Roman" w:cs="Times New Roman"/>
          <w:b w:val="0"/>
          <w:bCs w:val="0"/>
          <w:sz w:val="36"/>
          <w:szCs w:val="36"/>
          <w:lang w:val="en-US" w:eastAsia="zh-CN"/>
        </w:rPr>
      </w:pPr>
    </w:p>
    <w:p>
      <w:pPr>
        <w:jc w:val="both"/>
        <w:rPr>
          <w:rFonts w:hint="default" w:ascii="Times New Roman" w:hAnsi="Times New Roman" w:cs="Times New Roman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6"/>
          <w:szCs w:val="36"/>
          <w:lang w:val="en-US" w:eastAsia="zh-CN"/>
        </w:rPr>
        <w:t>Runrun Shao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vertAlign w:val="superscript"/>
          <w:lang w:val="en-US" w:eastAsia="zh-CN"/>
        </w:rPr>
        <w:t>1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b w:val="0"/>
          <w:bCs w:val="0"/>
          <w:sz w:val="36"/>
          <w:szCs w:val="36"/>
          <w:lang w:val="en-US" w:eastAsia="zh-CN"/>
        </w:rPr>
        <w:t>Xiaofang Qiao</w:t>
      </w:r>
      <w:r>
        <w:rPr>
          <w:rFonts w:hint="eastAsia" w:ascii="Times New Roman" w:hAnsi="Times New Roman" w:cs="Times New Roman"/>
          <w:b w:val="0"/>
          <w:bCs w:val="0"/>
          <w:sz w:val="36"/>
          <w:szCs w:val="36"/>
          <w:vertAlign w:val="superscript"/>
          <w:lang w:val="en-US" w:eastAsia="zh-CN"/>
        </w:rPr>
        <w:t>2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b w:val="0"/>
          <w:bCs w:val="0"/>
          <w:sz w:val="36"/>
          <w:szCs w:val="36"/>
          <w:lang w:val="en-US" w:eastAsia="zh-CN"/>
        </w:rPr>
        <w:t>Linlin Cao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vertAlign w:val="superscript"/>
          <w:lang w:val="en-US" w:eastAsia="zh-CN"/>
        </w:rPr>
        <w:t>2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b w:val="0"/>
          <w:bCs w:val="0"/>
          <w:sz w:val="36"/>
          <w:szCs w:val="36"/>
          <w:lang w:val="en-US" w:eastAsia="zh-CN"/>
        </w:rPr>
        <w:t>Jianliang Man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vertAlign w:val="superscript"/>
          <w:lang w:val="en-US" w:eastAsia="zh-CN"/>
        </w:rPr>
        <w:t>1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b w:val="0"/>
          <w:bCs w:val="0"/>
          <w:sz w:val="36"/>
          <w:szCs w:val="36"/>
          <w:lang w:val="en-US" w:eastAsia="zh-CN"/>
        </w:rPr>
        <w:t>Lingyun Guo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vertAlign w:val="superscript"/>
          <w:lang w:val="en-US" w:eastAsia="zh-CN"/>
        </w:rPr>
        <w:t>1</w:t>
      </w:r>
      <w:r>
        <w:rPr>
          <w:rFonts w:hint="eastAsia" w:ascii="Times New Roman" w:hAnsi="Times New Roman" w:cs="Times New Roman"/>
          <w:b w:val="0"/>
          <w:bCs w:val="0"/>
          <w:sz w:val="36"/>
          <w:szCs w:val="36"/>
          <w:lang w:val="en-US" w:eastAsia="zh-CN"/>
        </w:rPr>
        <w:t>,Lanlan Li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vertAlign w:val="superscript"/>
          <w:lang w:val="en-US" w:eastAsia="zh-CN"/>
        </w:rPr>
        <w:t>1</w:t>
      </w:r>
      <w:r>
        <w:rPr>
          <w:rFonts w:hint="eastAsia" w:ascii="Times New Roman" w:hAnsi="Times New Roman" w:cs="Times New Roman"/>
          <w:b w:val="0"/>
          <w:bCs w:val="0"/>
          <w:sz w:val="36"/>
          <w:szCs w:val="36"/>
          <w:lang w:val="en-US" w:eastAsia="zh-CN"/>
        </w:rPr>
        <w:t>,Wen Liu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vertAlign w:val="superscript"/>
          <w:lang w:val="en-US" w:eastAsia="zh-CN"/>
        </w:rPr>
        <w:t>1</w:t>
      </w:r>
      <w:r>
        <w:rPr>
          <w:rFonts w:hint="eastAsia" w:ascii="Times New Roman" w:hAnsi="Times New Roman" w:cs="Times New Roman"/>
          <w:b w:val="0"/>
          <w:bCs w:val="0"/>
          <w:sz w:val="36"/>
          <w:szCs w:val="36"/>
          <w:lang w:val="en-US" w:eastAsia="zh-CN"/>
        </w:rPr>
        <w:t>,Lihong Li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vertAlign w:val="superscript"/>
          <w:lang w:val="en-US" w:eastAsia="zh-CN"/>
        </w:rPr>
        <w:t>1</w:t>
      </w:r>
      <w:r>
        <w:rPr>
          <w:rFonts w:hint="eastAsia" w:ascii="Times New Roman" w:hAnsi="Times New Roman" w:cs="Times New Roman"/>
          <w:b w:val="0"/>
          <w:bCs w:val="0"/>
          <w:sz w:val="36"/>
          <w:szCs w:val="36"/>
          <w:lang w:val="en-US" w:eastAsia="zh-CN"/>
        </w:rPr>
        <w:t>,Bin Wang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vertAlign w:val="superscript"/>
          <w:lang w:val="en-US" w:eastAsia="zh-CN"/>
        </w:rPr>
        <w:t>1</w:t>
      </w:r>
      <w:r>
        <w:rPr>
          <w:rFonts w:hint="eastAsia" w:ascii="Times New Roman" w:hAnsi="Times New Roman" w:cs="Times New Roman"/>
          <w:b w:val="0"/>
          <w:bCs w:val="0"/>
          <w:sz w:val="36"/>
          <w:szCs w:val="36"/>
          <w:lang w:val="en-US" w:eastAsia="zh-CN"/>
        </w:rPr>
        <w:t>,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lang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36"/>
          <w:szCs w:val="36"/>
          <w:lang w:val="en-US" w:eastAsia="zh-CN"/>
        </w:rPr>
        <w:t>Lixia Guo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vertAlign w:val="superscript"/>
          <w:lang w:val="en-US" w:eastAsia="zh-CN"/>
        </w:rPr>
        <w:t>1</w:t>
      </w:r>
      <w:r>
        <w:rPr>
          <w:rFonts w:hint="eastAsia" w:ascii="Times New Roman" w:hAnsi="Times New Roman" w:cs="Times New Roman"/>
          <w:b w:val="0"/>
          <w:bCs w:val="0"/>
          <w:sz w:val="36"/>
          <w:szCs w:val="36"/>
          <w:lang w:val="en-US" w:eastAsia="zh-CN"/>
        </w:rPr>
        <w:t>,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lang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36"/>
          <w:szCs w:val="36"/>
          <w:lang w:val="en-US" w:eastAsia="zh-CN"/>
        </w:rPr>
        <w:t>Sufang Ma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vertAlign w:val="superscript"/>
          <w:lang w:val="en-US" w:eastAsia="zh-CN"/>
        </w:rPr>
        <w:t>1</w:t>
      </w:r>
      <w:r>
        <w:rPr>
          <w:rFonts w:hint="eastAsia" w:ascii="Times New Roman" w:hAnsi="Times New Roman" w:cs="Times New Roman"/>
          <w:b w:val="0"/>
          <w:bCs w:val="0"/>
          <w:sz w:val="36"/>
          <w:szCs w:val="36"/>
          <w:lang w:val="en-US" w:eastAsia="zh-CN"/>
        </w:rPr>
        <w:t>,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lang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36"/>
          <w:szCs w:val="36"/>
          <w:lang w:val="en-US" w:eastAsia="zh-CN"/>
        </w:rPr>
        <w:t>Boye Zhang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vertAlign w:val="superscript"/>
          <w:lang w:val="en-US" w:eastAsia="zh-CN"/>
        </w:rPr>
        <w:t>1</w:t>
      </w:r>
      <w:r>
        <w:rPr>
          <w:rFonts w:hint="eastAsia" w:ascii="Times New Roman" w:hAnsi="Times New Roman" w:cs="Times New Roman"/>
          <w:b w:val="0"/>
          <w:bCs w:val="0"/>
          <w:sz w:val="36"/>
          <w:szCs w:val="36"/>
          <w:vertAlign w:val="baseline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b w:val="0"/>
          <w:bCs w:val="0"/>
          <w:sz w:val="36"/>
          <w:szCs w:val="36"/>
          <w:lang w:val="en-US" w:eastAsia="zh-CN"/>
        </w:rPr>
        <w:t>Haojiang Wang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vertAlign w:val="superscript"/>
          <w:lang w:val="en-US" w:eastAsia="zh-CN"/>
        </w:rPr>
        <w:t>1</w:t>
      </w:r>
      <w:r>
        <w:rPr>
          <w:rFonts w:hint="eastAsia" w:ascii="Times New Roman" w:hAnsi="Times New Roman" w:cs="Times New Roman"/>
          <w:b w:val="0"/>
          <w:bCs w:val="0"/>
          <w:sz w:val="36"/>
          <w:szCs w:val="36"/>
          <w:vertAlign w:val="baseline"/>
          <w:lang w:val="en-US" w:eastAsia="zh-CN"/>
        </w:rPr>
        <w:t>,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vertAlign w:val="baseline"/>
          <w:lang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36"/>
          <w:szCs w:val="36"/>
          <w:lang w:val="en-US" w:eastAsia="zh-CN"/>
        </w:rPr>
        <w:t xml:space="preserve"> and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lang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36"/>
          <w:szCs w:val="36"/>
          <w:lang w:val="en-US" w:eastAsia="zh-CN"/>
        </w:rPr>
        <w:t>Lili Yan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vertAlign w:val="superscript"/>
          <w:lang w:val="en-US" w:eastAsia="zh-CN"/>
        </w:rPr>
        <w:t>1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lang w:val="en-US" w:eastAsia="zh-CN"/>
        </w:rPr>
        <w:t>*</w:t>
      </w:r>
    </w:p>
    <w:p>
      <w:pPr>
        <w:jc w:val="both"/>
        <w:rPr>
          <w:rFonts w:hint="default" w:ascii="Times New Roman" w:hAnsi="Times New Roman" w:cs="Times New Roman"/>
          <w:b w:val="0"/>
          <w:bCs w:val="0"/>
          <w:sz w:val="36"/>
          <w:szCs w:val="36"/>
          <w:vertAlign w:val="superscript"/>
          <w:lang w:val="en-US" w:eastAsia="zh-CN"/>
        </w:rPr>
      </w:pPr>
    </w:p>
    <w:p>
      <w:pPr>
        <w:jc w:val="both"/>
        <w:rPr>
          <w:rFonts w:hint="eastAsia" w:ascii="Times New Roman" w:hAnsi="Times New Roman" w:cs="Times New Roman"/>
          <w:b w:val="0"/>
          <w:bCs w:val="0"/>
          <w:sz w:val="36"/>
          <w:szCs w:val="36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36"/>
          <w:szCs w:val="36"/>
          <w:vertAlign w:val="superscript"/>
          <w:lang w:val="en-US" w:eastAsia="zh-CN"/>
        </w:rPr>
        <w:t>1</w:t>
      </w:r>
      <w:r>
        <w:rPr>
          <w:rFonts w:hint="eastAsia" w:ascii="Times New Roman" w:hAnsi="Times New Roman" w:cs="Times New Roman"/>
          <w:b w:val="0"/>
          <w:bCs w:val="0"/>
          <w:sz w:val="36"/>
          <w:szCs w:val="36"/>
          <w:lang w:val="en-US" w:eastAsia="zh-CN"/>
        </w:rPr>
        <w:t>College of Basic Medicine University, Shanxi Medical Univerity, Taiyuan, 030000, P. R. China.</w:t>
      </w:r>
    </w:p>
    <w:p>
      <w:pPr>
        <w:jc w:val="both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cs="Times New Roman"/>
          <w:b w:val="0"/>
          <w:bCs w:val="0"/>
          <w:sz w:val="36"/>
          <w:szCs w:val="36"/>
          <w:vertAlign w:val="superscript"/>
          <w:lang w:val="en-US" w:eastAsia="zh-CN"/>
        </w:rPr>
        <w:t>2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lang w:val="en-US" w:eastAsia="zh-CN"/>
        </w:rPr>
        <w:t>Henan Center For Drug Evaluation and Inspection</w:t>
      </w:r>
      <w:r>
        <w:rPr>
          <w:rFonts w:hint="eastAsia" w:ascii="Times New Roman" w:hAnsi="Times New Roman" w:cs="Times New Roman"/>
          <w:b w:val="0"/>
          <w:bCs w:val="0"/>
          <w:sz w:val="36"/>
          <w:szCs w:val="36"/>
          <w:lang w:val="en-US" w:eastAsia="zh-CN"/>
        </w:rPr>
        <w:t>, Henan, 450000, P. R. China.</w:t>
      </w:r>
    </w:p>
    <w:p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>
      <w:pPr>
        <w:pStyle w:val="4"/>
        <w:spacing w:before="120"/>
        <w:rPr>
          <w:rFonts w:hint="default" w:cs="Times New Roman"/>
          <w:b w:val="0"/>
          <w:bCs/>
          <w:sz w:val="24"/>
          <w:szCs w:val="24"/>
          <w:lang w:val="en-US" w:eastAsia="zh-CN"/>
        </w:rPr>
      </w:pPr>
    </w:p>
    <w:p>
      <w:pPr>
        <w:pStyle w:val="4"/>
        <w:spacing w:before="120"/>
        <w:ind w:left="482" w:hanging="480" w:hangingChars="200"/>
        <w:rPr>
          <w:rFonts w:eastAsia="宋体"/>
          <w:b w:val="0"/>
          <w:bCs/>
          <w:kern w:val="2"/>
          <w:szCs w:val="22"/>
          <w:lang w:val="en-US" w:eastAsia="zh-CN"/>
        </w:rPr>
      </w:pPr>
    </w:p>
    <w:p>
      <w:pPr>
        <w:pStyle w:val="4"/>
        <w:spacing w:before="120"/>
        <w:ind w:left="482" w:hanging="482" w:hangingChars="200"/>
        <w:rPr>
          <w:rFonts w:eastAsia="宋体"/>
          <w:b/>
          <w:bCs/>
          <w:kern w:val="2"/>
          <w:szCs w:val="22"/>
          <w:lang w:val="en-US" w:eastAsia="zh-CN"/>
        </w:rPr>
      </w:pPr>
    </w:p>
    <w:p>
      <w:pPr>
        <w:pStyle w:val="4"/>
        <w:spacing w:before="120"/>
        <w:ind w:left="482" w:hanging="482" w:hangingChars="200"/>
        <w:rPr>
          <w:rFonts w:eastAsia="宋体"/>
          <w:b/>
          <w:bCs/>
          <w:kern w:val="2"/>
          <w:szCs w:val="22"/>
          <w:lang w:val="en-US" w:eastAsia="zh-CN"/>
        </w:rPr>
      </w:pPr>
      <w:r>
        <w:rPr>
          <w:rFonts w:eastAsia="宋体"/>
          <w:b/>
          <w:bCs/>
          <w:kern w:val="2"/>
          <w:szCs w:val="22"/>
          <w:lang w:val="en-US" w:eastAsia="zh-CN"/>
        </w:rPr>
        <w:t>Supplementary</w:t>
      </w:r>
      <w:r>
        <w:rPr>
          <w:rFonts w:hint="eastAsia" w:eastAsia="宋体"/>
          <w:b/>
          <w:bCs/>
          <w:kern w:val="2"/>
          <w:szCs w:val="22"/>
          <w:lang w:val="en-US" w:eastAsia="zh-CN"/>
        </w:rPr>
        <w:t xml:space="preserve"> </w:t>
      </w:r>
      <w:r>
        <w:rPr>
          <w:rFonts w:eastAsia="宋体"/>
          <w:b/>
          <w:bCs/>
          <w:kern w:val="2"/>
          <w:szCs w:val="22"/>
          <w:lang w:val="en-US" w:eastAsia="zh-CN"/>
        </w:rPr>
        <w:t>Figures</w:t>
      </w:r>
    </w:p>
    <w:p>
      <w:pPr>
        <w:pStyle w:val="4"/>
        <w:spacing w:before="120"/>
        <w:ind w:left="482" w:hanging="482" w:hangingChars="200"/>
        <w:rPr>
          <w:rFonts w:hint="default" w:eastAsia="宋体"/>
          <w:b w:val="0"/>
          <w:bCs/>
          <w:kern w:val="2"/>
          <w:szCs w:val="22"/>
          <w:lang w:val="en-US" w:eastAsia="zh-CN"/>
        </w:rPr>
      </w:pPr>
      <w:r>
        <w:rPr>
          <w:rFonts w:hint="eastAsia" w:eastAsia="宋体"/>
          <w:b/>
          <w:bCs/>
          <w:kern w:val="2"/>
          <w:szCs w:val="22"/>
          <w:lang w:val="en-US" w:eastAsia="zh-CN"/>
        </w:rPr>
        <w:t xml:space="preserve">   </w:t>
      </w:r>
    </w:p>
    <w:p>
      <w:pPr>
        <w:pStyle w:val="4"/>
        <w:spacing w:before="120"/>
        <w:rPr>
          <w:rFonts w:eastAsia="宋体"/>
          <w:b/>
          <w:bCs/>
          <w:kern w:val="2"/>
          <w:szCs w:val="22"/>
          <w:lang w:val="en-US" w:eastAsia="zh-CN"/>
        </w:rPr>
      </w:pPr>
    </w:p>
    <w:p>
      <w:pPr>
        <w:pStyle w:val="4"/>
        <w:spacing w:before="120"/>
      </w:pPr>
      <w:r>
        <w:rPr>
          <w:rFonts w:hint="eastAsia" w:eastAsia="宋体"/>
          <w:lang w:val="en-US" w:eastAsia="zh-CN"/>
        </w:rPr>
        <w:t xml:space="preserve">        </w:t>
      </w:r>
      <w:r>
        <w:drawing>
          <wp:inline distT="0" distB="0" distL="0" distR="0">
            <wp:extent cx="3279775" cy="2553335"/>
            <wp:effectExtent l="0" t="0" r="12065" b="698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rcRect l="10330"/>
                    <a:stretch>
                      <a:fillRect/>
                    </a:stretch>
                  </pic:blipFill>
                  <pic:spPr>
                    <a:xfrm>
                      <a:off x="0" y="0"/>
                      <a:ext cx="3279775" cy="2553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spacing w:before="120"/>
        <w:rPr>
          <w:rFonts w:hint="eastAsia" w:eastAsia="宋体"/>
          <w:b w:val="0"/>
          <w:bCs/>
          <w:lang w:val="en-US" w:eastAsia="zh-CN"/>
        </w:rPr>
      </w:pPr>
      <w:r>
        <w:rPr>
          <w:rFonts w:hint="eastAsia" w:eastAsia="宋体"/>
          <w:lang w:val="en-US" w:eastAsia="zh-CN"/>
        </w:rPr>
        <w:t>Figure S1.</w:t>
      </w:r>
      <w:r>
        <w:rPr>
          <w:rFonts w:hint="eastAsia" w:eastAsia="宋体"/>
          <w:b w:val="0"/>
          <w:bCs/>
          <w:lang w:val="en-US" w:eastAsia="zh-CN"/>
        </w:rPr>
        <w:t xml:space="preserve">The </w:t>
      </w:r>
      <w:r>
        <w:rPr>
          <w:rFonts w:hint="eastAsia" w:eastAsia="宋体"/>
          <w:b w:val="0"/>
          <w:bCs/>
          <w:highlight w:val="yellow"/>
          <w:lang w:val="en-US" w:eastAsia="zh-CN"/>
        </w:rPr>
        <w:t>Zeta potential</w:t>
      </w:r>
      <w:r>
        <w:rPr>
          <w:rFonts w:hint="eastAsia" w:eastAsia="宋体"/>
          <w:b w:val="0"/>
          <w:bCs/>
          <w:lang w:val="en-US" w:eastAsia="zh-CN"/>
        </w:rPr>
        <w:t xml:space="preserve"> of MoS</w:t>
      </w:r>
      <w:r>
        <w:rPr>
          <w:rFonts w:hint="eastAsia" w:eastAsia="宋体"/>
          <w:b w:val="0"/>
          <w:bCs/>
          <w:vertAlign w:val="subscript"/>
          <w:lang w:val="en-US" w:eastAsia="zh-CN"/>
        </w:rPr>
        <w:t>2</w:t>
      </w:r>
      <w:r>
        <w:rPr>
          <w:rFonts w:hint="eastAsia" w:eastAsia="宋体"/>
          <w:b w:val="0"/>
          <w:bCs/>
          <w:lang w:val="en-US" w:eastAsia="zh-CN"/>
        </w:rPr>
        <w:t>, MoS</w:t>
      </w:r>
      <w:r>
        <w:rPr>
          <w:rFonts w:hint="eastAsia" w:eastAsia="宋体"/>
          <w:b w:val="0"/>
          <w:bCs/>
          <w:vertAlign w:val="subscript"/>
          <w:lang w:val="en-US" w:eastAsia="zh-CN"/>
        </w:rPr>
        <w:t>2</w:t>
      </w:r>
      <w:r>
        <w:rPr>
          <w:rFonts w:hint="eastAsia" w:eastAsia="宋体"/>
          <w:b w:val="0"/>
          <w:bCs/>
          <w:lang w:val="en-US" w:eastAsia="zh-CN"/>
        </w:rPr>
        <w:t>@MnO</w:t>
      </w:r>
      <w:r>
        <w:rPr>
          <w:rFonts w:hint="eastAsia" w:eastAsia="宋体"/>
          <w:b w:val="0"/>
          <w:bCs/>
          <w:vertAlign w:val="subscript"/>
          <w:lang w:val="en-US" w:eastAsia="zh-CN"/>
        </w:rPr>
        <w:t>2</w:t>
      </w:r>
      <w:r>
        <w:rPr>
          <w:rFonts w:hint="eastAsia" w:eastAsia="宋体"/>
          <w:b w:val="0"/>
          <w:bCs/>
          <w:lang w:val="en-US" w:eastAsia="zh-CN"/>
        </w:rPr>
        <w:t>, and MoS</w:t>
      </w:r>
      <w:r>
        <w:rPr>
          <w:rFonts w:hint="eastAsia" w:eastAsia="宋体"/>
          <w:b w:val="0"/>
          <w:bCs/>
          <w:vertAlign w:val="subscript"/>
          <w:lang w:val="en-US" w:eastAsia="zh-CN"/>
        </w:rPr>
        <w:t>2</w:t>
      </w:r>
      <w:r>
        <w:rPr>
          <w:rFonts w:hint="eastAsia" w:eastAsia="宋体"/>
          <w:b w:val="0"/>
          <w:bCs/>
          <w:lang w:val="en-US" w:eastAsia="zh-CN"/>
        </w:rPr>
        <w:t>@MnO</w:t>
      </w:r>
      <w:r>
        <w:rPr>
          <w:rFonts w:hint="eastAsia" w:eastAsia="宋体"/>
          <w:b w:val="0"/>
          <w:bCs/>
          <w:vertAlign w:val="subscript"/>
          <w:lang w:val="en-US" w:eastAsia="zh-CN"/>
        </w:rPr>
        <w:t>2</w:t>
      </w:r>
      <w:r>
        <w:rPr>
          <w:rFonts w:hint="eastAsia" w:eastAsia="宋体"/>
          <w:b w:val="0"/>
          <w:bCs/>
          <w:lang w:val="en-US" w:eastAsia="zh-CN"/>
        </w:rPr>
        <w:t>-PEG.</w:t>
      </w:r>
    </w:p>
    <w:p>
      <w:pPr>
        <w:pStyle w:val="4"/>
        <w:spacing w:before="120"/>
        <w:rPr>
          <w:rFonts w:hint="default" w:eastAsia="宋体"/>
          <w:b w:val="0"/>
          <w:bCs/>
          <w:lang w:val="en-US" w:eastAsia="zh-CN"/>
        </w:rPr>
      </w:pPr>
    </w:p>
    <w:p>
      <w:r>
        <w:drawing>
          <wp:inline distT="0" distB="0" distL="0" distR="0">
            <wp:extent cx="2738755" cy="2008505"/>
            <wp:effectExtent l="0" t="0" r="4445" b="3175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38755" cy="2008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="宋体"/>
          <w:lang w:val="en-US" w:eastAsia="zh-CN"/>
        </w:rPr>
      </w:pPr>
      <w:r>
        <w:rPr>
          <w:rFonts w:hint="eastAsia" w:eastAsia="宋体"/>
          <w:b/>
          <w:bCs/>
          <w:lang w:val="en-US" w:eastAsia="zh-CN"/>
        </w:rPr>
        <w:t>Figure S2</w:t>
      </w:r>
      <w:r>
        <w:rPr>
          <w:rFonts w:hint="eastAsia" w:eastAsia="宋体"/>
          <w:lang w:val="en-US" w:eastAsia="zh-CN"/>
        </w:rPr>
        <w:t>.UV absorption MoS</w:t>
      </w:r>
      <w:r>
        <w:rPr>
          <w:rFonts w:hint="eastAsia" w:eastAsia="宋体"/>
          <w:vertAlign w:val="subscript"/>
          <w:lang w:val="en-US" w:eastAsia="zh-CN"/>
        </w:rPr>
        <w:t>2</w:t>
      </w:r>
      <w:r>
        <w:rPr>
          <w:rFonts w:hint="eastAsia" w:eastAsia="宋体"/>
          <w:lang w:val="en-US" w:eastAsia="zh-CN"/>
        </w:rPr>
        <w:t>@MnO</w:t>
      </w:r>
      <w:r>
        <w:rPr>
          <w:rFonts w:hint="eastAsia" w:eastAsia="宋体"/>
          <w:vertAlign w:val="subscript"/>
          <w:lang w:val="en-US" w:eastAsia="zh-CN"/>
        </w:rPr>
        <w:t>2</w:t>
      </w:r>
      <w:r>
        <w:rPr>
          <w:rFonts w:hint="eastAsia" w:eastAsia="宋体"/>
          <w:lang w:val="en-US" w:eastAsia="zh-CN"/>
        </w:rPr>
        <w:t xml:space="preserve"> at different concentrations</w:t>
      </w:r>
    </w:p>
    <w:p>
      <w:r>
        <w:drawing>
          <wp:inline distT="0" distB="0" distL="0" distR="0">
            <wp:extent cx="2803525" cy="2270760"/>
            <wp:effectExtent l="0" t="0" r="635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/>
                    </pic:cNvPicPr>
                  </pic:nvPicPr>
                  <pic:blipFill>
                    <a:blip r:embed="rId6"/>
                    <a:srcRect l="3460" r="52987"/>
                    <a:stretch>
                      <a:fillRect/>
                    </a:stretch>
                  </pic:blipFill>
                  <pic:spPr>
                    <a:xfrm>
                      <a:off x="0" y="0"/>
                      <a:ext cx="2803525" cy="2270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="宋体"/>
          <w:lang w:val="en-US" w:eastAsia="zh-CN"/>
        </w:rPr>
      </w:pPr>
      <w:r>
        <w:rPr>
          <w:rFonts w:hint="eastAsia" w:eastAsia="宋体"/>
          <w:b/>
          <w:bCs/>
          <w:lang w:val="en-US" w:eastAsia="zh-CN"/>
        </w:rPr>
        <w:t>Figure S3</w:t>
      </w:r>
      <w:r>
        <w:rPr>
          <w:rFonts w:hint="eastAsia" w:eastAsia="宋体"/>
          <w:lang w:val="en-US" w:eastAsia="zh-CN"/>
        </w:rPr>
        <w:t>.The photostability of MoS</w:t>
      </w:r>
      <w:r>
        <w:rPr>
          <w:rFonts w:hint="eastAsia" w:eastAsia="宋体"/>
          <w:vertAlign w:val="subscript"/>
          <w:lang w:val="en-US" w:eastAsia="zh-CN"/>
        </w:rPr>
        <w:t>2</w:t>
      </w:r>
      <w:r>
        <w:rPr>
          <w:rFonts w:hint="eastAsia" w:eastAsia="宋体"/>
          <w:lang w:val="en-US" w:eastAsia="zh-CN"/>
        </w:rPr>
        <w:t>@MnO</w:t>
      </w:r>
      <w:r>
        <w:rPr>
          <w:rFonts w:hint="eastAsia" w:eastAsia="宋体"/>
          <w:vertAlign w:val="subscript"/>
          <w:lang w:val="en-US" w:eastAsia="zh-CN"/>
        </w:rPr>
        <w:t>2</w:t>
      </w:r>
      <w:r>
        <w:rPr>
          <w:rFonts w:hint="eastAsia" w:eastAsia="宋体"/>
          <w:lang w:val="en-US" w:eastAsia="zh-CN"/>
        </w:rPr>
        <w:t>.</w:t>
      </w:r>
    </w:p>
    <w:p>
      <w:pPr>
        <w:rPr>
          <w:rFonts w:hint="eastAsia" w:eastAsia="宋体"/>
          <w:lang w:val="en-US" w:eastAsia="zh-CN"/>
        </w:rPr>
      </w:pPr>
    </w:p>
    <w:p>
      <w:r>
        <w:drawing>
          <wp:inline distT="0" distB="0" distL="114300" distR="114300">
            <wp:extent cx="5268595" cy="3680460"/>
            <wp:effectExtent l="0" t="0" r="4445" b="7620"/>
            <wp:docPr id="2" name="图片 2" descr="光热转化效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光热转化效率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680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="宋体"/>
          <w:highlight w:val="yellow"/>
          <w:lang w:val="en-US" w:eastAsia="zh-CN"/>
        </w:rPr>
      </w:pPr>
      <w:r>
        <w:rPr>
          <w:rFonts w:hint="eastAsia" w:eastAsia="宋体"/>
          <w:b/>
          <w:bCs/>
          <w:highlight w:val="yellow"/>
          <w:lang w:val="en-US" w:eastAsia="zh-CN"/>
        </w:rPr>
        <w:t xml:space="preserve">Figure S4. Plot of the cooling time as a function of the negative natural logarithm of the temperature driving force and </w:t>
      </w:r>
      <w:r>
        <w:rPr>
          <w:rFonts w:hint="default" w:ascii="Times New Roman" w:hAnsi="Times New Roman" w:cs="Times New Roman"/>
          <w:sz w:val="24"/>
          <w:szCs w:val="24"/>
          <w:highlight w:val="yellow"/>
        </w:rPr>
        <w:t>photothermal conversion</w:t>
      </w:r>
      <w:r>
        <w:rPr>
          <w:rFonts w:hint="eastAsia" w:ascii="Times New Roman" w:hAnsi="Times New Roman" w:cs="Times New Roman"/>
          <w:sz w:val="24"/>
          <w:szCs w:val="24"/>
          <w:highlight w:val="yellow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highlight w:val="yellow"/>
        </w:rPr>
        <w:t>efficiency (η)</w:t>
      </w:r>
      <w:r>
        <w:rPr>
          <w:rFonts w:hint="eastAsia" w:eastAsia="宋体" w:cs="Times New Roman"/>
          <w:sz w:val="24"/>
          <w:szCs w:val="24"/>
          <w:highlight w:val="yellow"/>
          <w:lang w:val="en-US" w:eastAsia="zh-CN"/>
        </w:rPr>
        <w:t>.</w:t>
      </w:r>
    </w:p>
    <w:p>
      <w:r>
        <w:drawing>
          <wp:inline distT="0" distB="0" distL="0" distR="0">
            <wp:extent cx="5575935" cy="2046605"/>
            <wp:effectExtent l="0" t="0" r="1905" b="1079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8"/>
                    <a:srcRect t="1467" r="68"/>
                    <a:stretch>
                      <a:fillRect/>
                    </a:stretch>
                  </pic:blipFill>
                  <pic:spPr>
                    <a:xfrm>
                      <a:off x="0" y="0"/>
                      <a:ext cx="5575935" cy="2046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="宋体"/>
          <w:lang w:val="en-US" w:eastAsia="zh-CN"/>
        </w:rPr>
      </w:pPr>
      <w:r>
        <w:rPr>
          <w:rFonts w:hint="eastAsia" w:eastAsia="宋体"/>
          <w:b/>
          <w:bCs/>
          <w:lang w:val="en-US" w:eastAsia="zh-CN"/>
        </w:rPr>
        <w:t>Figure S5</w:t>
      </w:r>
      <w:r>
        <w:rPr>
          <w:rFonts w:hint="eastAsia" w:eastAsia="宋体"/>
          <w:lang w:val="en-US" w:eastAsia="zh-CN"/>
        </w:rPr>
        <w:t>. (A) Add different traps to detect the type of reactive oxygen species; (B) UV-Vis chart. where (</w:t>
      </w:r>
      <w:r>
        <w:t>a：MB；b：MB+MoS</w:t>
      </w:r>
      <w:r>
        <w:rPr>
          <w:vertAlign w:val="subscript"/>
        </w:rPr>
        <w:t>2</w:t>
      </w:r>
      <w:r>
        <w:t>@MnO</w:t>
      </w:r>
      <w:r>
        <w:rPr>
          <w:vertAlign w:val="subscript"/>
        </w:rPr>
        <w:t>2</w:t>
      </w:r>
      <w:r>
        <w:t>-PEG+H</w:t>
      </w:r>
      <w:r>
        <w:rPr>
          <w:vertAlign w:val="subscript"/>
        </w:rPr>
        <w:t>2</w:t>
      </w:r>
      <w:r>
        <w:t>O</w:t>
      </w:r>
      <w:r>
        <w:rPr>
          <w:vertAlign w:val="subscript"/>
        </w:rPr>
        <w:t>2</w:t>
      </w:r>
      <w:r>
        <w:t>+HCO</w:t>
      </w:r>
      <w:r>
        <w:rPr>
          <w:vertAlign w:val="subscript"/>
        </w:rPr>
        <w:t>3</w:t>
      </w:r>
      <w:r>
        <w:rPr>
          <w:vertAlign w:val="superscript"/>
        </w:rPr>
        <w:t>-</w:t>
      </w:r>
      <w:r>
        <w:t>+1.0 mM GSH；c：MB+MoS</w:t>
      </w:r>
      <w:r>
        <w:rPr>
          <w:vertAlign w:val="subscript"/>
        </w:rPr>
        <w:t>2</w:t>
      </w:r>
      <w:r>
        <w:t>@MnO</w:t>
      </w:r>
      <w:r>
        <w:rPr>
          <w:vertAlign w:val="subscript"/>
        </w:rPr>
        <w:t>2</w:t>
      </w:r>
      <w:r>
        <w:t>-PEG+H</w:t>
      </w:r>
      <w:r>
        <w:rPr>
          <w:vertAlign w:val="subscript"/>
        </w:rPr>
        <w:t>2</w:t>
      </w:r>
      <w:r>
        <w:t>O</w:t>
      </w:r>
      <w:r>
        <w:rPr>
          <w:vertAlign w:val="subscript"/>
        </w:rPr>
        <w:t>2</w:t>
      </w:r>
      <w:r>
        <w:t>+HCO</w:t>
      </w:r>
      <w:r>
        <w:rPr>
          <w:vertAlign w:val="subscript"/>
        </w:rPr>
        <w:t>3</w:t>
      </w:r>
      <w:r>
        <w:rPr>
          <w:vertAlign w:val="superscript"/>
        </w:rPr>
        <w:t>-</w:t>
      </w:r>
      <w:r>
        <w:t>+1.0 mM GSH+IPA；d：MB+MoS</w:t>
      </w:r>
      <w:r>
        <w:rPr>
          <w:vertAlign w:val="subscript"/>
        </w:rPr>
        <w:t>2</w:t>
      </w:r>
      <w:r>
        <w:t>@MnO</w:t>
      </w:r>
      <w:r>
        <w:rPr>
          <w:vertAlign w:val="subscript"/>
        </w:rPr>
        <w:t>2</w:t>
      </w:r>
      <w:r>
        <w:t>-PEG+H</w:t>
      </w:r>
      <w:r>
        <w:rPr>
          <w:vertAlign w:val="subscript"/>
        </w:rPr>
        <w:t>2</w:t>
      </w:r>
      <w:r>
        <w:t>O</w:t>
      </w:r>
      <w:r>
        <w:rPr>
          <w:vertAlign w:val="subscript"/>
        </w:rPr>
        <w:t>2</w:t>
      </w:r>
      <w:r>
        <w:t>+ HCO</w:t>
      </w:r>
      <w:r>
        <w:rPr>
          <w:vertAlign w:val="subscript"/>
        </w:rPr>
        <w:t>3</w:t>
      </w:r>
      <w:r>
        <w:rPr>
          <w:vertAlign w:val="superscript"/>
        </w:rPr>
        <w:t>-</w:t>
      </w:r>
      <w:r>
        <w:t>+1.0 mM GSH+PBQ</w:t>
      </w:r>
      <w:r>
        <w:rPr>
          <w:rFonts w:eastAsia="宋体"/>
        </w:rPr>
        <w:t>；</w:t>
      </w:r>
      <w:r>
        <w:t>e：MB+MoS</w:t>
      </w:r>
      <w:r>
        <w:rPr>
          <w:vertAlign w:val="subscript"/>
        </w:rPr>
        <w:t>2</w:t>
      </w:r>
      <w:r>
        <w:t>@MnO</w:t>
      </w:r>
      <w:r>
        <w:rPr>
          <w:vertAlign w:val="subscript"/>
        </w:rPr>
        <w:t>2</w:t>
      </w:r>
      <w:r>
        <w:t>-PEG+H</w:t>
      </w:r>
      <w:r>
        <w:rPr>
          <w:vertAlign w:val="subscript"/>
        </w:rPr>
        <w:t>2</w:t>
      </w:r>
      <w:r>
        <w:t>O</w:t>
      </w:r>
      <w:r>
        <w:rPr>
          <w:vertAlign w:val="subscript"/>
        </w:rPr>
        <w:t>2</w:t>
      </w:r>
      <w:r>
        <w:t>+HCO</w:t>
      </w:r>
      <w:r>
        <w:rPr>
          <w:vertAlign w:val="subscript"/>
        </w:rPr>
        <w:t>3</w:t>
      </w:r>
      <w:r>
        <w:rPr>
          <w:vertAlign w:val="superscript"/>
        </w:rPr>
        <w:t>-</w:t>
      </w:r>
      <w:r>
        <w:t>+1.0 mM GSH+NaN</w:t>
      </w:r>
      <w:r>
        <w:rPr>
          <w:vertAlign w:val="subscript"/>
        </w:rPr>
        <w:t>3</w:t>
      </w:r>
      <w:r>
        <w:t>）</w:t>
      </w:r>
      <w:r>
        <w:rPr>
          <w:rFonts w:hint="eastAsia" w:eastAsia="宋体"/>
          <w:lang w:val="en-US" w:eastAsia="zh-CN"/>
        </w:rPr>
        <w:t>）。</w:t>
      </w:r>
    </w:p>
    <w:p/>
    <w:p>
      <w:r>
        <w:drawing>
          <wp:inline distT="0" distB="0" distL="0" distR="0">
            <wp:extent cx="5579745" cy="1813560"/>
            <wp:effectExtent l="0" t="0" r="13335" b="0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1813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="宋体"/>
          <w:lang w:val="en-US" w:eastAsia="zh-CN"/>
        </w:rPr>
      </w:pPr>
      <w:r>
        <w:rPr>
          <w:rFonts w:hint="eastAsia" w:eastAsia="宋体"/>
          <w:b/>
          <w:bCs/>
          <w:lang w:val="en-US" w:eastAsia="zh-CN"/>
        </w:rPr>
        <w:t>Figure S6</w:t>
      </w:r>
      <w:r>
        <w:rPr>
          <w:rFonts w:hint="eastAsia" w:eastAsia="宋体"/>
          <w:lang w:val="en-US" w:eastAsia="zh-CN"/>
        </w:rPr>
        <w:t xml:space="preserve">.(A) Effects of different concentrations of </w:t>
      </w:r>
      <w:r>
        <w:t>MoS</w:t>
      </w:r>
      <w:r>
        <w:rPr>
          <w:vertAlign w:val="subscript"/>
        </w:rPr>
        <w:t>2</w:t>
      </w:r>
      <w:r>
        <w:t>@MnO</w:t>
      </w:r>
      <w:r>
        <w:rPr>
          <w:vertAlign w:val="subscript"/>
        </w:rPr>
        <w:t>2</w:t>
      </w:r>
      <w:r>
        <w:t>-PEG</w:t>
      </w:r>
      <w:r>
        <w:rPr>
          <w:rFonts w:hint="eastAsia" w:eastAsia="宋体"/>
          <w:lang w:val="en-US" w:eastAsia="zh-CN"/>
        </w:rPr>
        <w:t xml:space="preserve"> on HcerEpic cell viability;</w:t>
      </w:r>
    </w:p>
    <w:p>
      <w:pPr>
        <w:numPr>
          <w:ilvl w:val="0"/>
          <w:numId w:val="1"/>
        </w:numPr>
        <w:rPr>
          <w:rFonts w:hint="default" w:eastAsia="宋体"/>
          <w:lang w:val="en-US" w:eastAsia="zh-CN"/>
        </w:rPr>
      </w:pPr>
      <w:r>
        <w:rPr>
          <w:rFonts w:hint="eastAsia" w:eastAsia="宋体"/>
          <w:lang w:val="en-US" w:eastAsia="zh-CN"/>
        </w:rPr>
        <w:t xml:space="preserve">Effect of different concentrations of </w:t>
      </w:r>
      <w:r>
        <w:t>MoS</w:t>
      </w:r>
      <w:r>
        <w:rPr>
          <w:vertAlign w:val="subscript"/>
        </w:rPr>
        <w:t>2</w:t>
      </w:r>
      <w:r>
        <w:t>@MnO</w:t>
      </w:r>
      <w:r>
        <w:rPr>
          <w:vertAlign w:val="subscript"/>
        </w:rPr>
        <w:t>2</w:t>
      </w:r>
      <w:r>
        <w:t>-PEG</w:t>
      </w:r>
      <w:r>
        <w:rPr>
          <w:rFonts w:hint="eastAsia" w:eastAsia="宋体"/>
          <w:lang w:val="en-US" w:eastAsia="zh-CN"/>
        </w:rPr>
        <w:t xml:space="preserve"> on HeLa cell viability.</w:t>
      </w:r>
    </w:p>
    <w:p>
      <w:pPr>
        <w:numPr>
          <w:ilvl w:val="0"/>
          <w:numId w:val="0"/>
        </w:numPr>
        <w:rPr>
          <w:rFonts w:hint="default" w:eastAsia="宋体"/>
          <w:lang w:val="en-US" w:eastAsia="zh-CN"/>
        </w:rPr>
      </w:pP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5266055" cy="2048510"/>
            <wp:effectExtent l="0" t="0" r="6985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04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eastAsia="宋体"/>
          <w:lang w:val="en-US" w:eastAsia="zh-CN"/>
        </w:rPr>
      </w:pPr>
      <w:r>
        <w:rPr>
          <w:rFonts w:hint="eastAsia" w:eastAsia="宋体"/>
          <w:b/>
          <w:bCs/>
          <w:lang w:val="en-US" w:eastAsia="zh-CN"/>
        </w:rPr>
        <w:t>Figure S7</w:t>
      </w:r>
      <w:r>
        <w:rPr>
          <w:rFonts w:hint="eastAsia" w:eastAsia="宋体"/>
          <w:lang w:val="en-US" w:eastAsia="zh-CN"/>
        </w:rPr>
        <w:t>.Calcein-AM/PI staining observation method to verify the type of reactive oxygen species that trigger apoptosis (scale bar : 100 μm)</w:t>
      </w:r>
    </w:p>
    <w:p>
      <w:pPr>
        <w:numPr>
          <w:ilvl w:val="0"/>
          <w:numId w:val="0"/>
        </w:numPr>
        <w:rPr>
          <w:rFonts w:hint="eastAsia" w:eastAsia="宋体"/>
          <w:lang w:val="en-US" w:eastAsia="zh-CN"/>
        </w:rPr>
      </w:pPr>
    </w:p>
    <w:p>
      <w:pPr>
        <w:numPr>
          <w:ilvl w:val="0"/>
          <w:numId w:val="0"/>
        </w:numPr>
      </w:pPr>
      <w:r>
        <w:drawing>
          <wp:inline distT="0" distB="0" distL="0" distR="0">
            <wp:extent cx="3877945" cy="2845435"/>
            <wp:effectExtent l="0" t="0" r="8255" b="4445"/>
            <wp:docPr id="14353" name="图片 14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53" name="图片 14353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rcRect r="4363"/>
                    <a:stretch>
                      <a:fillRect/>
                    </a:stretch>
                  </pic:blipFill>
                  <pic:spPr>
                    <a:xfrm>
                      <a:off x="0" y="0"/>
                      <a:ext cx="3904395" cy="28647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 w:eastAsia="宋体"/>
          <w:b/>
          <w:bCs/>
          <w:lang w:val="en-US" w:eastAsia="zh-CN"/>
        </w:rPr>
        <w:t>Figure S8</w:t>
      </w:r>
      <w:r>
        <w:rPr>
          <w:rFonts w:hint="eastAsia" w:eastAsia="宋体"/>
          <w:lang w:val="en-US" w:eastAsia="zh-CN"/>
        </w:rPr>
        <w:t>.Statistical chart of serum biochemical indexes in nude mice. (A) alanine aminotransferase (ALT); (B) creatinine (Cr); (C) urea nitrogen (BUN); (D) Aspartate aminotransferase (AST). (a：PBS；b：PBS+Laser；c：MoS</w:t>
      </w:r>
      <w:r>
        <w:rPr>
          <w:rFonts w:hint="eastAsia" w:eastAsia="宋体"/>
          <w:vertAlign w:val="subscript"/>
          <w:lang w:val="en-US" w:eastAsia="zh-CN"/>
        </w:rPr>
        <w:t>2</w:t>
      </w:r>
      <w:r>
        <w:rPr>
          <w:rFonts w:hint="eastAsia" w:eastAsia="宋体"/>
          <w:lang w:val="en-US" w:eastAsia="zh-CN"/>
        </w:rPr>
        <w:t>@MnO</w:t>
      </w:r>
      <w:r>
        <w:rPr>
          <w:rFonts w:hint="eastAsia" w:eastAsia="宋体"/>
          <w:vertAlign w:val="subscript"/>
          <w:lang w:val="en-US" w:eastAsia="zh-CN"/>
        </w:rPr>
        <w:t>2</w:t>
      </w:r>
      <w:r>
        <w:rPr>
          <w:rFonts w:hint="eastAsia" w:eastAsia="宋体"/>
          <w:lang w:val="en-US" w:eastAsia="zh-CN"/>
        </w:rPr>
        <w:t>-PEG；d：MoS</w:t>
      </w:r>
      <w:r>
        <w:rPr>
          <w:rFonts w:hint="eastAsia" w:eastAsia="宋体"/>
          <w:vertAlign w:val="subscript"/>
          <w:lang w:val="en-US" w:eastAsia="zh-CN"/>
        </w:rPr>
        <w:t>2</w:t>
      </w:r>
      <w:r>
        <w:rPr>
          <w:rFonts w:hint="eastAsia" w:eastAsia="宋体"/>
          <w:lang w:val="en-US" w:eastAsia="zh-CN"/>
        </w:rPr>
        <w:t>@MnO</w:t>
      </w:r>
      <w:r>
        <w:rPr>
          <w:rFonts w:hint="eastAsia" w:eastAsia="宋体"/>
          <w:vertAlign w:val="subscript"/>
          <w:lang w:val="en-US" w:eastAsia="zh-CN"/>
        </w:rPr>
        <w:t>2</w:t>
      </w:r>
      <w:r>
        <w:rPr>
          <w:rFonts w:hint="eastAsia" w:eastAsia="宋体"/>
          <w:lang w:val="en-US" w:eastAsia="zh-CN"/>
        </w:rPr>
        <w:t>-PEG+Laser)。</w:t>
      </w:r>
    </w:p>
    <w:sectPr>
      <w:pgSz w:w="11906" w:h="16838"/>
      <w:pgMar w:top="1440" w:right="1800" w:bottom="1440" w:left="1800" w:header="851" w:footer="992" w:gutter="0"/>
      <w:lnNumType w:countBy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D826D54"/>
    <w:multiLevelType w:val="singleLevel"/>
    <w:tmpl w:val="CD826D54"/>
    <w:lvl w:ilvl="0" w:tentative="0">
      <w:start w:val="2"/>
      <w:numFmt w:val="upperLetter"/>
      <w:suff w:val="space"/>
      <w:lvlText w:val="(%1)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llMDIxOTA1YzE0NmZhMWJmOGRjM2Q0M2Q5MzVhMzUifQ=="/>
  </w:docVars>
  <w:rsids>
    <w:rsidRoot w:val="08FA7DCE"/>
    <w:rsid w:val="054D4401"/>
    <w:rsid w:val="08FA7DCE"/>
    <w:rsid w:val="2BC0536D"/>
    <w:rsid w:val="3EB73030"/>
    <w:rsid w:val="5E4114C0"/>
    <w:rsid w:val="615433D2"/>
    <w:rsid w:val="6E6D1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MS Mincho" w:cs="Times New Roman"/>
      <w:kern w:val="0"/>
      <w:sz w:val="24"/>
      <w:szCs w:val="24"/>
      <w:lang w:val="de-DE" w:eastAsia="ja-JP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itle2"/>
    <w:basedOn w:val="1"/>
    <w:qFormat/>
    <w:uiPriority w:val="0"/>
    <w:rPr>
      <w:b/>
      <w:lang w:val="en-US"/>
    </w:rPr>
  </w:style>
  <w:style w:type="character" w:customStyle="1" w:styleId="5">
    <w:name w:val="土著 字符"/>
    <w:basedOn w:val="6"/>
    <w:link w:val="8"/>
    <w:qFormat/>
    <w:uiPriority w:val="0"/>
    <w:rPr>
      <w:rFonts w:eastAsia="黑体"/>
      <w:color w:val="000000" w:themeColor="text1"/>
      <w:sz w:val="21"/>
      <w14:textFill>
        <w14:solidFill>
          <w14:schemeClr w14:val="tx1"/>
        </w14:solidFill>
      </w14:textFill>
    </w:rPr>
  </w:style>
  <w:style w:type="character" w:customStyle="1" w:styleId="6">
    <w:name w:val="normal 字符"/>
    <w:basedOn w:val="3"/>
    <w:link w:val="7"/>
    <w:qFormat/>
    <w:uiPriority w:val="0"/>
  </w:style>
  <w:style w:type="paragraph" w:customStyle="1" w:styleId="7">
    <w:name w:val="正文1"/>
    <w:basedOn w:val="1"/>
    <w:link w:val="6"/>
    <w:qFormat/>
    <w:uiPriority w:val="0"/>
  </w:style>
  <w:style w:type="paragraph" w:customStyle="1" w:styleId="8">
    <w:name w:val="土著"/>
    <w:basedOn w:val="7"/>
    <w:link w:val="5"/>
    <w:qFormat/>
    <w:uiPriority w:val="0"/>
    <w:pPr>
      <w:ind w:left="720" w:firstLine="0" w:firstLineChars="0"/>
      <w:jc w:val="center"/>
    </w:pPr>
    <w:rPr>
      <w:rFonts w:eastAsia="黑体"/>
      <w:color w:val="000000" w:themeColor="text1"/>
      <w:sz w:val="21"/>
      <w14:textFill>
        <w14:solidFill>
          <w14:schemeClr w14:val="tx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245</Words>
  <Characters>1492</Characters>
  <Lines>0</Lines>
  <Paragraphs>0</Paragraphs>
  <TotalTime>0</TotalTime>
  <ScaleCrop>false</ScaleCrop>
  <LinksUpToDate>false</LinksUpToDate>
  <CharactersWithSpaces>1700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2023-03-08T08:38:00Z</dcterms:created>
  <dc:creator>易</dc:creator>
  <cp:lastModifiedBy>小仙女润润呀.</cp:lastModifiedBy>
  <dcterms:modified xsi:type="dcterms:W3CDTF">2023-09-01T03:40:15Z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F17250276E3641AE848739CF8918C0DB</vt:lpwstr>
  </property>
</Properties>
</file>