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552E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42758041">
      <w:pPr>
        <w:jc w:val="center"/>
        <w:rPr>
          <w:rFonts w:ascii="Times New Roman" w:hAnsi="Times New Roman" w:cs="Times New Roman"/>
          <w:b/>
          <w:bCs/>
          <w:kern w:val="44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44"/>
          <w:sz w:val="28"/>
          <w:szCs w:val="28"/>
        </w:rPr>
        <w:t>Bioinspired Fe</w:t>
      </w:r>
      <w:r>
        <w:rPr>
          <w:rFonts w:ascii="Times New Roman" w:hAnsi="Times New Roman" w:cs="Times New Roman"/>
          <w:b/>
          <w:bCs/>
          <w:kern w:val="44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b/>
          <w:bCs/>
          <w:kern w:val="44"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kern w:val="44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b/>
          <w:bCs/>
          <w:kern w:val="44"/>
          <w:sz w:val="28"/>
          <w:szCs w:val="28"/>
        </w:rPr>
        <w:t>@Ag@ Indocyanine Green / Adenosine triphosphate nanoenzyme in Synergistic Antibacterial Performance</w:t>
      </w:r>
    </w:p>
    <w:p w14:paraId="21AC8B07">
      <w:pPr>
        <w:jc w:val="center"/>
        <w:rPr>
          <w:rFonts w:ascii="Times New Roman" w:hAnsi="Times New Roman" w:cs="Times New Roman"/>
          <w:b/>
          <w:bCs/>
          <w:kern w:val="44"/>
          <w:sz w:val="28"/>
          <w:szCs w:val="28"/>
        </w:rPr>
      </w:pPr>
    </w:p>
    <w:p w14:paraId="1300F66B">
      <w:pPr>
        <w:pStyle w:val="12"/>
        <w:rPr>
          <w:rFonts w:hint="eastAsia" w:cs="Times New Roman"/>
          <w:sz w:val="20"/>
          <w:vertAlign w:val="superscript"/>
          <w:lang w:val="en-US" w:eastAsia="zh-CN"/>
        </w:rPr>
      </w:pPr>
      <w:r>
        <w:rPr>
          <w:rFonts w:ascii="Times New Roman" w:hAnsi="Times New Roman"/>
          <w:kern w:val="2"/>
          <w:sz w:val="21"/>
          <w:szCs w:val="24"/>
          <w:lang w:val="en-US" w:eastAsia="zh-CN"/>
        </w:rPr>
        <w:t>Dongmei Hu,‡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Qing Wu,‡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>Yujun Yang,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3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Yan Wang,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Yanhao Li,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>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Haixiang Chen,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Liang Tang,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Xiang Mao*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/>
          <w:kern w:val="2"/>
          <w:sz w:val="21"/>
          <w:szCs w:val="24"/>
          <w:lang w:val="en-US" w:eastAsia="zh-CN"/>
        </w:rPr>
        <w:t xml:space="preserve"> and Zhenyu Wang*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kern w:val="2"/>
          <w:sz w:val="21"/>
          <w:szCs w:val="24"/>
          <w:vertAlign w:val="superscript"/>
          <w:lang w:val="en-US" w:eastAsia="zh-CN"/>
        </w:rPr>
        <w:t xml:space="preserve">, </w:t>
      </w:r>
      <w:r>
        <w:rPr>
          <w:rFonts w:hint="eastAsia" w:ascii="Times New Roman" w:hAnsi="Times New Roman"/>
          <w:kern w:val="2"/>
          <w:sz w:val="21"/>
          <w:szCs w:val="24"/>
          <w:vertAlign w:val="superscript"/>
          <w:lang w:val="en-US" w:eastAsia="zh-CN"/>
        </w:rPr>
        <w:t>2</w:t>
      </w:r>
    </w:p>
    <w:p w14:paraId="0A70B3D4">
      <w:pPr>
        <w:spacing w:line="360" w:lineRule="auto"/>
        <w:rPr>
          <w:rFonts w:ascii="Times New Roman" w:hAnsi="Times New Roman"/>
          <w:szCs w:val="24"/>
          <w:shd w:val="clear" w:color="auto" w:fill="FFFFFF"/>
          <w:lang w:val="en-GB"/>
        </w:rPr>
      </w:pP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>1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.</w:t>
      </w: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College of Biomedical Engineering, Chongqing Medical University, Chongqing 400016, P. R. China.</w:t>
      </w:r>
    </w:p>
    <w:p w14:paraId="20AF8843">
      <w:pPr>
        <w:spacing w:line="360" w:lineRule="auto"/>
        <w:rPr>
          <w:rFonts w:ascii="Times New Roman" w:hAnsi="Times New Roman"/>
          <w:szCs w:val="24"/>
          <w:shd w:val="clear" w:color="auto" w:fill="FFFFFF"/>
          <w:lang w:val="en-GB"/>
        </w:rPr>
      </w:pP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>2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.</w:t>
      </w: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State Key Laboratory of Ultrasound in Medicine and Engineering College of Biomedical Engineering, Chongqing Medical University, Chongqing 400016, P. R. China.</w:t>
      </w:r>
    </w:p>
    <w:p w14:paraId="090B2751">
      <w:pPr>
        <w:spacing w:line="360" w:lineRule="auto"/>
        <w:rPr>
          <w:rFonts w:ascii="Times New Roman" w:hAnsi="Times New Roman"/>
          <w:szCs w:val="24"/>
          <w:shd w:val="clear" w:color="auto" w:fill="FFFFFF"/>
          <w:lang w:val="en-GB"/>
        </w:rPr>
      </w:pP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>3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.</w:t>
      </w:r>
      <w:r>
        <w:rPr>
          <w:rFonts w:hint="eastAsia" w:ascii="Times New Roman" w:hAnsi="Times New Roman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szCs w:val="24"/>
          <w:shd w:val="clear" w:color="auto" w:fill="FFFFFF"/>
          <w:lang w:val="en-GB"/>
        </w:rPr>
        <w:t>Key Laboratory of Laboratory Medical Diagnostics, Ministry of Education, Department of Laboratory Medicine, Chongqing Medical Laboratory Microfluidics and SPRi Engineering Research Center, Chongqing Medical University, Chongqing 400016, P. R. China.</w:t>
      </w:r>
    </w:p>
    <w:p w14:paraId="0519AA82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2B914811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2275CA10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592C552A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546A1769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47DDF143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0106C43E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55900F9C">
      <w:pPr>
        <w:spacing w:line="480" w:lineRule="auto"/>
        <w:rPr>
          <w:rFonts w:hint="eastAsia" w:ascii="Times New Roman" w:hAnsi="Times New Roman"/>
          <w:b/>
          <w:sz w:val="24"/>
          <w:szCs w:val="24"/>
          <w:shd w:val="clear" w:color="auto" w:fill="FFFFFF"/>
        </w:rPr>
      </w:pPr>
    </w:p>
    <w:p w14:paraId="2AEB1BDA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hint="eastAsia" w:ascii="Times New Roman" w:hAnsi="Times New Roman"/>
          <w:b/>
          <w:sz w:val="24"/>
          <w:szCs w:val="24"/>
          <w:shd w:val="clear" w:color="auto" w:fill="FFFFFF"/>
        </w:rPr>
        <w:t>Corresponding Author</w:t>
      </w:r>
      <w:r>
        <w:rPr>
          <w:rFonts w:hint="eastAsia" w:ascii="Times New Roman" w:hAnsi="Times New Roman"/>
          <w:sz w:val="24"/>
          <w:szCs w:val="24"/>
          <w:shd w:val="clear" w:color="auto" w:fill="FFFFFF"/>
        </w:rPr>
        <w:t>:</w:t>
      </w:r>
    </w:p>
    <w:p w14:paraId="55EADF68">
      <w:pPr>
        <w:spacing w:line="480" w:lineRule="auto"/>
        <w:rPr>
          <w:rStyle w:val="7"/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/>
          <w:bCs/>
          <w:sz w:val="24"/>
          <w:szCs w:val="24"/>
        </w:rPr>
        <w:t>Xiang Mao</w:t>
      </w:r>
      <w:r>
        <w:rPr>
          <w:rFonts w:hint="eastAsia" w:ascii="Times New Roman" w:hAnsi="Times New Roman"/>
          <w:sz w:val="24"/>
          <w:szCs w:val="24"/>
          <w:shd w:val="clear" w:color="auto" w:fill="FFFFFF"/>
        </w:rPr>
        <w:t xml:space="preserve">: </w:t>
      </w:r>
      <w:r>
        <w:fldChar w:fldCharType="begin"/>
      </w:r>
      <w:r>
        <w:instrText xml:space="preserve"> HYPERLINK "mailto:maox@cqmu.edu.cn" </w:instrText>
      </w:r>
      <w:r>
        <w:fldChar w:fldCharType="separate"/>
      </w:r>
      <w:r>
        <w:rPr>
          <w:rStyle w:val="7"/>
          <w:rFonts w:hint="eastAsia" w:ascii="Times New Roman" w:hAnsi="Times New Roman" w:cs="Times New Roman"/>
          <w:sz w:val="24"/>
          <w:szCs w:val="24"/>
        </w:rPr>
        <w:t>maox@cqmu.edu.cn</w:t>
      </w:r>
      <w:r>
        <w:rPr>
          <w:rStyle w:val="7"/>
          <w:rFonts w:hint="eastAsia" w:ascii="Times New Roman" w:hAnsi="Times New Roman" w:cs="Times New Roman"/>
          <w:sz w:val="24"/>
          <w:szCs w:val="24"/>
        </w:rPr>
        <w:fldChar w:fldCharType="end"/>
      </w:r>
      <w:r>
        <w:rPr>
          <w:rFonts w:hint="eastAsia" w:ascii="Times New Roman" w:hAnsi="Times New Roman" w:cs="Times New Roman"/>
          <w:color w:val="231F20"/>
          <w:sz w:val="24"/>
          <w:szCs w:val="24"/>
        </w:rPr>
        <w:t xml:space="preserve">; </w:t>
      </w:r>
      <w:r>
        <w:rPr>
          <w:rFonts w:ascii="Times New Roman" w:hAnsi="Times New Roman"/>
          <w:bCs/>
          <w:sz w:val="24"/>
          <w:szCs w:val="24"/>
        </w:rPr>
        <w:t>Zhenyu Wang</w:t>
      </w:r>
      <w:r>
        <w:rPr>
          <w:rFonts w:hint="eastAsia"/>
        </w:rPr>
        <w:t xml:space="preserve">: </w:t>
      </w:r>
      <w:r>
        <w:fldChar w:fldCharType="begin"/>
      </w:r>
      <w:r>
        <w:instrText xml:space="preserve"> HYPERLINK "mailto:wangzhenyu@cqmu.edu.cn"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wangzhenyu@cqmu.edu.cn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</w:p>
    <w:p w14:paraId="6071B83C">
      <w:pPr>
        <w:spacing w:line="480" w:lineRule="auto"/>
        <w:rPr>
          <w:rStyle w:val="7"/>
          <w:rFonts w:ascii="Times New Roman" w:hAnsi="Times New Roman" w:cs="Times New Roman"/>
          <w:sz w:val="24"/>
          <w:szCs w:val="24"/>
        </w:rPr>
      </w:pPr>
    </w:p>
    <w:p w14:paraId="34BD428F">
      <w:pPr>
        <w:spacing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A164321">
      <w:pPr>
        <w:widowControl/>
        <w:jc w:val="left"/>
        <w:rPr>
          <w:rFonts w:hint="eastAsia" w:ascii="URWPalladioL-Roma" w:hAnsi="URWPalladioL-Roma"/>
          <w:color w:val="000000"/>
          <w:sz w:val="20"/>
          <w:szCs w:val="20"/>
        </w:rPr>
      </w:pPr>
      <w:r>
        <w:rPr>
          <w:rFonts w:ascii="URWPalladioL-Roma" w:hAnsi="URWPalladioL-Roma"/>
          <w:color w:val="000000"/>
          <w:sz w:val="20"/>
          <w:szCs w:val="20"/>
        </w:rPr>
        <w:drawing>
          <wp:inline distT="0" distB="0" distL="0" distR="0">
            <wp:extent cx="5274310" cy="2579370"/>
            <wp:effectExtent l="0" t="0" r="2540" b="0"/>
            <wp:docPr id="864893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893296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A115F">
      <w:pPr>
        <w:widowControl/>
        <w:spacing w:line="480" w:lineRule="auto"/>
        <w:ind w:firstLine="180" w:firstLineChars="100"/>
        <w:jc w:val="center"/>
        <w:rPr>
          <w:rFonts w:ascii="Times" w:hAnsi="Times" w:cs="Times New Roman"/>
          <w:kern w:val="0"/>
          <w:sz w:val="18"/>
          <w:szCs w:val="18"/>
          <w14:ligatures w14:val="none"/>
        </w:rPr>
      </w:pPr>
      <w:r>
        <w:rPr>
          <w:rFonts w:ascii="Times" w:hAnsi="Times" w:cs="Times New Roman"/>
          <w:b/>
          <w:bCs/>
          <w:kern w:val="0"/>
          <w:sz w:val="18"/>
          <w:szCs w:val="18"/>
          <w14:ligatures w14:val="none"/>
        </w:rPr>
        <w:t>Fig S1.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 xml:space="preserve"> TEM images of (a)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 xml:space="preserve"> and (b)Ag</w:t>
      </w:r>
    </w:p>
    <w:p w14:paraId="7C8D5B19">
      <w:pPr>
        <w:widowControl/>
        <w:spacing w:line="480" w:lineRule="auto"/>
        <w:ind w:firstLine="240" w:firstLineChars="100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0166C58B">
      <w:pPr>
        <w:widowControl/>
        <w:spacing w:line="480" w:lineRule="auto"/>
        <w:ind w:firstLine="240" w:firstLineChars="100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0EFBF60B">
      <w:pPr>
        <w:widowControl/>
        <w:spacing w:line="480" w:lineRule="auto"/>
        <w:ind w:firstLine="240" w:firstLineChars="100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235FD846">
      <w:pPr>
        <w:widowControl/>
        <w:spacing w:line="480" w:lineRule="auto"/>
        <w:ind w:firstLine="240" w:firstLineChars="100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40C15EA5">
      <w:pPr>
        <w:widowControl/>
        <w:spacing w:line="480" w:lineRule="auto"/>
        <w:ind w:firstLine="240" w:firstLineChars="100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6A192ED1">
      <w:pPr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3050540" cy="2491105"/>
            <wp:effectExtent l="0" t="0" r="0" b="4445"/>
            <wp:docPr id="7095048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04811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9" t="8739" r="11700"/>
                    <a:stretch>
                      <a:fillRect/>
                    </a:stretch>
                  </pic:blipFill>
                  <pic:spPr>
                    <a:xfrm>
                      <a:off x="0" y="0"/>
                      <a:ext cx="3063352" cy="25016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608CD">
      <w:pPr>
        <w:widowControl/>
        <w:spacing w:line="480" w:lineRule="auto"/>
        <w:jc w:val="center"/>
        <w:rPr>
          <w:rFonts w:ascii="Times" w:hAnsi="Times" w:cs="Times New Roman"/>
          <w:kern w:val="0"/>
          <w:sz w:val="18"/>
          <w:szCs w:val="18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Fig</w:t>
      </w:r>
      <w:r>
        <w:rPr>
          <w:rFonts w:hint="eastAsia"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S2</w:t>
      </w:r>
      <w:r>
        <w:rPr>
          <w:rFonts w:hint="eastAsia" w:ascii="Times New Roman" w:hAnsi="Times New Roman" w:cs="Times New Roman"/>
          <w:b/>
          <w:bCs/>
          <w:color w:val="000000"/>
          <w:sz w:val="18"/>
          <w:szCs w:val="18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Magnetic properties of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.</w:t>
      </w:r>
    </w:p>
    <w:p w14:paraId="74709CA6">
      <w:pPr>
        <w:widowControl/>
        <w:spacing w:line="480" w:lineRule="auto"/>
        <w:jc w:val="center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061CF8A4">
      <w:pPr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D7C4E">
      <w:pPr>
        <w:widowControl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3701415" cy="3181985"/>
            <wp:effectExtent l="0" t="0" r="13335" b="18415"/>
            <wp:docPr id="1505534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53461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2" t="8074" r="12806" b="3849"/>
                    <a:stretch>
                      <a:fillRect/>
                    </a:stretch>
                  </pic:blipFill>
                  <pic:spPr>
                    <a:xfrm>
                      <a:off x="0" y="0"/>
                      <a:ext cx="3701415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6979">
      <w:pPr>
        <w:widowControl/>
        <w:spacing w:line="240" w:lineRule="auto"/>
        <w:rPr>
          <w:rFonts w:ascii="Times" w:hAnsi="Times" w:cs="Times New Roman"/>
          <w:kern w:val="0"/>
          <w:sz w:val="18"/>
          <w:szCs w:val="18"/>
          <w14:ligatures w14:val="none"/>
        </w:rPr>
      </w:pPr>
      <w:r>
        <w:rPr>
          <w:rFonts w:ascii="Times" w:hAnsi="Times" w:cs="Times New Roman"/>
          <w:b/>
          <w:bCs/>
          <w:kern w:val="0"/>
          <w:sz w:val="24"/>
          <w:szCs w:val="20"/>
          <w14:ligatures w14:val="none"/>
        </w:rPr>
        <w:t>Fig S3</w:t>
      </w:r>
      <w:r>
        <w:rPr>
          <w:rFonts w:hint="eastAsia" w:ascii="Times" w:hAnsi="Times" w:cs="Times New Roman"/>
          <w:kern w:val="0"/>
          <w:sz w:val="24"/>
          <w:szCs w:val="20"/>
          <w14:ligatures w14:val="none"/>
        </w:rPr>
        <w:t>.</w:t>
      </w:r>
      <w:r>
        <w:rPr>
          <w:rFonts w:ascii="Times" w:hAnsi="Times" w:cs="Times New Roman"/>
          <w:kern w:val="0"/>
          <w:sz w:val="24"/>
          <w:szCs w:val="20"/>
          <w14:ligatures w14:val="none"/>
        </w:rPr>
        <w:t xml:space="preserve"> 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Temperature changes of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@Ag@ATP and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@Ag@ICG (200 µg/mL) under 808 nm NIR laser irradiation (1.0 W /cm</w:t>
      </w:r>
      <w:r>
        <w:rPr>
          <w:rFonts w:ascii="Times" w:hAnsi="Times" w:cs="Times New Roman"/>
          <w:kern w:val="0"/>
          <w:sz w:val="18"/>
          <w:szCs w:val="18"/>
          <w:vertAlign w:val="superscript"/>
          <w14:ligatures w14:val="none"/>
        </w:rPr>
        <w:t>2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).</w:t>
      </w:r>
    </w:p>
    <w:p w14:paraId="26F0FCBF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462F6D73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1AB203B4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12650BB1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08184D8C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6270FAF4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3D2D1905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p w14:paraId="270349E7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5E1F327B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420F8066">
      <w:pPr>
        <w:widowControl/>
        <w:jc w:val="left"/>
        <w:rPr>
          <w:rFonts w:hint="eastAsia"/>
        </w:rPr>
      </w:pPr>
    </w:p>
    <w:p w14:paraId="70DFBFB5">
      <w:pPr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4932680" cy="1609725"/>
            <wp:effectExtent l="0" t="0" r="1270" b="0"/>
            <wp:docPr id="1663226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226549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"/>
                    <a:stretch>
                      <a:fillRect/>
                    </a:stretch>
                  </pic:blipFill>
                  <pic:spPr>
                    <a:xfrm>
                      <a:off x="0" y="0"/>
                      <a:ext cx="4933235" cy="160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8760C">
      <w:pPr>
        <w:widowControl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color w:val="000000"/>
          <w:sz w:val="18"/>
          <w:szCs w:val="18"/>
        </w:rPr>
        <w:t>Fig S4.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(a) The oxidation mechanism of TMB；(b) TMB reacts with Fe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3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4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@Ag@ICG@ATP and H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2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2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 xml:space="preserve"> to lose a single electron to produce a blue product.</w:t>
      </w:r>
    </w:p>
    <w:p w14:paraId="3DAE98F5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A546DB0">
      <w:pPr>
        <w:widowControl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3902075" cy="3294380"/>
            <wp:effectExtent l="0" t="0" r="3175" b="1270"/>
            <wp:docPr id="3399663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6636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t="4131"/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DF0B4">
      <w:pPr>
        <w:widowControl/>
        <w:spacing w:line="240" w:lineRule="auto"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color w:val="000000"/>
          <w:sz w:val="18"/>
          <w:szCs w:val="18"/>
        </w:rPr>
        <w:t>Fig S5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.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UV-vis spectra of TMB catalyzed by the Fe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3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4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, Ag, Fe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3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4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 xml:space="preserve"> + Ag, and Fe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3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4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@Ag structures in the presence of H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2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O</w:t>
      </w:r>
      <w:r>
        <w:rPr>
          <w:rFonts w:hint="eastAsia" w:ascii="Times New Roman" w:hAnsi="Times New Roman" w:cs="Times New Roman"/>
          <w:color w:val="000000"/>
          <w:sz w:val="18"/>
          <w:szCs w:val="18"/>
          <w:vertAlign w:val="subscript"/>
        </w:rPr>
        <w:t>2</w:t>
      </w:r>
    </w:p>
    <w:p w14:paraId="01C3709D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1D7B3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6F3A5D79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7F3E5EB7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6C30A24B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7DE9183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76FDC4AA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2AAFAA92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33EB80A7">
      <w:pPr>
        <w:widowControl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926FE11">
      <w:pPr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92700" cy="2072640"/>
            <wp:effectExtent l="0" t="0" r="12700" b="3810"/>
            <wp:docPr id="19612763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276359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6" t="3259" r="4836" b="4488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14EEA">
      <w:pPr>
        <w:widowControl/>
        <w:spacing w:line="240" w:lineRule="auto"/>
        <w:rPr>
          <w:rFonts w:ascii="Times" w:hAnsi="Times" w:cs="Times New Roman"/>
          <w:kern w:val="0"/>
          <w:sz w:val="18"/>
          <w:szCs w:val="18"/>
          <w14:ligatures w14:val="none"/>
        </w:rPr>
      </w:pPr>
      <w:r>
        <w:rPr>
          <w:rFonts w:ascii="Times" w:hAnsi="Times" w:cs="Times New Roman"/>
          <w:b/>
          <w:bCs/>
          <w:kern w:val="0"/>
          <w:sz w:val="18"/>
          <w:szCs w:val="18"/>
          <w14:ligatures w14:val="none"/>
        </w:rPr>
        <w:t>Fig S</w:t>
      </w:r>
      <w:r>
        <w:rPr>
          <w:rFonts w:hint="eastAsia" w:ascii="Times" w:hAnsi="Times" w:cs="Times New Roman"/>
          <w:b/>
          <w:bCs/>
          <w:kern w:val="0"/>
          <w:sz w:val="18"/>
          <w:szCs w:val="18"/>
          <w14:ligatures w14:val="none"/>
        </w:rPr>
        <w:t>6</w:t>
      </w:r>
      <w:r>
        <w:rPr>
          <w:rFonts w:hint="eastAsia" w:ascii="Times" w:hAnsi="Times" w:cs="Times New Roman"/>
          <w:kern w:val="0"/>
          <w:sz w:val="18"/>
          <w:szCs w:val="18"/>
          <w14:ligatures w14:val="none"/>
        </w:rPr>
        <w:t>.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 xml:space="preserve"> (a) UV-Vis absorption spectra of different TMB concentration solutions of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 xml:space="preserve">@Ag@ICG/ATP. (b) UV-Vis absorption spectra of </w:t>
      </w:r>
      <w:r>
        <w:rPr>
          <w:rFonts w:hint="eastAsia" w:ascii="Times" w:hAnsi="Times" w:cs="Times New Roman"/>
          <w:kern w:val="0"/>
          <w:sz w:val="18"/>
          <w:szCs w:val="18"/>
          <w14:ligatures w14:val="none"/>
        </w:rPr>
        <w:t>d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ifferent H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2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2</w:t>
      </w:r>
      <w:r>
        <w:rPr>
          <w:rFonts w:hint="eastAsia" w:ascii="Times" w:hAnsi="Times" w:cs="Times New Roman"/>
          <w:kern w:val="0"/>
          <w:sz w:val="18"/>
          <w:szCs w:val="18"/>
          <w:vertAlign w:val="subscript"/>
          <w14:ligatures w14:val="none"/>
        </w:rPr>
        <w:t xml:space="preserve"> 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concentration solutions of Fe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3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O</w:t>
      </w:r>
      <w:r>
        <w:rPr>
          <w:rFonts w:ascii="Times" w:hAnsi="Times" w:cs="Times New Roman"/>
          <w:kern w:val="0"/>
          <w:sz w:val="18"/>
          <w:szCs w:val="18"/>
          <w:vertAlign w:val="subscript"/>
          <w14:ligatures w14:val="none"/>
        </w:rPr>
        <w:t>4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@Ag@ICG/ATP.</w:t>
      </w:r>
    </w:p>
    <w:p w14:paraId="68348B11">
      <w:pPr>
        <w:widowControl/>
        <w:jc w:val="left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0A111779">
      <w:pPr>
        <w:widowControl/>
        <w:jc w:val="left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26878FD1">
      <w:pPr>
        <w:widowControl/>
        <w:jc w:val="left"/>
        <w:rPr>
          <w:rFonts w:ascii="Times" w:hAnsi="Times" w:cs="Times New Roman"/>
          <w:kern w:val="0"/>
          <w:sz w:val="24"/>
          <w:szCs w:val="20"/>
          <w14:ligatures w14:val="none"/>
        </w:rPr>
      </w:pPr>
    </w:p>
    <w:p w14:paraId="359E1B6C">
      <w:pPr>
        <w:pStyle w:val="4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989195" cy="2134870"/>
            <wp:effectExtent l="0" t="0" r="1905" b="0"/>
            <wp:docPr id="488625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25785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41"/>
                    <a:stretch>
                      <a:fillRect/>
                    </a:stretch>
                  </pic:blipFill>
                  <pic:spPr>
                    <a:xfrm>
                      <a:off x="0" y="0"/>
                      <a:ext cx="5000556" cy="213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0953C">
      <w:pPr>
        <w:pStyle w:val="4"/>
        <w:spacing w:before="0" w:beforeAutospacing="0" w:after="0" w:afterAutospacing="0" w:line="240" w:lineRule="auto"/>
        <w:jc w:val="both"/>
        <w:rPr>
          <w:rFonts w:ascii="Times" w:hAnsi="Times" w:cs="Times New Roman" w:eastAsiaTheme="minorEastAsia"/>
          <w:sz w:val="18"/>
          <w:szCs w:val="18"/>
        </w:rPr>
      </w:pPr>
      <w:r>
        <w:rPr>
          <w:rFonts w:ascii="Times" w:hAnsi="Times" w:cs="Times New Roman" w:eastAsiaTheme="minorEastAsia"/>
          <w:b/>
          <w:bCs/>
          <w:sz w:val="18"/>
          <w:szCs w:val="18"/>
        </w:rPr>
        <w:t>Fig S</w:t>
      </w:r>
      <w:r>
        <w:rPr>
          <w:rFonts w:hint="eastAsia" w:ascii="Times" w:hAnsi="Times" w:cs="Times New Roman" w:eastAsiaTheme="minorEastAsia"/>
          <w:b/>
          <w:bCs/>
          <w:sz w:val="18"/>
          <w:szCs w:val="18"/>
        </w:rPr>
        <w:t>7</w:t>
      </w:r>
      <w:r>
        <w:rPr>
          <w:rFonts w:hint="eastAsia" w:ascii="Times" w:hAnsi="Times" w:cs="Times New Roman" w:eastAsiaTheme="minorEastAsia"/>
          <w:sz w:val="18"/>
          <w:szCs w:val="18"/>
        </w:rPr>
        <w:t xml:space="preserve">. </w:t>
      </w:r>
      <w:r>
        <w:rPr>
          <w:rFonts w:ascii="Times" w:hAnsi="Times" w:cs="Times New Roman" w:eastAsiaTheme="minorEastAsia"/>
          <w:sz w:val="18"/>
          <w:szCs w:val="18"/>
        </w:rPr>
        <w:t>(a) Normalized absorbances (417 nm) of PBS,</w:t>
      </w:r>
      <w:r>
        <w:rPr>
          <w:rFonts w:hint="eastAsia" w:ascii="Times" w:hAnsi="Times" w:cs="Times New Roman" w:eastAsiaTheme="minorEastAsia"/>
          <w:sz w:val="18"/>
          <w:szCs w:val="18"/>
        </w:rPr>
        <w:t xml:space="preserve"> </w:t>
      </w:r>
      <w:r>
        <w:rPr>
          <w:rFonts w:ascii="Times" w:hAnsi="Times" w:cs="Times New Roman" w:eastAsiaTheme="minorEastAsia"/>
          <w:sz w:val="18"/>
          <w:szCs w:val="18"/>
        </w:rPr>
        <w:t>Fe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3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4</w:t>
      </w:r>
      <w:r>
        <w:rPr>
          <w:rFonts w:ascii="Times" w:hAnsi="Times" w:cs="Times New Roman" w:eastAsiaTheme="minorEastAsia"/>
          <w:sz w:val="18"/>
          <w:szCs w:val="18"/>
        </w:rPr>
        <w:t>@Ag@ATP, Fe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3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4</w:t>
      </w:r>
      <w:r>
        <w:rPr>
          <w:rFonts w:ascii="Times" w:hAnsi="Times" w:cs="Times New Roman" w:eastAsiaTheme="minorEastAsia"/>
          <w:sz w:val="18"/>
          <w:szCs w:val="18"/>
        </w:rPr>
        <w:t>@Ag@ICG/ATP, Fe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3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4</w:t>
      </w:r>
      <w:r>
        <w:rPr>
          <w:rFonts w:ascii="Times" w:hAnsi="Times" w:cs="Times New Roman" w:eastAsiaTheme="minorEastAsia"/>
          <w:sz w:val="18"/>
          <w:szCs w:val="18"/>
        </w:rPr>
        <w:t>@Ag@ICG/ATP+ H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2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2</w:t>
      </w:r>
      <w:r>
        <w:rPr>
          <w:rFonts w:ascii="Times" w:hAnsi="Times" w:cs="Times New Roman" w:eastAsiaTheme="minorEastAsia"/>
          <w:sz w:val="18"/>
          <w:szCs w:val="18"/>
        </w:rPr>
        <w:t xml:space="preserve"> reacting with DPBF under both NIR and US irradiation for 5 min. (b) Normalized absorbances (417 nm) of Fe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3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4</w:t>
      </w:r>
      <w:r>
        <w:rPr>
          <w:rFonts w:ascii="Times" w:hAnsi="Times" w:cs="Times New Roman" w:eastAsiaTheme="minorEastAsia"/>
          <w:sz w:val="18"/>
          <w:szCs w:val="18"/>
        </w:rPr>
        <w:t xml:space="preserve">@Ag@ICG/ATP reacting with DPBF under US irradiation, under NIR irradiation, under both NIR and US irradiation for 5 min. </w:t>
      </w:r>
    </w:p>
    <w:p w14:paraId="1F6AB69D">
      <w:pPr>
        <w:pStyle w:val="4"/>
        <w:spacing w:before="0" w:beforeAutospacing="0" w:after="0" w:afterAutospacing="0" w:line="240" w:lineRule="auto"/>
        <w:jc w:val="both"/>
        <w:rPr>
          <w:rFonts w:ascii="Times" w:hAnsi="Times" w:cs="Times New Roman" w:eastAsiaTheme="minorEastAsia"/>
          <w:sz w:val="18"/>
          <w:szCs w:val="18"/>
        </w:rPr>
      </w:pPr>
    </w:p>
    <w:p w14:paraId="179ABDD4">
      <w:pPr>
        <w:pStyle w:val="4"/>
        <w:spacing w:before="0" w:beforeAutospacing="0" w:after="0" w:afterAutospacing="0" w:line="240" w:lineRule="auto"/>
        <w:jc w:val="both"/>
        <w:rPr>
          <w:rFonts w:ascii="Times" w:hAnsi="Times" w:cs="Times New Roman" w:eastAsiaTheme="minorEastAsia"/>
          <w:sz w:val="18"/>
          <w:szCs w:val="18"/>
        </w:rPr>
      </w:pPr>
    </w:p>
    <w:p w14:paraId="1E28C8D1">
      <w:pPr>
        <w:pStyle w:val="4"/>
        <w:spacing w:before="0" w:beforeAutospacing="0" w:after="0" w:afterAutospacing="0" w:line="240" w:lineRule="auto"/>
        <w:jc w:val="both"/>
        <w:rPr>
          <w:rFonts w:ascii="Times" w:hAnsi="Times" w:cs="Times New Roman" w:eastAsiaTheme="minorEastAsia"/>
          <w:sz w:val="18"/>
          <w:szCs w:val="18"/>
        </w:rPr>
      </w:pPr>
    </w:p>
    <w:p w14:paraId="28936508">
      <w:pPr>
        <w:pStyle w:val="4"/>
        <w:spacing w:before="0" w:beforeAutospacing="0" w:after="0" w:afterAutospacing="0" w:line="240" w:lineRule="auto"/>
        <w:jc w:val="both"/>
        <w:rPr>
          <w:rFonts w:ascii="Times" w:hAnsi="Times" w:cs="Times New Roman" w:eastAsiaTheme="minorEastAsia"/>
          <w:sz w:val="18"/>
          <w:szCs w:val="18"/>
        </w:rPr>
      </w:pPr>
    </w:p>
    <w:p w14:paraId="3B06690F">
      <w:pPr>
        <w:widowControl/>
        <w:jc w:val="center"/>
        <w:rPr>
          <w:rFonts w:hint="eastAsia"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5274310" cy="4064635"/>
            <wp:effectExtent l="0" t="0" r="2540" b="0"/>
            <wp:docPr id="151741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187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0D85">
      <w:pPr>
        <w:pStyle w:val="4"/>
        <w:spacing w:before="0" w:beforeAutospacing="0" w:after="0" w:afterAutospacing="0" w:line="240" w:lineRule="auto"/>
        <w:jc w:val="both"/>
        <w:rPr>
          <w:rFonts w:hint="eastAsia" w:ascii="Times" w:hAnsi="Times" w:cs="Times New Roman" w:eastAsiaTheme="minorEastAsia"/>
          <w:sz w:val="18"/>
          <w:szCs w:val="18"/>
        </w:rPr>
      </w:pPr>
      <w:r>
        <w:rPr>
          <w:rFonts w:ascii="Times" w:hAnsi="Times" w:cs="Times New Roman" w:eastAsiaTheme="minorEastAsia"/>
          <w:b/>
          <w:bCs/>
          <w:sz w:val="18"/>
          <w:szCs w:val="18"/>
        </w:rPr>
        <w:t>Fig S</w:t>
      </w:r>
      <w:r>
        <w:rPr>
          <w:rFonts w:hint="eastAsia" w:ascii="Times" w:hAnsi="Times" w:cs="Times New Roman" w:eastAsiaTheme="minorEastAsia"/>
          <w:b/>
          <w:bCs/>
          <w:sz w:val="18"/>
          <w:szCs w:val="18"/>
        </w:rPr>
        <w:t>8</w:t>
      </w:r>
      <w:r>
        <w:rPr>
          <w:rFonts w:hint="eastAsia" w:ascii="Times" w:hAnsi="Times" w:cs="Times New Roman" w:eastAsiaTheme="minorEastAsia"/>
          <w:sz w:val="18"/>
          <w:szCs w:val="18"/>
        </w:rPr>
        <w:t>.</w:t>
      </w:r>
      <w:r>
        <w:rPr>
          <w:rFonts w:ascii="Times" w:hAnsi="Times" w:cs="Times New Roman" w:eastAsiaTheme="minorEastAsia"/>
          <w:sz w:val="18"/>
          <w:szCs w:val="18"/>
        </w:rPr>
        <w:t xml:space="preserve"> (a) The pictures of E. coli and S. aureus colonies on agar plates after treatments with different concentrations of H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2</w:t>
      </w:r>
      <w:r>
        <w:rPr>
          <w:rFonts w:ascii="Times" w:hAnsi="Times" w:cs="Times New Roman" w:eastAsiaTheme="minorEastAsia"/>
          <w:sz w:val="18"/>
          <w:szCs w:val="18"/>
        </w:rPr>
        <w:t>O</w:t>
      </w:r>
      <w:r>
        <w:rPr>
          <w:rFonts w:ascii="Times" w:hAnsi="Times" w:cs="Times New Roman" w:eastAsiaTheme="minorEastAsia"/>
          <w:sz w:val="18"/>
          <w:szCs w:val="18"/>
          <w:vertAlign w:val="subscript"/>
        </w:rPr>
        <w:t>2</w:t>
      </w:r>
      <w:r>
        <w:rPr>
          <w:rFonts w:ascii="Times" w:hAnsi="Times" w:cs="Times New Roman" w:eastAsiaTheme="minorEastAsia"/>
          <w:sz w:val="18"/>
          <w:szCs w:val="18"/>
        </w:rPr>
        <w:t>. The corresponding viabilities of (b) E. coli and (</w:t>
      </w:r>
      <w:r>
        <w:rPr>
          <w:rFonts w:hint="eastAsia" w:ascii="Times" w:hAnsi="Times" w:cs="Times New Roman" w:eastAsiaTheme="minorEastAsia"/>
          <w:sz w:val="18"/>
          <w:szCs w:val="18"/>
        </w:rPr>
        <w:t>c</w:t>
      </w:r>
      <w:r>
        <w:rPr>
          <w:rFonts w:ascii="Times" w:hAnsi="Times" w:cs="Times New Roman" w:eastAsiaTheme="minorEastAsia"/>
          <w:sz w:val="18"/>
          <w:szCs w:val="18"/>
        </w:rPr>
        <w:t>) S. aureus from the data in (a).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 xml:space="preserve"> The data are expressed as means ± SD (n = 3). *</w:t>
      </w:r>
      <w:r>
        <w:rPr>
          <w:rFonts w:ascii="Times New Roman" w:hAnsi="Times New Roman" w:cs="Times New Roman"/>
          <w:i/>
          <w:iCs/>
          <w:kern w:val="44"/>
          <w:sz w:val="18"/>
          <w:szCs w:val="18"/>
          <w:lang w:val="en-GB"/>
        </w:rPr>
        <w:t>p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>&lt;0.05</w:t>
      </w:r>
      <w:r>
        <w:rPr>
          <w:rFonts w:hint="eastAsia" w:ascii="Times New Roman" w:hAnsi="Times New Roman" w:cs="Times New Roman"/>
          <w:kern w:val="44"/>
          <w:sz w:val="18"/>
          <w:szCs w:val="18"/>
          <w:lang w:val="en-GB"/>
        </w:rPr>
        <w:t xml:space="preserve">, 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>*</w:t>
      </w:r>
      <w:r>
        <w:rPr>
          <w:rFonts w:ascii="Times New Roman" w:hAnsi="Times New Roman" w:cs="Times New Roman"/>
          <w:i/>
          <w:iCs/>
          <w:kern w:val="44"/>
          <w:sz w:val="18"/>
          <w:szCs w:val="18"/>
          <w:lang w:val="en-GB"/>
        </w:rPr>
        <w:t>p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>&lt;0.0</w:t>
      </w:r>
      <w:r>
        <w:rPr>
          <w:rFonts w:hint="eastAsia" w:ascii="Times New Roman" w:hAnsi="Times New Roman" w:cs="Times New Roman"/>
          <w:kern w:val="44"/>
          <w:sz w:val="18"/>
          <w:szCs w:val="18"/>
          <w:lang w:val="en-GB"/>
        </w:rPr>
        <w:t>1.</w:t>
      </w:r>
    </w:p>
    <w:p w14:paraId="4238A8E3">
      <w:pPr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A23E9C">
      <w:pPr>
        <w:widowControl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4034790" cy="3952240"/>
            <wp:effectExtent l="0" t="0" r="3810" b="10160"/>
            <wp:docPr id="9667649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64979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26"/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1E10B">
      <w:pPr>
        <w:spacing w:line="240" w:lineRule="auto"/>
        <w:jc w:val="left"/>
        <w:rPr>
          <w:rFonts w:ascii="Times New Roman" w:hAnsi="Times New Roman" w:cs="Times New Roman"/>
          <w:kern w:val="44"/>
          <w:sz w:val="18"/>
          <w:szCs w:val="18"/>
          <w:lang w:val="en-GB"/>
        </w:rPr>
      </w:pPr>
      <w:r>
        <w:rPr>
          <w:rFonts w:ascii="Times" w:hAnsi="Times" w:cs="Times New Roman"/>
          <w:b/>
          <w:bCs/>
          <w:kern w:val="0"/>
          <w:sz w:val="18"/>
          <w:szCs w:val="18"/>
          <w14:ligatures w14:val="none"/>
        </w:rPr>
        <w:t>Fig S</w:t>
      </w:r>
      <w:r>
        <w:rPr>
          <w:rFonts w:hint="eastAsia" w:ascii="Times" w:hAnsi="Times" w:cs="Times New Roman"/>
          <w:b/>
          <w:bCs/>
          <w:kern w:val="0"/>
          <w:sz w:val="18"/>
          <w:szCs w:val="18"/>
          <w14:ligatures w14:val="none"/>
        </w:rPr>
        <w:t>9</w:t>
      </w:r>
      <w:r>
        <w:rPr>
          <w:rFonts w:hint="eastAsia" w:ascii="Times" w:hAnsi="Times" w:cs="Times New Roman"/>
          <w:kern w:val="0"/>
          <w:sz w:val="18"/>
          <w:szCs w:val="18"/>
          <w14:ligatures w14:val="none"/>
        </w:rPr>
        <w:t>.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 xml:space="preserve">(a) The pictures of E. coli and S. aureus colonies on agar plates after </w:t>
      </w:r>
      <w:bookmarkStart w:id="0" w:name="_Hlk169805671"/>
      <w:r>
        <w:rPr>
          <w:rFonts w:ascii="Times" w:hAnsi="Times" w:cs="Times New Roman"/>
          <w:kern w:val="0"/>
          <w:sz w:val="18"/>
          <w:szCs w:val="18"/>
          <w14:ligatures w14:val="none"/>
        </w:rPr>
        <w:t>different treatments</w:t>
      </w:r>
      <w:bookmarkEnd w:id="0"/>
      <w:r>
        <w:rPr>
          <w:rFonts w:ascii="Times" w:hAnsi="Times" w:cs="Times New Roman"/>
          <w:kern w:val="0"/>
          <w:sz w:val="18"/>
          <w:szCs w:val="18"/>
          <w14:ligatures w14:val="none"/>
        </w:rPr>
        <w:t>. The corresponding viabilities of (b) E. coli and (</w:t>
      </w:r>
      <w:r>
        <w:rPr>
          <w:rFonts w:hint="eastAsia" w:ascii="Times" w:hAnsi="Times" w:cs="Times New Roman"/>
          <w:kern w:val="0"/>
          <w:sz w:val="18"/>
          <w:szCs w:val="18"/>
          <w14:ligatures w14:val="none"/>
        </w:rPr>
        <w:t>c</w:t>
      </w:r>
      <w:r>
        <w:rPr>
          <w:rFonts w:ascii="Times" w:hAnsi="Times" w:cs="Times New Roman"/>
          <w:kern w:val="0"/>
          <w:sz w:val="18"/>
          <w:szCs w:val="18"/>
          <w14:ligatures w14:val="none"/>
        </w:rPr>
        <w:t>) S. aureus from the data in (a).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 xml:space="preserve"> The data are expressed as means ± SD (n = 3).</w:t>
      </w:r>
    </w:p>
    <w:p w14:paraId="4A4BFCC2">
      <w:pPr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drawing>
          <wp:inline distT="0" distB="0" distL="0" distR="0">
            <wp:extent cx="4366895" cy="3477895"/>
            <wp:effectExtent l="0" t="0" r="0" b="0"/>
            <wp:docPr id="1253022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022701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85"/>
                    <a:stretch>
                      <a:fillRect/>
                    </a:stretch>
                  </pic:blipFill>
                  <pic:spPr>
                    <a:xfrm>
                      <a:off x="0" y="0"/>
                      <a:ext cx="4366895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FF210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Fig</w:t>
      </w:r>
      <w:r>
        <w:rPr>
          <w:rFonts w:hint="eastAsia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hint="eastAsia" w:ascii="Times New Roman" w:hAnsi="Times New Roman" w:cs="Times New Roman"/>
          <w:b/>
          <w:bCs/>
          <w:color w:val="000000"/>
          <w:sz w:val="18"/>
          <w:szCs w:val="18"/>
        </w:rPr>
        <w:t>10.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(a) The pictures of E. coli and S. aureus colonies on agar plates after different treatments. The corresponding viabilities of (b) E. coli and (</w:t>
      </w:r>
      <w:r>
        <w:rPr>
          <w:rFonts w:hint="eastAsia" w:ascii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hAnsi="Times New Roman" w:cs="Times New Roman"/>
          <w:color w:val="000000"/>
          <w:sz w:val="18"/>
          <w:szCs w:val="18"/>
        </w:rPr>
        <w:t>) S. aureus from the data in (a).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 xml:space="preserve"> The data are expressed as means ± SD (n = 3). *</w:t>
      </w:r>
      <w:r>
        <w:rPr>
          <w:rFonts w:ascii="Times New Roman" w:hAnsi="Times New Roman" w:cs="Times New Roman"/>
          <w:i/>
          <w:iCs/>
          <w:kern w:val="44"/>
          <w:sz w:val="18"/>
          <w:szCs w:val="18"/>
          <w:lang w:val="en-GB"/>
        </w:rPr>
        <w:t>p</w:t>
      </w:r>
      <w:r>
        <w:rPr>
          <w:rFonts w:ascii="Times New Roman" w:hAnsi="Times New Roman" w:cs="Times New Roman"/>
          <w:kern w:val="44"/>
          <w:sz w:val="18"/>
          <w:szCs w:val="18"/>
          <w:lang w:val="en-GB"/>
        </w:rPr>
        <w:t>&lt;0.05.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URWPalladioL-Rom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31"/>
    <w:rsid w:val="000063E4"/>
    <w:rsid w:val="00030E0B"/>
    <w:rsid w:val="000A4633"/>
    <w:rsid w:val="000C7327"/>
    <w:rsid w:val="000E5309"/>
    <w:rsid w:val="000F638E"/>
    <w:rsid w:val="00122526"/>
    <w:rsid w:val="001437C0"/>
    <w:rsid w:val="001532CD"/>
    <w:rsid w:val="0016413C"/>
    <w:rsid w:val="00194BBA"/>
    <w:rsid w:val="001B079A"/>
    <w:rsid w:val="001E3CAE"/>
    <w:rsid w:val="00203F24"/>
    <w:rsid w:val="00231844"/>
    <w:rsid w:val="00253625"/>
    <w:rsid w:val="00263C47"/>
    <w:rsid w:val="002661E7"/>
    <w:rsid w:val="00277877"/>
    <w:rsid w:val="002919A2"/>
    <w:rsid w:val="00301595"/>
    <w:rsid w:val="003018D9"/>
    <w:rsid w:val="00331249"/>
    <w:rsid w:val="0033220C"/>
    <w:rsid w:val="00366A6E"/>
    <w:rsid w:val="0038035D"/>
    <w:rsid w:val="003A0936"/>
    <w:rsid w:val="003B5FBA"/>
    <w:rsid w:val="003C45C6"/>
    <w:rsid w:val="003D12AA"/>
    <w:rsid w:val="003D1D90"/>
    <w:rsid w:val="003D3786"/>
    <w:rsid w:val="0048155A"/>
    <w:rsid w:val="004861A6"/>
    <w:rsid w:val="004A6DE3"/>
    <w:rsid w:val="004B31CC"/>
    <w:rsid w:val="004B5EA1"/>
    <w:rsid w:val="004D409A"/>
    <w:rsid w:val="004E0CDC"/>
    <w:rsid w:val="00523C3A"/>
    <w:rsid w:val="00536604"/>
    <w:rsid w:val="005443DC"/>
    <w:rsid w:val="00545EA6"/>
    <w:rsid w:val="00580121"/>
    <w:rsid w:val="005B4C29"/>
    <w:rsid w:val="005E7A92"/>
    <w:rsid w:val="005F67F6"/>
    <w:rsid w:val="00615A5A"/>
    <w:rsid w:val="00650BB2"/>
    <w:rsid w:val="00651538"/>
    <w:rsid w:val="006A52B6"/>
    <w:rsid w:val="006C1674"/>
    <w:rsid w:val="006C601C"/>
    <w:rsid w:val="006D2A74"/>
    <w:rsid w:val="00723B85"/>
    <w:rsid w:val="0075105B"/>
    <w:rsid w:val="00796A86"/>
    <w:rsid w:val="007A6504"/>
    <w:rsid w:val="007B73C0"/>
    <w:rsid w:val="007F3C1B"/>
    <w:rsid w:val="0080206A"/>
    <w:rsid w:val="00821EED"/>
    <w:rsid w:val="00831B33"/>
    <w:rsid w:val="00833A15"/>
    <w:rsid w:val="00865060"/>
    <w:rsid w:val="00876131"/>
    <w:rsid w:val="008C256F"/>
    <w:rsid w:val="008D4B2A"/>
    <w:rsid w:val="00930611"/>
    <w:rsid w:val="00990F45"/>
    <w:rsid w:val="00A15A72"/>
    <w:rsid w:val="00A604F9"/>
    <w:rsid w:val="00A76293"/>
    <w:rsid w:val="00A96699"/>
    <w:rsid w:val="00AA0D3F"/>
    <w:rsid w:val="00AA5097"/>
    <w:rsid w:val="00AB0402"/>
    <w:rsid w:val="00AC2DF4"/>
    <w:rsid w:val="00AC4456"/>
    <w:rsid w:val="00AD6831"/>
    <w:rsid w:val="00AE6D6D"/>
    <w:rsid w:val="00AF6745"/>
    <w:rsid w:val="00B1184C"/>
    <w:rsid w:val="00B2643D"/>
    <w:rsid w:val="00B3657E"/>
    <w:rsid w:val="00B9743D"/>
    <w:rsid w:val="00BD7363"/>
    <w:rsid w:val="00BF5C62"/>
    <w:rsid w:val="00C25E41"/>
    <w:rsid w:val="00C42837"/>
    <w:rsid w:val="00C44A31"/>
    <w:rsid w:val="00C775E8"/>
    <w:rsid w:val="00C82B05"/>
    <w:rsid w:val="00C8373C"/>
    <w:rsid w:val="00CB460C"/>
    <w:rsid w:val="00D037BC"/>
    <w:rsid w:val="00D43C1E"/>
    <w:rsid w:val="00D933DF"/>
    <w:rsid w:val="00DE4E91"/>
    <w:rsid w:val="00E42E8E"/>
    <w:rsid w:val="00E44475"/>
    <w:rsid w:val="00E53685"/>
    <w:rsid w:val="00E66CF0"/>
    <w:rsid w:val="00E91104"/>
    <w:rsid w:val="00EC210F"/>
    <w:rsid w:val="00EF75CC"/>
    <w:rsid w:val="00F152B5"/>
    <w:rsid w:val="00F24123"/>
    <w:rsid w:val="00F42692"/>
    <w:rsid w:val="00F57CD9"/>
    <w:rsid w:val="00F71C27"/>
    <w:rsid w:val="00F82CC6"/>
    <w:rsid w:val="00F90480"/>
    <w:rsid w:val="00F905E9"/>
    <w:rsid w:val="0A89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1">
    <w:name w:val="BA_Title"/>
    <w:basedOn w:val="1"/>
    <w:next w:val="1"/>
    <w:uiPriority w:val="0"/>
    <w:pPr>
      <w:widowControl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  <w14:ligatures w14:val="none"/>
    </w:rPr>
  </w:style>
  <w:style w:type="paragraph" w:customStyle="1" w:styleId="12">
    <w:name w:val="RSC B01 ART Abstract"/>
    <w:basedOn w:val="1"/>
    <w:link w:val="13"/>
    <w:qFormat/>
    <w:uiPriority w:val="0"/>
    <w:pPr>
      <w:widowControl/>
      <w:spacing w:after="200" w:line="240" w:lineRule="exact"/>
    </w:pPr>
    <w:rPr>
      <w:kern w:val="0"/>
      <w:sz w:val="16"/>
      <w:lang w:val="en-GB" w:eastAsia="en-GB"/>
      <w14:ligatures w14:val="none"/>
    </w:rPr>
  </w:style>
  <w:style w:type="character" w:customStyle="1" w:styleId="13">
    <w:name w:val="RSC B01 ART Abstract Char"/>
    <w:basedOn w:val="6"/>
    <w:link w:val="12"/>
    <w:qFormat/>
    <w:uiPriority w:val="0"/>
    <w:rPr>
      <w:kern w:val="0"/>
      <w:sz w:val="16"/>
      <w:lang w:val="en-GB" w:eastAsia="en-GB"/>
      <w14:ligatures w14:val="none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410</Words>
  <Characters>2220</Characters>
  <Lines>20</Lines>
  <Paragraphs>5</Paragraphs>
  <TotalTime>4</TotalTime>
  <ScaleCrop>false</ScaleCrop>
  <LinksUpToDate>false</LinksUpToDate>
  <CharactersWithSpaces>2614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2024-05-29T09:03:00Z</dcterms:created>
  <dc:creator>青 吴</dc:creator>
  <cp:lastModifiedBy>Administrator</cp:lastModifiedBy>
  <dcterms:modified xsi:type="dcterms:W3CDTF">2024-11-30T02:14:49Z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2ACED35ACD154F9384980D685971D31C_12</vt:lpwstr>
  </property>
</Properties>
</file>