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41532" w14:textId="77777777" w:rsidR="00411FF5" w:rsidRPr="00FD2CDD" w:rsidRDefault="00411FF5" w:rsidP="00411FF5">
      <w:pPr>
        <w:spacing w:line="480" w:lineRule="auto"/>
        <w:outlineLvl w:val="0"/>
        <w:rPr>
          <w:rFonts w:ascii="Times New Roman" w:hAnsi="Times New Roman"/>
          <w:b/>
          <w:color w:val="000000" w:themeColor="text1"/>
        </w:rPr>
      </w:pPr>
      <w:r w:rsidRPr="00FD2CDD">
        <w:rPr>
          <w:rFonts w:ascii="Times New Roman" w:hAnsi="Times New Roman"/>
          <w:b/>
          <w:color w:val="000000" w:themeColor="text1"/>
        </w:rPr>
        <w:t xml:space="preserve">Supplemental information on virtual time-to-contact (VTC) calculations  </w:t>
      </w:r>
    </w:p>
    <w:p w14:paraId="66CDEC43" w14:textId="77777777" w:rsidR="00411FF5" w:rsidRPr="00FD2CDD" w:rsidRDefault="00411FF5" w:rsidP="00411FF5">
      <w:pPr>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VTC was quantified by examining the spatiotemporal relationship between the COP time series derived from each trial and each child’s own postural limitation boundary. The VTC (</w:t>
      </w:r>
      <w:r w:rsidRPr="00FD2CDD">
        <w:rPr>
          <w:rFonts w:ascii="Times New Roman" w:hAnsi="Times New Roman"/>
          <w:color w:val="000000" w:themeColor="text1"/>
        </w:rPr>
        <w:sym w:font="Symbol" w:char="F077"/>
      </w:r>
      <w:r w:rsidRPr="00FD2CDD">
        <w:rPr>
          <w:rFonts w:ascii="Times New Roman" w:hAnsi="Times New Roman"/>
          <w:color w:val="000000" w:themeColor="text1"/>
        </w:rPr>
        <w:t>)</w:t>
      </w:r>
      <w:r w:rsidRPr="00FD2CDD">
        <w:rPr>
          <w:rFonts w:ascii="Times New Roman" w:hAnsi="Times New Roman"/>
          <w:color w:val="000000" w:themeColor="text1"/>
          <w:vertAlign w:val="subscript"/>
        </w:rPr>
        <w:t>Spatial</w:t>
      </w:r>
      <w:r w:rsidRPr="00FD2CDD">
        <w:rPr>
          <w:rFonts w:ascii="Times New Roman" w:hAnsi="Times New Roman"/>
          <w:color w:val="000000" w:themeColor="text1"/>
        </w:rPr>
        <w:t xml:space="preserve"> represents the location that a specific COP data point would contact with the postural limitation boundary if the data point were to move from its current location on its real trajectory with its instantaneous initial velocity and constant acceleration. The VTC (</w:t>
      </w:r>
      <w:r w:rsidRPr="00FD2CDD">
        <w:rPr>
          <w:rFonts w:ascii="Times New Roman" w:hAnsi="Times New Roman"/>
          <w:color w:val="000000" w:themeColor="text1"/>
        </w:rPr>
        <w:sym w:font="Symbol" w:char="F074"/>
      </w:r>
      <w:r w:rsidRPr="00FD2CDD">
        <w:rPr>
          <w:rFonts w:ascii="Times New Roman" w:hAnsi="Times New Roman"/>
          <w:color w:val="000000" w:themeColor="text1"/>
        </w:rPr>
        <w:t>)</w:t>
      </w:r>
      <w:r w:rsidRPr="00FD2CDD">
        <w:rPr>
          <w:rFonts w:ascii="Times New Roman" w:hAnsi="Times New Roman"/>
          <w:color w:val="000000" w:themeColor="text1"/>
          <w:vertAlign w:val="subscript"/>
        </w:rPr>
        <w:t>Temporal</w:t>
      </w:r>
      <w:r w:rsidRPr="00FD2CDD">
        <w:rPr>
          <w:rFonts w:ascii="Times New Roman" w:hAnsi="Times New Roman"/>
          <w:color w:val="000000" w:themeColor="text1"/>
        </w:rPr>
        <w:t xml:space="preserve"> was defined as the time it would take for the same COP data point to reach the specific stability boundary location [21-23]. </w:t>
      </w:r>
    </w:p>
    <w:p w14:paraId="04EDC306" w14:textId="77777777" w:rsidR="00411FF5" w:rsidRPr="00FD2CDD" w:rsidRDefault="00411FF5" w:rsidP="00411FF5">
      <w:pPr>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To calculate VTC (</w:t>
      </w:r>
      <w:r w:rsidRPr="00FD2CDD">
        <w:rPr>
          <w:rFonts w:ascii="Times New Roman" w:hAnsi="Times New Roman"/>
          <w:color w:val="000000" w:themeColor="text1"/>
        </w:rPr>
        <w:sym w:font="Symbol" w:char="F074"/>
      </w:r>
      <w:r w:rsidRPr="00FD2CDD">
        <w:rPr>
          <w:rFonts w:ascii="Times New Roman" w:hAnsi="Times New Roman"/>
          <w:color w:val="000000" w:themeColor="text1"/>
        </w:rPr>
        <w:t>)</w:t>
      </w:r>
      <w:r w:rsidRPr="00FD2CDD">
        <w:rPr>
          <w:rFonts w:ascii="Times New Roman" w:hAnsi="Times New Roman"/>
          <w:color w:val="000000" w:themeColor="text1"/>
          <w:vertAlign w:val="subscript"/>
        </w:rPr>
        <w:t>Temporal</w:t>
      </w:r>
      <w:r w:rsidRPr="00FD2CDD">
        <w:rPr>
          <w:rFonts w:ascii="Times New Roman" w:hAnsi="Times New Roman"/>
          <w:color w:val="000000" w:themeColor="text1"/>
        </w:rPr>
        <w:t xml:space="preserve"> for each instantaneously measured COP data point, the real time was stopped at a current moment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oMath>
      <w:r w:rsidRPr="00FD2CDD">
        <w:rPr>
          <w:rFonts w:ascii="Times New Roman" w:hAnsi="Times New Roman"/>
          <w:color w:val="000000" w:themeColor="text1"/>
        </w:rPr>
        <w:t xml:space="preserve">) and the virtual motion of the data point with its constant acceleration was simulated. According to Newton’s second law, the resultant force as well as the acceleration </w:t>
      </w:r>
      <m:oMath>
        <m:acc>
          <m:accPr>
            <m:chr m:val="⃗"/>
            <m:ctrlPr>
              <w:rPr>
                <w:rFonts w:ascii="Cambria Math" w:hAnsi="Cambria Math"/>
                <w:i/>
                <w:color w:val="000000" w:themeColor="text1"/>
              </w:rPr>
            </m:ctrlPr>
          </m:accPr>
          <m:e>
            <m:r>
              <w:rPr>
                <w:rFonts w:ascii="Cambria Math" w:hAnsi="Cambria Math"/>
                <w:color w:val="000000" w:themeColor="text1"/>
              </w:rPr>
              <m:t>a</m:t>
            </m:r>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oMath>
      <w:r w:rsidRPr="00FD2CDD">
        <w:rPr>
          <w:rFonts w:ascii="Times New Roman" w:hAnsi="Times New Roman"/>
          <w:color w:val="000000" w:themeColor="text1"/>
        </w:rPr>
        <w:t xml:space="preserve"> were considered to be constant while the COP data point was moving along its virtual trajectory from its initial position </w:t>
      </w:r>
      <m:oMath>
        <m:acc>
          <m:accPr>
            <m:chr m:val="⃗"/>
            <m:ctrlPr>
              <w:rPr>
                <w:rFonts w:ascii="Cambria Math" w:hAnsi="Cambria Math"/>
                <w:i/>
                <w:color w:val="000000" w:themeColor="text1"/>
              </w:rPr>
            </m:ctrlPr>
          </m:accPr>
          <m:e>
            <m:r>
              <w:rPr>
                <w:rFonts w:ascii="Cambria Math" w:hAnsi="Cambria Math"/>
                <w:color w:val="000000" w:themeColor="text1"/>
              </w:rPr>
              <m:t>r</m:t>
            </m:r>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oMath>
      <w:r w:rsidRPr="00FD2CDD">
        <w:rPr>
          <w:rFonts w:ascii="Times New Roman" w:hAnsi="Times New Roman"/>
          <w:color w:val="000000" w:themeColor="text1"/>
        </w:rPr>
        <w:t xml:space="preserve">with its instantaneous initial velocity </w:t>
      </w:r>
      <m:oMath>
        <m:acc>
          <m:accPr>
            <m:chr m:val="⃗"/>
            <m:ctrlPr>
              <w:rPr>
                <w:rFonts w:ascii="Cambria Math" w:hAnsi="Cambria Math"/>
                <w:i/>
                <w:color w:val="000000" w:themeColor="text1"/>
              </w:rPr>
            </m:ctrlPr>
          </m:accPr>
          <m:e>
            <m:r>
              <w:rPr>
                <w:rFonts w:ascii="Cambria Math" w:hAnsi="Cambria Math"/>
                <w:color w:val="000000" w:themeColor="text1"/>
              </w:rPr>
              <m:t>v</m:t>
            </m:r>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oMath>
      <w:r w:rsidRPr="00FD2CDD">
        <w:rPr>
          <w:rFonts w:ascii="Times New Roman" w:hAnsi="Times New Roman"/>
          <w:color w:val="000000" w:themeColor="text1"/>
        </w:rPr>
        <w:t xml:space="preserve"> until it would collide with one of the postural limitation boundary segments (Figure 2A; 40 counter-clockwise labeled segments defined in the current study).</w:t>
      </w:r>
    </w:p>
    <w:p w14:paraId="305F7A3F"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 xml:space="preserve">The position vector of the COP data point on the virtual trajectory </w:t>
      </w:r>
      <m:oMath>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ρ</m:t>
                </m:r>
              </m:e>
              <m:sub>
                <m:r>
                  <w:rPr>
                    <w:rFonts w:ascii="Cambria Math" w:hAnsi="Cambria Math"/>
                    <w:color w:val="000000" w:themeColor="text1"/>
                  </w:rPr>
                  <m:t>i</m:t>
                </m:r>
              </m:sub>
            </m:sSub>
          </m:e>
        </m:acc>
        <m:r>
          <w:rPr>
            <w:rFonts w:ascii="Cambria Math" w:hAnsi="Cambria Math"/>
            <w:color w:val="000000" w:themeColor="text1"/>
          </w:rPr>
          <m:t>(τ)</m:t>
        </m:r>
      </m:oMath>
      <w:r w:rsidRPr="00FD2CDD">
        <w:rPr>
          <w:rFonts w:ascii="Times New Roman" w:hAnsi="Times New Roman"/>
          <w:color w:val="000000" w:themeColor="text1"/>
        </w:rPr>
        <w:t xml:space="preserve"> started at the moment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oMath>
      <w:r w:rsidRPr="00FD2CDD">
        <w:rPr>
          <w:rFonts w:ascii="Times New Roman" w:hAnsi="Times New Roman"/>
          <w:color w:val="000000" w:themeColor="text1"/>
        </w:rPr>
        <w:t xml:space="preserve">, and the time function was obtained by double integration of the constant acceleration </w:t>
      </w:r>
      <m:oMath>
        <m:acc>
          <m:accPr>
            <m:chr m:val="⃗"/>
            <m:ctrlPr>
              <w:rPr>
                <w:rFonts w:ascii="Cambria Math" w:hAnsi="Cambria Math"/>
                <w:i/>
                <w:color w:val="000000" w:themeColor="text1"/>
              </w:rPr>
            </m:ctrlPr>
          </m:accPr>
          <m:e>
            <m:r>
              <w:rPr>
                <w:rFonts w:ascii="Cambria Math" w:hAnsi="Cambria Math"/>
                <w:color w:val="000000" w:themeColor="text1"/>
              </w:rPr>
              <m:t>a</m:t>
            </m:r>
          </m:e>
        </m:acc>
        <m:d>
          <m:dPr>
            <m:ctrlPr>
              <w:rPr>
                <w:rFonts w:ascii="Cambria Math" w:hAnsi="Cambria Math"/>
                <w:i/>
                <w:color w:val="000000" w:themeColor="text1"/>
              </w:rPr>
            </m:ctrlPr>
          </m:dPr>
          <m:e>
            <m:r>
              <w:rPr>
                <w:rFonts w:ascii="Cambria Math" w:hAnsi="Cambria Math"/>
                <w:color w:val="000000" w:themeColor="text1"/>
              </w:rPr>
              <m:t>τ</m:t>
            </m:r>
          </m:e>
        </m:d>
        <m:r>
          <w:rPr>
            <w:rFonts w:ascii="Cambria Math" w:hAnsi="Cambria Math"/>
            <w:color w:val="000000" w:themeColor="text1"/>
          </w:rPr>
          <m:t>=</m:t>
        </m:r>
        <m:acc>
          <m:accPr>
            <m:chr m:val="⃗"/>
            <m:ctrlPr>
              <w:rPr>
                <w:rFonts w:ascii="Cambria Math" w:hAnsi="Cambria Math"/>
                <w:i/>
                <w:color w:val="000000" w:themeColor="text1"/>
              </w:rPr>
            </m:ctrlPr>
          </m:accPr>
          <m:e>
            <m:r>
              <w:rPr>
                <w:rFonts w:ascii="Cambria Math" w:hAnsi="Cambria Math"/>
                <w:color w:val="000000" w:themeColor="text1"/>
              </w:rPr>
              <m:t>a</m:t>
            </m:r>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oMath>
      <w:r w:rsidRPr="00FD2CDD">
        <w:rPr>
          <w:rFonts w:ascii="Times New Roman" w:hAnsi="Times New Roman"/>
          <w:color w:val="000000" w:themeColor="text1"/>
        </w:rPr>
        <w:t xml:space="preserve"> with respect to the virtual time parameter </w:t>
      </w:r>
      <w:r w:rsidRPr="00FD2CDD">
        <w:rPr>
          <w:rFonts w:ascii="Times New Roman" w:hAnsi="Times New Roman"/>
          <w:color w:val="000000" w:themeColor="text1"/>
        </w:rPr>
        <w:sym w:font="Symbol" w:char="F074"/>
      </w:r>
      <w:r w:rsidRPr="00FD2CDD">
        <w:rPr>
          <w:rFonts w:ascii="Times New Roman" w:hAnsi="Times New Roman"/>
          <w:color w:val="000000" w:themeColor="text1"/>
        </w:rPr>
        <w:t xml:space="preserve">: </w:t>
      </w:r>
    </w:p>
    <w:p w14:paraId="59E19E26" w14:textId="77777777" w:rsidR="00411FF5" w:rsidRPr="00FD2CDD" w:rsidRDefault="00411FF5" w:rsidP="00411FF5">
      <w:pPr>
        <w:widowControl/>
        <w:wordWrap w:val="0"/>
        <w:spacing w:line="480" w:lineRule="auto"/>
        <w:ind w:firstLine="720"/>
        <w:jc w:val="left"/>
        <w:rPr>
          <w:rFonts w:ascii="Times New Roman" w:hAnsi="Times New Roman"/>
          <w:color w:val="000000" w:themeColor="text1"/>
        </w:rPr>
      </w:pPr>
      <m:oMath>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ρ</m:t>
                </m:r>
              </m:e>
              <m:sub>
                <m:r>
                  <w:rPr>
                    <w:rFonts w:ascii="Cambria Math" w:hAnsi="Cambria Math"/>
                    <w:color w:val="000000" w:themeColor="text1"/>
                  </w:rPr>
                  <m:t>i</m:t>
                </m:r>
              </m:sub>
            </m:sSub>
          </m:e>
        </m:acc>
        <m:d>
          <m:dPr>
            <m:ctrlPr>
              <w:rPr>
                <w:rFonts w:ascii="Cambria Math" w:hAnsi="Cambria Math"/>
                <w:i/>
                <w:color w:val="000000" w:themeColor="text1"/>
              </w:rPr>
            </m:ctrlPr>
          </m:dPr>
          <m:e>
            <m:r>
              <w:rPr>
                <w:rFonts w:ascii="Cambria Math" w:hAnsi="Cambria Math"/>
                <w:color w:val="000000" w:themeColor="text1"/>
              </w:rPr>
              <m:t>τ</m:t>
            </m:r>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i</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m:t>
        </m:r>
        <m:acc>
          <m:accPr>
            <m:chr m:val="⃗"/>
            <m:ctrlPr>
              <w:rPr>
                <w:rFonts w:ascii="Cambria Math" w:hAnsi="Cambria Math"/>
                <w:i/>
                <w:color w:val="000000" w:themeColor="text1"/>
              </w:rPr>
            </m:ctrlPr>
          </m:accPr>
          <m:e>
            <m:r>
              <w:rPr>
                <w:rFonts w:ascii="Cambria Math" w:hAnsi="Cambria Math"/>
                <w:color w:val="000000" w:themeColor="text1"/>
              </w:rPr>
              <m:t>v</m:t>
            </m:r>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∙τ+</m:t>
        </m:r>
        <m:acc>
          <m:accPr>
            <m:chr m:val="⃗"/>
            <m:ctrlPr>
              <w:rPr>
                <w:rFonts w:ascii="Cambria Math" w:hAnsi="Cambria Math"/>
                <w:i/>
                <w:color w:val="000000" w:themeColor="text1"/>
              </w:rPr>
            </m:ctrlPr>
          </m:accPr>
          <m:e>
            <m:r>
              <w:rPr>
                <w:rFonts w:ascii="Cambria Math" w:hAnsi="Cambria Math"/>
                <w:color w:val="000000" w:themeColor="text1"/>
              </w:rPr>
              <m:t>a</m:t>
            </m:r>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τ</m:t>
                </m:r>
              </m:e>
              <m:sup>
                <m:r>
                  <w:rPr>
                    <w:rFonts w:ascii="Cambria Math" w:hAnsi="Cambria Math"/>
                    <w:color w:val="000000" w:themeColor="text1"/>
                  </w:rPr>
                  <m:t>2</m:t>
                </m:r>
              </m:sup>
            </m:sSup>
          </m:num>
          <m:den>
            <m:r>
              <w:rPr>
                <w:rFonts w:ascii="Cambria Math" w:hAnsi="Cambria Math"/>
                <w:color w:val="000000" w:themeColor="text1"/>
              </w:rPr>
              <m:t>2</m:t>
            </m:r>
          </m:den>
        </m:f>
      </m:oMath>
      <w:r w:rsidRPr="00FD2CDD">
        <w:rPr>
          <w:rFonts w:ascii="Times New Roman" w:hAnsi="Times New Roman"/>
          <w:color w:val="000000" w:themeColor="text1"/>
        </w:rPr>
        <w:t xml:space="preserve">                                        (1)</w:t>
      </w:r>
    </w:p>
    <w:p w14:paraId="3F7CFAC9"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 xml:space="preserve">The same equation can be written in terms of </w:t>
      </w:r>
      <w:r w:rsidRPr="00FD2CDD">
        <w:rPr>
          <w:rFonts w:ascii="Times New Roman" w:hAnsi="Times New Roman"/>
          <w:i/>
          <w:color w:val="000000" w:themeColor="text1"/>
        </w:rPr>
        <w:t>x</w:t>
      </w:r>
      <w:r w:rsidRPr="00FD2CDD">
        <w:rPr>
          <w:rFonts w:ascii="Times New Roman" w:hAnsi="Times New Roman"/>
          <w:color w:val="000000" w:themeColor="text1"/>
        </w:rPr>
        <w:t>(COP</w:t>
      </w:r>
      <w:r w:rsidRPr="00FD2CDD">
        <w:rPr>
          <w:rFonts w:ascii="Times New Roman" w:hAnsi="Times New Roman"/>
          <w:color w:val="000000" w:themeColor="text1"/>
          <w:vertAlign w:val="subscript"/>
        </w:rPr>
        <w:t>AP</w:t>
      </w:r>
      <w:r w:rsidRPr="00FD2CDD">
        <w:rPr>
          <w:rFonts w:ascii="Times New Roman" w:hAnsi="Times New Roman"/>
          <w:color w:val="000000" w:themeColor="text1"/>
        </w:rPr>
        <w:t xml:space="preserve">) and </w:t>
      </w:r>
      <w:r w:rsidRPr="00FD2CDD">
        <w:rPr>
          <w:rFonts w:ascii="Times New Roman" w:hAnsi="Times New Roman"/>
          <w:i/>
          <w:color w:val="000000" w:themeColor="text1"/>
        </w:rPr>
        <w:t>y</w:t>
      </w:r>
      <w:r w:rsidRPr="00FD2CDD">
        <w:rPr>
          <w:rFonts w:ascii="Times New Roman" w:hAnsi="Times New Roman"/>
          <w:color w:val="000000" w:themeColor="text1"/>
        </w:rPr>
        <w:t>(COP</w:t>
      </w:r>
      <w:r w:rsidRPr="00FD2CDD">
        <w:rPr>
          <w:rFonts w:ascii="Times New Roman" w:hAnsi="Times New Roman"/>
          <w:color w:val="000000" w:themeColor="text1"/>
          <w:vertAlign w:val="subscript"/>
        </w:rPr>
        <w:t>ML</w:t>
      </w:r>
      <w:r w:rsidRPr="00FD2CDD">
        <w:rPr>
          <w:rFonts w:ascii="Times New Roman" w:hAnsi="Times New Roman"/>
          <w:color w:val="000000" w:themeColor="text1"/>
        </w:rPr>
        <w:t xml:space="preserve">) with respect to the reference frame attached to the force platform as: </w:t>
      </w:r>
    </w:p>
    <w:p w14:paraId="38ADC8D6" w14:textId="77777777" w:rsidR="00411FF5" w:rsidRPr="00FD2CDD" w:rsidRDefault="00411FF5" w:rsidP="00411FF5">
      <w:pPr>
        <w:widowControl/>
        <w:wordWrap w:val="0"/>
        <w:spacing w:line="480" w:lineRule="auto"/>
        <w:ind w:firstLine="720"/>
        <w:jc w:val="left"/>
        <w:rPr>
          <w:rFonts w:ascii="Times New Roman" w:hAnsi="Times New Roman"/>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d>
          <m:dPr>
            <m:ctrlPr>
              <w:rPr>
                <w:rFonts w:ascii="Cambria Math" w:hAnsi="Cambria Math"/>
                <w:i/>
                <w:color w:val="000000" w:themeColor="text1"/>
              </w:rPr>
            </m:ctrlPr>
          </m:dPr>
          <m:e>
            <m:r>
              <w:rPr>
                <w:rFonts w:ascii="Cambria Math" w:hAnsi="Cambria Math"/>
                <w:color w:val="000000" w:themeColor="text1"/>
              </w:rPr>
              <m:t>τ</m:t>
            </m:r>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x</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x</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∙τ+</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x</m:t>
                </m:r>
              </m:sub>
            </m:sSub>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τ</m:t>
                </m:r>
              </m:e>
              <m:sup>
                <m:r>
                  <w:rPr>
                    <w:rFonts w:ascii="Cambria Math" w:hAnsi="Cambria Math"/>
                    <w:color w:val="000000" w:themeColor="text1"/>
                  </w:rPr>
                  <m:t>2</m:t>
                </m:r>
              </m:sup>
            </m:sSup>
          </m:num>
          <m:den>
            <m:r>
              <w:rPr>
                <w:rFonts w:ascii="Cambria Math" w:hAnsi="Cambria Math"/>
                <w:color w:val="000000" w:themeColor="text1"/>
              </w:rPr>
              <m:t>2</m:t>
            </m:r>
          </m:den>
        </m:f>
      </m:oMath>
      <w:r w:rsidRPr="00FD2CDD">
        <w:rPr>
          <w:rFonts w:ascii="Cambria Math" w:hAnsi="Cambria Math"/>
          <w:i/>
          <w:color w:val="000000" w:themeColor="text1"/>
        </w:rPr>
        <w:t xml:space="preserve">                                      </w:t>
      </w:r>
      <w:r w:rsidRPr="00FD2CDD">
        <w:rPr>
          <w:rFonts w:ascii="Times New Roman" w:hAnsi="Times New Roman"/>
          <w:color w:val="000000" w:themeColor="text1"/>
        </w:rPr>
        <w:t>(2)</w:t>
      </w:r>
    </w:p>
    <w:p w14:paraId="7DFE8F15"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lastRenderedPageBreak/>
        <w:t>and</w:t>
      </w:r>
    </w:p>
    <w:p w14:paraId="29C41490" w14:textId="77777777" w:rsidR="00411FF5" w:rsidRPr="00FD2CDD" w:rsidRDefault="00411FF5" w:rsidP="00411FF5">
      <w:pPr>
        <w:widowControl/>
        <w:wordWrap w:val="0"/>
        <w:spacing w:line="480" w:lineRule="auto"/>
        <w:ind w:firstLine="720"/>
        <w:jc w:val="left"/>
        <w:rPr>
          <w:rFonts w:ascii="Cambria Math" w:hAnsi="Cambria Math"/>
          <w: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d>
          <m:dPr>
            <m:ctrlPr>
              <w:rPr>
                <w:rFonts w:ascii="Cambria Math" w:hAnsi="Cambria Math"/>
                <w:i/>
                <w:color w:val="000000" w:themeColor="text1"/>
              </w:rPr>
            </m:ctrlPr>
          </m:dPr>
          <m:e>
            <m:r>
              <w:rPr>
                <w:rFonts w:ascii="Cambria Math" w:hAnsi="Cambria Math"/>
                <w:color w:val="000000" w:themeColor="text1"/>
              </w:rPr>
              <m:t>τ</m:t>
            </m:r>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y</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y</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∙τ+</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y</m:t>
                </m:r>
              </m:sub>
            </m:sSub>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τ</m:t>
                </m:r>
              </m:e>
              <m:sup>
                <m:r>
                  <w:rPr>
                    <w:rFonts w:ascii="Cambria Math" w:hAnsi="Cambria Math"/>
                    <w:color w:val="000000" w:themeColor="text1"/>
                  </w:rPr>
                  <m:t>2</m:t>
                </m:r>
              </m:sup>
            </m:sSup>
          </m:num>
          <m:den>
            <m:r>
              <w:rPr>
                <w:rFonts w:ascii="Cambria Math" w:hAnsi="Cambria Math"/>
                <w:color w:val="000000" w:themeColor="text1"/>
              </w:rPr>
              <m:t>2</m:t>
            </m:r>
          </m:den>
        </m:f>
      </m:oMath>
      <w:r w:rsidRPr="00FD2CDD">
        <w:rPr>
          <w:rFonts w:ascii="Cambria Math" w:hAnsi="Cambria Math"/>
          <w:i/>
          <w:color w:val="000000" w:themeColor="text1"/>
        </w:rPr>
        <w:t xml:space="preserve">                                     </w:t>
      </w:r>
      <w:r w:rsidRPr="00FD2CDD">
        <w:rPr>
          <w:rFonts w:ascii="Times New Roman" w:hAnsi="Times New Roman"/>
          <w:color w:val="000000" w:themeColor="text1"/>
        </w:rPr>
        <w:t>(3)</w:t>
      </w:r>
    </w:p>
    <w:p w14:paraId="62559C92"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 xml:space="preserve">where </w:t>
      </w:r>
      <m:oMath>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x</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oMath>
      <w:r w:rsidRPr="00FD2CDD">
        <w:rPr>
          <w:rFonts w:ascii="Times New Roman" w:hAnsi="Times New Roman"/>
          <w:color w:val="000000" w:themeColor="text1"/>
        </w:rPr>
        <w:t xml:space="preserve">and </w:t>
      </w:r>
      <m:oMath>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y</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oMath>
      <w:r w:rsidRPr="00FD2CDD">
        <w:rPr>
          <w:rFonts w:ascii="Times New Roman" w:hAnsi="Times New Roman"/>
          <w:color w:val="000000" w:themeColor="text1"/>
        </w:rPr>
        <w:t xml:space="preserve"> are components of instantaneous initial position vector; </w:t>
      </w:r>
      <m:oMath>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x</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 xml:space="preserve"> </m:t>
        </m:r>
      </m:oMath>
      <w:r w:rsidRPr="00FD2CDD">
        <w:rPr>
          <w:rFonts w:ascii="Times New Roman" w:hAnsi="Times New Roman"/>
          <w:color w:val="000000" w:themeColor="text1"/>
        </w:rPr>
        <w:t xml:space="preserve">and </w:t>
      </w:r>
      <m:oMath>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y</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oMath>
      <w:r w:rsidRPr="00FD2CDD">
        <w:rPr>
          <w:rFonts w:ascii="Times New Roman" w:hAnsi="Times New Roman"/>
          <w:color w:val="000000" w:themeColor="text1"/>
        </w:rPr>
        <w:t xml:space="preserve"> are components of instantaneous initial velocity vector; </w:t>
      </w:r>
      <m:oMath>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x</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oMath>
      <w:r w:rsidRPr="00FD2CDD">
        <w:rPr>
          <w:rFonts w:ascii="Times New Roman" w:hAnsi="Times New Roman"/>
          <w:color w:val="000000" w:themeColor="text1"/>
        </w:rPr>
        <w:t xml:space="preserve"> and </w:t>
      </w:r>
      <m:oMath>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y</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oMath>
      <w:r w:rsidRPr="00FD2CDD">
        <w:rPr>
          <w:rFonts w:ascii="Times New Roman" w:hAnsi="Times New Roman"/>
          <w:color w:val="000000" w:themeColor="text1"/>
        </w:rPr>
        <w:t xml:space="preserve"> are components of instantaneous initial acceleration vector in the AP and ML directions, respectively. </w:t>
      </w:r>
    </w:p>
    <w:p w14:paraId="09647917"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The VTC (</w:t>
      </w:r>
      <w:r w:rsidRPr="00FD2CDD">
        <w:rPr>
          <w:rFonts w:ascii="Times New Roman" w:hAnsi="Times New Roman"/>
          <w:color w:val="000000" w:themeColor="text1"/>
        </w:rPr>
        <w:sym w:font="Symbol" w:char="F077"/>
      </w:r>
      <w:r w:rsidRPr="00FD2CDD">
        <w:rPr>
          <w:rFonts w:ascii="Times New Roman" w:hAnsi="Times New Roman"/>
          <w:color w:val="000000" w:themeColor="text1"/>
        </w:rPr>
        <w:t>)</w:t>
      </w:r>
      <w:r w:rsidRPr="00FD2CDD">
        <w:rPr>
          <w:rFonts w:ascii="Times New Roman" w:hAnsi="Times New Roman"/>
          <w:color w:val="000000" w:themeColor="text1"/>
          <w:vertAlign w:val="subscript"/>
        </w:rPr>
        <w:t>Spatial</w:t>
      </w:r>
      <w:r w:rsidRPr="00FD2CDD">
        <w:rPr>
          <w:rFonts w:ascii="Times New Roman" w:hAnsi="Times New Roman"/>
          <w:color w:val="000000" w:themeColor="text1"/>
        </w:rPr>
        <w:t xml:space="preserve"> is labeled by examining the spatial coordinate of the virtual time-to-contact location between the virtual trajectory of each COP data point and the postural limitation boundary. Let (</w:t>
      </w: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c</m:t>
            </m:r>
          </m:sub>
        </m:sSub>
      </m:oMath>
      <w:r w:rsidRPr="00FD2CDD">
        <w:rPr>
          <w:rFonts w:ascii="Times New Roman" w:hAnsi="Times New Roman"/>
          <w:color w:val="000000" w:themeColor="text1"/>
        </w:rPr>
        <w:t xml:space="preserve">) denote the coordinate on the boundary where the virtual trajectory contacts with for the first time. Given the fact that we dissected the postural limitation boundary to 40 evenly expanded segments, coordinates of each segment’s end points can be derived. If the end points of the corresponding boundary segment are </w:t>
      </w:r>
      <m:oMath>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r>
          <w:rPr>
            <w:rFonts w:ascii="Cambria Math" w:hAnsi="Cambria Math"/>
            <w:color w:val="000000" w:themeColor="text1"/>
          </w:rPr>
          <m:t>)</m:t>
        </m:r>
      </m:oMath>
      <w:r w:rsidRPr="00FD2CDD">
        <w:rPr>
          <w:rFonts w:ascii="Times New Roman" w:hAnsi="Times New Roman"/>
          <w:color w:val="000000" w:themeColor="text1"/>
        </w:rPr>
        <w:t xml:space="preserve"> and </w:t>
      </w:r>
      <m:oMath>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2</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2</m:t>
            </m:r>
          </m:sub>
        </m:sSub>
        <m:r>
          <w:rPr>
            <w:rFonts w:ascii="Cambria Math" w:hAnsi="Cambria Math"/>
            <w:color w:val="000000" w:themeColor="text1"/>
          </w:rPr>
          <m:t>)</m:t>
        </m:r>
      </m:oMath>
      <w:r w:rsidRPr="00FD2CDD">
        <w:rPr>
          <w:rFonts w:ascii="Times New Roman" w:hAnsi="Times New Roman"/>
          <w:color w:val="000000" w:themeColor="text1"/>
        </w:rPr>
        <w:t xml:space="preserve">, the slope of the boundary segment is: </w:t>
      </w:r>
    </w:p>
    <w:p w14:paraId="6E8617FB"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m:oMath>
        <m:r>
          <w:rPr>
            <w:rFonts w:ascii="Cambria Math" w:hAnsi="Cambria Math"/>
            <w:color w:val="000000" w:themeColor="text1"/>
          </w:rPr>
          <m:t>s=(</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1</m:t>
            </m:r>
          </m:sub>
        </m:sSub>
        <m:r>
          <w:rPr>
            <w:rFonts w:ascii="Cambria Math" w:hAnsi="Cambria Math"/>
            <w:color w:val="000000" w:themeColor="text1"/>
          </w:rPr>
          <m:t>)</m:t>
        </m:r>
      </m:oMath>
      <w:r w:rsidRPr="00FD2CDD">
        <w:rPr>
          <w:rFonts w:ascii="Times New Roman" w:hAnsi="Times New Roman"/>
          <w:color w:val="000000" w:themeColor="text1"/>
        </w:rPr>
        <w:t xml:space="preserve">                                                 (4)</w:t>
      </w:r>
    </w:p>
    <w:p w14:paraId="2952F3F8"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 xml:space="preserve">Assuming a constant slope in the differential segment between </w:t>
      </w:r>
      <m:oMath>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r>
          <w:rPr>
            <w:rFonts w:ascii="Cambria Math" w:hAnsi="Cambria Math"/>
            <w:color w:val="000000" w:themeColor="text1"/>
          </w:rPr>
          <m:t>)</m:t>
        </m:r>
      </m:oMath>
      <w:r w:rsidRPr="00FD2CDD">
        <w:rPr>
          <w:rFonts w:ascii="Times New Roman" w:hAnsi="Times New Roman"/>
          <w:color w:val="000000" w:themeColor="text1"/>
        </w:rPr>
        <w:t xml:space="preserve">and </w:t>
      </w:r>
      <m:oMath>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2</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2</m:t>
            </m:r>
          </m:sub>
        </m:sSub>
        <m:r>
          <w:rPr>
            <w:rFonts w:ascii="Cambria Math" w:hAnsi="Cambria Math"/>
            <w:color w:val="000000" w:themeColor="text1"/>
          </w:rPr>
          <m:t>)</m:t>
        </m:r>
      </m:oMath>
      <w:r w:rsidRPr="00FD2CDD">
        <w:rPr>
          <w:rFonts w:ascii="Times New Roman" w:hAnsi="Times New Roman"/>
          <w:color w:val="000000" w:themeColor="text1"/>
        </w:rPr>
        <w:t xml:space="preserve">, the slope can also be computed as: </w:t>
      </w:r>
    </w:p>
    <w:p w14:paraId="6E662744"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m:oMath>
        <m:r>
          <w:rPr>
            <w:rFonts w:ascii="Cambria Math" w:hAnsi="Cambria Math"/>
            <w:color w:val="000000" w:themeColor="text1"/>
          </w:rPr>
          <m:t>s=(</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c</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1</m:t>
            </m:r>
          </m:sub>
        </m:sSub>
        <m:r>
          <w:rPr>
            <w:rFonts w:ascii="Cambria Math" w:hAnsi="Cambria Math"/>
            <w:color w:val="000000" w:themeColor="text1"/>
          </w:rPr>
          <m:t>)</m:t>
        </m:r>
      </m:oMath>
      <w:r w:rsidRPr="00FD2CDD">
        <w:rPr>
          <w:rFonts w:ascii="Times New Roman" w:hAnsi="Times New Roman"/>
          <w:color w:val="000000" w:themeColor="text1"/>
        </w:rPr>
        <w:t xml:space="preserve">                                                 (5)</w:t>
      </w:r>
    </w:p>
    <w:p w14:paraId="5FFD420E"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 xml:space="preserve">The components of the position vector for </w:t>
      </w:r>
      <m:oMath>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c</m:t>
            </m:r>
          </m:sub>
        </m:sSub>
        <m:r>
          <w:rPr>
            <w:rFonts w:ascii="Cambria Math" w:hAnsi="Cambria Math"/>
            <w:color w:val="000000" w:themeColor="text1"/>
          </w:rPr>
          <m:t>)</m:t>
        </m:r>
      </m:oMath>
      <w:r w:rsidRPr="00FD2CDD">
        <w:rPr>
          <w:rFonts w:ascii="Times New Roman" w:hAnsi="Times New Roman"/>
          <w:color w:val="000000" w:themeColor="text1"/>
        </w:rPr>
        <w:t xml:space="preserve"> were determined by: </w:t>
      </w:r>
    </w:p>
    <w:p w14:paraId="11DBF1B9"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d>
          <m:dPr>
            <m:ctrlPr>
              <w:rPr>
                <w:rFonts w:ascii="Cambria Math" w:hAnsi="Cambria Math"/>
                <w:i/>
                <w:color w:val="000000" w:themeColor="text1"/>
              </w:rPr>
            </m:ctrlPr>
          </m:dPr>
          <m:e>
            <m:r>
              <w:rPr>
                <w:rFonts w:ascii="Cambria Math" w:hAnsi="Cambria Math"/>
                <w:color w:val="000000" w:themeColor="text1"/>
              </w:rPr>
              <m:t>τ</m:t>
            </m:r>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x</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x</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∙τ+</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x</m:t>
                </m:r>
              </m:sub>
            </m:sSub>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f>
          <m:fPr>
            <m:ctrlPr>
              <w:rPr>
                <w:rFonts w:ascii="Cambria Math" w:hAnsi="Cambria Math"/>
                <w:color w:val="000000" w:themeColor="text1"/>
              </w:rPr>
            </m:ctrlPr>
          </m:fPr>
          <m:num>
            <m:sSup>
              <m:sSupPr>
                <m:ctrlPr>
                  <w:rPr>
                    <w:rFonts w:ascii="Cambria Math" w:hAnsi="Cambria Math"/>
                    <w:color w:val="000000" w:themeColor="text1"/>
                  </w:rPr>
                </m:ctrlPr>
              </m:sSupPr>
              <m:e>
                <m:r>
                  <m:rPr>
                    <m:sty m:val="p"/>
                  </m:rPr>
                  <w:rPr>
                    <w:rFonts w:ascii="Cambria Math" w:hAnsi="Cambria Math"/>
                    <w:color w:val="000000" w:themeColor="text1"/>
                  </w:rPr>
                  <m:t>τ</m:t>
                </m:r>
              </m:e>
              <m:sup>
                <m:r>
                  <m:rPr>
                    <m:sty m:val="p"/>
                  </m:rPr>
                  <w:rPr>
                    <w:rFonts w:ascii="Cambria Math" w:hAnsi="Cambria Math"/>
                    <w:color w:val="000000" w:themeColor="text1"/>
                  </w:rPr>
                  <m:t>2</m:t>
                </m:r>
              </m:sup>
            </m:sSup>
          </m:num>
          <m:den>
            <m:r>
              <m:rPr>
                <m:sty m:val="p"/>
              </m:rPr>
              <w:rPr>
                <w:rFonts w:ascii="Cambria Math" w:hAnsi="Cambria Math"/>
                <w:color w:val="000000" w:themeColor="text1"/>
              </w:rPr>
              <m:t>2</m:t>
            </m:r>
          </m:den>
        </m:f>
      </m:oMath>
      <w:r w:rsidRPr="00FD2CDD">
        <w:rPr>
          <w:rFonts w:ascii="Times New Roman" w:hAnsi="Times New Roman"/>
          <w:color w:val="000000" w:themeColor="text1"/>
        </w:rPr>
        <w:t xml:space="preserve">                                     (6)</w:t>
      </w:r>
    </w:p>
    <w:p w14:paraId="3DD5097E" w14:textId="77777777" w:rsidR="00411FF5" w:rsidRPr="00FD2CDD" w:rsidRDefault="00411FF5" w:rsidP="00411FF5">
      <w:pPr>
        <w:widowControl/>
        <w:wordWrap w:val="0"/>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and</w:t>
      </w:r>
    </w:p>
    <w:p w14:paraId="30DA04F6" w14:textId="77777777" w:rsidR="00411FF5" w:rsidRPr="00FD2CDD" w:rsidRDefault="00411FF5" w:rsidP="00411FF5">
      <w:pPr>
        <w:widowControl/>
        <w:spacing w:line="480" w:lineRule="auto"/>
        <w:ind w:firstLineChars="295" w:firstLine="708"/>
        <w:jc w:val="left"/>
        <w:rPr>
          <w:rFonts w:ascii="Cambria Math" w:hAnsi="Cambria Math"/>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x</m:t>
            </m:r>
          </m:sub>
        </m:sSub>
        <m:d>
          <m:dPr>
            <m:ctrlPr>
              <w:rPr>
                <w:rFonts w:ascii="Cambria Math" w:hAnsi="Cambria Math"/>
                <w:i/>
                <w:color w:val="000000" w:themeColor="text1"/>
              </w:rPr>
            </m:ctrlPr>
          </m:dPr>
          <m:e>
            <m:r>
              <w:rPr>
                <w:rFonts w:ascii="Cambria Math" w:hAnsi="Cambria Math"/>
                <w:color w:val="000000" w:themeColor="text1"/>
              </w:rPr>
              <m:t>τ</m:t>
            </m:r>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y</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y</m:t>
                </m:r>
              </m:sub>
            </m:sSub>
          </m:e>
        </m:acc>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r>
          <w:rPr>
            <w:rFonts w:ascii="Cambria Math" w:hAnsi="Cambria Math"/>
            <w:color w:val="000000" w:themeColor="text1"/>
          </w:rPr>
          <m:t>∙τ+</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y</m:t>
                </m:r>
              </m:sub>
            </m:sSub>
          </m:e>
        </m:acc>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τ</m:t>
                </m:r>
              </m:e>
              <m:sup>
                <m:r>
                  <w:rPr>
                    <w:rFonts w:ascii="Cambria Math" w:hAnsi="Cambria Math"/>
                    <w:color w:val="000000" w:themeColor="text1"/>
                  </w:rPr>
                  <m:t>2</m:t>
                </m:r>
              </m:sup>
            </m:sSup>
          </m:num>
          <m:den>
            <m:r>
              <w:rPr>
                <w:rFonts w:ascii="Cambria Math" w:hAnsi="Cambria Math"/>
                <w:color w:val="000000" w:themeColor="text1"/>
              </w:rPr>
              <m:t>2</m:t>
            </m:r>
          </m:den>
        </m:f>
      </m:oMath>
      <w:r w:rsidRPr="00FD2CDD">
        <w:rPr>
          <w:rFonts w:ascii="Cambria Math" w:hAnsi="Cambria Math"/>
          <w:i/>
          <w:color w:val="000000" w:themeColor="text1"/>
        </w:rPr>
        <w:t xml:space="preserve">                                     </w:t>
      </w:r>
      <w:r w:rsidRPr="00FD2CDD">
        <w:rPr>
          <w:rFonts w:ascii="Times New Roman" w:hAnsi="Times New Roman"/>
          <w:color w:val="000000" w:themeColor="text1"/>
        </w:rPr>
        <w:t>(7)</w:t>
      </w:r>
    </w:p>
    <w:p w14:paraId="36FD1135" w14:textId="77777777" w:rsidR="00411FF5" w:rsidRPr="00FD2CDD" w:rsidRDefault="00411FF5" w:rsidP="00411FF5">
      <w:pPr>
        <w:widowControl/>
        <w:spacing w:line="480" w:lineRule="auto"/>
        <w:ind w:firstLineChars="295" w:firstLine="708"/>
        <w:jc w:val="left"/>
        <w:rPr>
          <w:rFonts w:ascii="Times New Roman" w:hAnsi="Times New Roman"/>
          <w:color w:val="000000" w:themeColor="text1"/>
        </w:rPr>
      </w:pPr>
      <w:r w:rsidRPr="00FD2CDD">
        <w:rPr>
          <w:rFonts w:ascii="Times New Roman" w:hAnsi="Times New Roman"/>
          <w:color w:val="000000" w:themeColor="text1"/>
        </w:rPr>
        <w:t xml:space="preserve">Substituting </w:t>
      </w: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c</m:t>
            </m:r>
          </m:sub>
        </m:sSub>
      </m:oMath>
      <w:r w:rsidRPr="00FD2CDD">
        <w:rPr>
          <w:rFonts w:ascii="Times New Roman" w:hAnsi="Times New Roman"/>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c</m:t>
            </m:r>
          </m:sub>
        </m:sSub>
      </m:oMath>
      <w:r w:rsidRPr="00FD2CDD">
        <w:rPr>
          <w:rFonts w:ascii="Times New Roman" w:hAnsi="Times New Roman"/>
          <w:color w:val="000000" w:themeColor="text1"/>
        </w:rPr>
        <w:t xml:space="preserve"> from Eqs. (6) and (7) in (5), and equating it to Eq. (1), gives a quadratic equation in </w:t>
      </w:r>
      <w:r w:rsidRPr="00FD2CDD">
        <w:rPr>
          <w:rFonts w:ascii="Times New Roman" w:hAnsi="Times New Roman"/>
          <w:color w:val="000000" w:themeColor="text1"/>
        </w:rPr>
        <w:sym w:font="Symbol" w:char="F074"/>
      </w:r>
      <w:r w:rsidRPr="00FD2CDD">
        <w:rPr>
          <w:rFonts w:ascii="Times New Roman" w:hAnsi="Times New Roman"/>
          <w:color w:val="000000" w:themeColor="text1"/>
        </w:rPr>
        <w:t xml:space="preserve">. For each measured COP data point, this procedure was repeated until time parameters for all possible crossing points of the simulated virtual trajectory with all boundary segments were computed. Then, the minimum positive time parameter </w:t>
      </w:r>
      <w:r w:rsidRPr="00FD2CDD">
        <w:rPr>
          <w:rFonts w:ascii="Times New Roman" w:hAnsi="Times New Roman"/>
          <w:color w:val="000000" w:themeColor="text1"/>
        </w:rPr>
        <w:sym w:font="Symbol" w:char="F074"/>
      </w:r>
      <w:r w:rsidRPr="00FD2CDD">
        <w:rPr>
          <w:rFonts w:ascii="Times New Roman" w:hAnsi="Times New Roman"/>
          <w:color w:val="000000" w:themeColor="text1"/>
        </w:rPr>
        <w:t xml:space="preserve"> associated with the first crossing point (i.e., VTC (</w:t>
      </w:r>
      <w:r w:rsidRPr="00FD2CDD">
        <w:rPr>
          <w:rFonts w:ascii="Times New Roman" w:hAnsi="Times New Roman"/>
          <w:color w:val="000000" w:themeColor="text1"/>
        </w:rPr>
        <w:sym w:font="Symbol" w:char="F077"/>
      </w:r>
      <w:r w:rsidRPr="00FD2CDD">
        <w:rPr>
          <w:rFonts w:ascii="Times New Roman" w:hAnsi="Times New Roman"/>
          <w:color w:val="000000" w:themeColor="text1"/>
        </w:rPr>
        <w:t>)</w:t>
      </w:r>
      <w:r w:rsidRPr="00FD2CDD">
        <w:rPr>
          <w:rFonts w:ascii="Times New Roman" w:hAnsi="Times New Roman"/>
          <w:color w:val="000000" w:themeColor="text1"/>
          <w:vertAlign w:val="subscript"/>
        </w:rPr>
        <w:t>Spatial</w:t>
      </w:r>
      <w:r w:rsidRPr="00FD2CDD">
        <w:rPr>
          <w:rFonts w:ascii="Times New Roman" w:hAnsi="Times New Roman"/>
          <w:color w:val="000000" w:themeColor="text1"/>
        </w:rPr>
        <w:t>) was assigned to VTC (</w:t>
      </w:r>
      <w:r w:rsidRPr="00FD2CDD">
        <w:rPr>
          <w:rFonts w:ascii="Times New Roman" w:hAnsi="Times New Roman"/>
          <w:color w:val="000000" w:themeColor="text1"/>
        </w:rPr>
        <w:sym w:font="Symbol" w:char="F074"/>
      </w:r>
      <w:r w:rsidRPr="00FD2CDD">
        <w:rPr>
          <w:rFonts w:ascii="Times New Roman" w:hAnsi="Times New Roman"/>
          <w:color w:val="000000" w:themeColor="text1"/>
        </w:rPr>
        <w:t>)</w:t>
      </w:r>
      <w:r w:rsidRPr="00FD2CDD">
        <w:rPr>
          <w:rFonts w:ascii="Times New Roman" w:hAnsi="Times New Roman"/>
          <w:color w:val="000000" w:themeColor="text1"/>
          <w:vertAlign w:val="subscript"/>
        </w:rPr>
        <w:t>Temporal</w:t>
      </w:r>
      <w:r w:rsidRPr="00FD2CDD">
        <w:rPr>
          <w:rFonts w:ascii="Times New Roman" w:hAnsi="Times New Roman"/>
          <w:color w:val="000000" w:themeColor="text1"/>
        </w:rPr>
        <w:t>. Please note that infinity is a legitimate value for VTC(</w:t>
      </w:r>
      <w:r w:rsidRPr="00FD2CDD">
        <w:rPr>
          <w:rFonts w:ascii="Times New Roman" w:hAnsi="Times New Roman"/>
          <w:color w:val="000000" w:themeColor="text1"/>
        </w:rPr>
        <w:sym w:font="Symbol" w:char="F074"/>
      </w:r>
      <w:r w:rsidRPr="00FD2CDD">
        <w:rPr>
          <w:rFonts w:ascii="Times New Roman" w:hAnsi="Times New Roman"/>
          <w:color w:val="000000" w:themeColor="text1"/>
        </w:rPr>
        <w:t>)</w:t>
      </w:r>
      <w:r w:rsidRPr="00FD2CDD">
        <w:rPr>
          <w:rFonts w:ascii="Times New Roman" w:hAnsi="Times New Roman"/>
          <w:color w:val="000000" w:themeColor="text1"/>
          <w:vertAlign w:val="subscript"/>
        </w:rPr>
        <w:t>Temporal</w:t>
      </w:r>
      <w:r w:rsidRPr="00FD2CDD">
        <w:rPr>
          <w:rFonts w:ascii="Times New Roman" w:hAnsi="Times New Roman"/>
          <w:color w:val="000000" w:themeColor="text1"/>
        </w:rPr>
        <w:t>, which means that contact will never occur. A VTC(</w:t>
      </w:r>
      <w:r w:rsidRPr="00FD2CDD">
        <w:rPr>
          <w:rFonts w:ascii="Times New Roman" w:hAnsi="Times New Roman"/>
          <w:color w:val="000000" w:themeColor="text1"/>
        </w:rPr>
        <w:sym w:font="Symbol" w:char="F074"/>
      </w:r>
      <w:r w:rsidRPr="00FD2CDD">
        <w:rPr>
          <w:rFonts w:ascii="Times New Roman" w:hAnsi="Times New Roman"/>
          <w:color w:val="000000" w:themeColor="text1"/>
        </w:rPr>
        <w:t>)</w:t>
      </w:r>
      <w:r w:rsidRPr="00FD2CDD">
        <w:rPr>
          <w:rFonts w:ascii="Times New Roman" w:hAnsi="Times New Roman"/>
          <w:color w:val="000000" w:themeColor="text1"/>
          <w:vertAlign w:val="subscript"/>
        </w:rPr>
        <w:t xml:space="preserve">Temporal </w:t>
      </w:r>
      <w:r w:rsidRPr="00FD2CDD">
        <w:rPr>
          <w:rFonts w:ascii="Times New Roman" w:hAnsi="Times New Roman"/>
          <w:color w:val="000000" w:themeColor="text1"/>
        </w:rPr>
        <w:t xml:space="preserve">equals to 0 means that the COP data point is in contact with the boundary. </w:t>
      </w:r>
    </w:p>
    <w:p w14:paraId="2589EECE" w14:textId="77777777" w:rsidR="00411FF5" w:rsidRPr="00640415" w:rsidRDefault="00411FF5" w:rsidP="00411FF5">
      <w:pPr>
        <w:widowControl/>
        <w:jc w:val="left"/>
        <w:rPr>
          <w:rFonts w:ascii="Times New Roman" w:hAnsi="Times New Roman"/>
          <w:color w:val="000000" w:themeColor="text1"/>
        </w:rPr>
      </w:pPr>
    </w:p>
    <w:p w14:paraId="379B126E" w14:textId="77777777" w:rsidR="00411FF5" w:rsidRPr="00FD2CDD" w:rsidRDefault="00411FF5" w:rsidP="00411FF5">
      <w:pPr>
        <w:spacing w:line="480" w:lineRule="auto"/>
        <w:outlineLvl w:val="0"/>
        <w:rPr>
          <w:rFonts w:ascii="Times New Roman" w:hAnsi="Times New Roman"/>
          <w:b/>
          <w:i/>
          <w:color w:val="000000" w:themeColor="text1"/>
        </w:rPr>
      </w:pPr>
    </w:p>
    <w:p w14:paraId="531EC546" w14:textId="77777777" w:rsidR="00CF6733" w:rsidRDefault="00CF6733">
      <w:bookmarkStart w:id="0" w:name="_GoBack"/>
      <w:bookmarkEnd w:id="0"/>
    </w:p>
    <w:sectPr w:rsidR="00CF6733" w:rsidSect="008C35A1">
      <w:footerReference w:type="even"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SimSun">
    <w:panose1 w:val="02010600030101010101"/>
    <w:charset w:val="86"/>
    <w:family w:val="auto"/>
    <w:pitch w:val="variable"/>
    <w:sig w:usb0="00000003" w:usb1="288F0000" w:usb2="00000016" w:usb3="00000000" w:csb0="00040001" w:csb1="00000000"/>
  </w:font>
  <w:font w:name="Symbol">
    <w:panose1 w:val="00000000000000000000"/>
    <w:charset w:val="02"/>
    <w:family w:val="auto"/>
    <w:pitch w:val="variable"/>
    <w:sig w:usb0="00000000" w:usb1="10000000" w:usb2="00000000" w:usb3="00000000" w:csb0="80000000"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47D1E" w14:textId="77777777" w:rsidR="007D02E9" w:rsidRDefault="00411FF5" w:rsidP="005C53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D0D31F" w14:textId="77777777" w:rsidR="007D02E9" w:rsidRDefault="00411FF5" w:rsidP="00C90C1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829E7" w14:textId="77777777" w:rsidR="007D02E9" w:rsidRDefault="00411FF5" w:rsidP="005C53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48C5B55" w14:textId="77777777" w:rsidR="007D02E9" w:rsidRDefault="00411FF5" w:rsidP="00C90C1B">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FF5"/>
    <w:rsid w:val="00002093"/>
    <w:rsid w:val="000059CA"/>
    <w:rsid w:val="000067A0"/>
    <w:rsid w:val="000268DE"/>
    <w:rsid w:val="000326A8"/>
    <w:rsid w:val="00034667"/>
    <w:rsid w:val="00036B2A"/>
    <w:rsid w:val="00044E22"/>
    <w:rsid w:val="00045D98"/>
    <w:rsid w:val="0005376D"/>
    <w:rsid w:val="0009109F"/>
    <w:rsid w:val="000A44B1"/>
    <w:rsid w:val="000B4C5E"/>
    <w:rsid w:val="000C3B21"/>
    <w:rsid w:val="000C73EE"/>
    <w:rsid w:val="00113D12"/>
    <w:rsid w:val="0011504F"/>
    <w:rsid w:val="001272FC"/>
    <w:rsid w:val="00140743"/>
    <w:rsid w:val="00165C47"/>
    <w:rsid w:val="001738B5"/>
    <w:rsid w:val="001847DC"/>
    <w:rsid w:val="001935D7"/>
    <w:rsid w:val="00196286"/>
    <w:rsid w:val="001A6667"/>
    <w:rsid w:val="001B02EF"/>
    <w:rsid w:val="001C2C3C"/>
    <w:rsid w:val="001D35C9"/>
    <w:rsid w:val="00205FD2"/>
    <w:rsid w:val="00260D29"/>
    <w:rsid w:val="00262825"/>
    <w:rsid w:val="00265BB5"/>
    <w:rsid w:val="00273717"/>
    <w:rsid w:val="00296B4D"/>
    <w:rsid w:val="002A7461"/>
    <w:rsid w:val="002B2C78"/>
    <w:rsid w:val="002B5104"/>
    <w:rsid w:val="002B61E1"/>
    <w:rsid w:val="002D1BD5"/>
    <w:rsid w:val="002D61F3"/>
    <w:rsid w:val="003023A8"/>
    <w:rsid w:val="0031172F"/>
    <w:rsid w:val="0031631D"/>
    <w:rsid w:val="00335AA7"/>
    <w:rsid w:val="00341D29"/>
    <w:rsid w:val="00345D62"/>
    <w:rsid w:val="00346952"/>
    <w:rsid w:val="0035235C"/>
    <w:rsid w:val="00364237"/>
    <w:rsid w:val="003717CE"/>
    <w:rsid w:val="0037386F"/>
    <w:rsid w:val="003740C9"/>
    <w:rsid w:val="00391910"/>
    <w:rsid w:val="00391D26"/>
    <w:rsid w:val="003959F0"/>
    <w:rsid w:val="003A58D5"/>
    <w:rsid w:val="003A7230"/>
    <w:rsid w:val="003B69EE"/>
    <w:rsid w:val="003D34D5"/>
    <w:rsid w:val="003D3C7E"/>
    <w:rsid w:val="003E04D0"/>
    <w:rsid w:val="003F1E55"/>
    <w:rsid w:val="004110E8"/>
    <w:rsid w:val="00411FF5"/>
    <w:rsid w:val="00422161"/>
    <w:rsid w:val="00422547"/>
    <w:rsid w:val="0042337E"/>
    <w:rsid w:val="004371B4"/>
    <w:rsid w:val="00441294"/>
    <w:rsid w:val="004454BA"/>
    <w:rsid w:val="00450221"/>
    <w:rsid w:val="00451107"/>
    <w:rsid w:val="00451144"/>
    <w:rsid w:val="004529BE"/>
    <w:rsid w:val="0045550C"/>
    <w:rsid w:val="00487E58"/>
    <w:rsid w:val="004910D9"/>
    <w:rsid w:val="004A51DA"/>
    <w:rsid w:val="004A52F1"/>
    <w:rsid w:val="004B52BE"/>
    <w:rsid w:val="004C5052"/>
    <w:rsid w:val="004D0663"/>
    <w:rsid w:val="004F00F3"/>
    <w:rsid w:val="004F3381"/>
    <w:rsid w:val="005035E2"/>
    <w:rsid w:val="005117BE"/>
    <w:rsid w:val="00512081"/>
    <w:rsid w:val="00516005"/>
    <w:rsid w:val="0052396A"/>
    <w:rsid w:val="00530D87"/>
    <w:rsid w:val="00537273"/>
    <w:rsid w:val="00542210"/>
    <w:rsid w:val="005547F8"/>
    <w:rsid w:val="005637CA"/>
    <w:rsid w:val="0057068C"/>
    <w:rsid w:val="005833FA"/>
    <w:rsid w:val="00585A3D"/>
    <w:rsid w:val="0059388A"/>
    <w:rsid w:val="005A7A74"/>
    <w:rsid w:val="005D054E"/>
    <w:rsid w:val="005D37EC"/>
    <w:rsid w:val="005D65B2"/>
    <w:rsid w:val="005E24C8"/>
    <w:rsid w:val="005F3157"/>
    <w:rsid w:val="00615A81"/>
    <w:rsid w:val="00625261"/>
    <w:rsid w:val="00661D20"/>
    <w:rsid w:val="006764D4"/>
    <w:rsid w:val="00686B70"/>
    <w:rsid w:val="0069131C"/>
    <w:rsid w:val="00695AA7"/>
    <w:rsid w:val="00697594"/>
    <w:rsid w:val="006A15AF"/>
    <w:rsid w:val="006B42C3"/>
    <w:rsid w:val="006B64C8"/>
    <w:rsid w:val="006D10F3"/>
    <w:rsid w:val="006E6D92"/>
    <w:rsid w:val="006F3879"/>
    <w:rsid w:val="006F60A2"/>
    <w:rsid w:val="00717159"/>
    <w:rsid w:val="007172D3"/>
    <w:rsid w:val="007523D1"/>
    <w:rsid w:val="007538F3"/>
    <w:rsid w:val="007562F6"/>
    <w:rsid w:val="007648E6"/>
    <w:rsid w:val="00770609"/>
    <w:rsid w:val="00772861"/>
    <w:rsid w:val="00785567"/>
    <w:rsid w:val="007F5A52"/>
    <w:rsid w:val="00802BBD"/>
    <w:rsid w:val="00805E91"/>
    <w:rsid w:val="00810313"/>
    <w:rsid w:val="00816325"/>
    <w:rsid w:val="0082017B"/>
    <w:rsid w:val="008232D4"/>
    <w:rsid w:val="00834390"/>
    <w:rsid w:val="008415A9"/>
    <w:rsid w:val="008507B9"/>
    <w:rsid w:val="008509B1"/>
    <w:rsid w:val="00852867"/>
    <w:rsid w:val="0085362E"/>
    <w:rsid w:val="008603B7"/>
    <w:rsid w:val="00873201"/>
    <w:rsid w:val="0088053D"/>
    <w:rsid w:val="0088345E"/>
    <w:rsid w:val="0088779D"/>
    <w:rsid w:val="008909F3"/>
    <w:rsid w:val="008A2255"/>
    <w:rsid w:val="008A7A63"/>
    <w:rsid w:val="008C6E8B"/>
    <w:rsid w:val="008D3345"/>
    <w:rsid w:val="008E5D7D"/>
    <w:rsid w:val="008F38D2"/>
    <w:rsid w:val="009050D0"/>
    <w:rsid w:val="0091479B"/>
    <w:rsid w:val="00916BBE"/>
    <w:rsid w:val="00922F65"/>
    <w:rsid w:val="00926932"/>
    <w:rsid w:val="00932746"/>
    <w:rsid w:val="009556EF"/>
    <w:rsid w:val="009654D4"/>
    <w:rsid w:val="0096594C"/>
    <w:rsid w:val="00976DB9"/>
    <w:rsid w:val="009776CE"/>
    <w:rsid w:val="00994A86"/>
    <w:rsid w:val="009A02DB"/>
    <w:rsid w:val="009B080E"/>
    <w:rsid w:val="009B4487"/>
    <w:rsid w:val="009C2A30"/>
    <w:rsid w:val="009D1784"/>
    <w:rsid w:val="009D4457"/>
    <w:rsid w:val="00A230F5"/>
    <w:rsid w:val="00A3693B"/>
    <w:rsid w:val="00A44996"/>
    <w:rsid w:val="00A4540B"/>
    <w:rsid w:val="00A544DE"/>
    <w:rsid w:val="00A60DD5"/>
    <w:rsid w:val="00A66DF0"/>
    <w:rsid w:val="00A775EF"/>
    <w:rsid w:val="00A9345D"/>
    <w:rsid w:val="00AC1D2B"/>
    <w:rsid w:val="00AE1BB5"/>
    <w:rsid w:val="00AE2655"/>
    <w:rsid w:val="00AE525F"/>
    <w:rsid w:val="00AE7C97"/>
    <w:rsid w:val="00B042AD"/>
    <w:rsid w:val="00B0448F"/>
    <w:rsid w:val="00B05AF4"/>
    <w:rsid w:val="00B074A5"/>
    <w:rsid w:val="00B31F48"/>
    <w:rsid w:val="00B41408"/>
    <w:rsid w:val="00B47E97"/>
    <w:rsid w:val="00B616BE"/>
    <w:rsid w:val="00B71A89"/>
    <w:rsid w:val="00B7270E"/>
    <w:rsid w:val="00B9571E"/>
    <w:rsid w:val="00B9687A"/>
    <w:rsid w:val="00BB4932"/>
    <w:rsid w:val="00BC332E"/>
    <w:rsid w:val="00BF686B"/>
    <w:rsid w:val="00C01A2F"/>
    <w:rsid w:val="00C057CB"/>
    <w:rsid w:val="00C14CB1"/>
    <w:rsid w:val="00C25039"/>
    <w:rsid w:val="00C45217"/>
    <w:rsid w:val="00C54341"/>
    <w:rsid w:val="00C86A35"/>
    <w:rsid w:val="00C87968"/>
    <w:rsid w:val="00C91E8C"/>
    <w:rsid w:val="00CA3B14"/>
    <w:rsid w:val="00CA3DF9"/>
    <w:rsid w:val="00CB39DE"/>
    <w:rsid w:val="00CB4214"/>
    <w:rsid w:val="00CB7508"/>
    <w:rsid w:val="00CC236D"/>
    <w:rsid w:val="00CC4591"/>
    <w:rsid w:val="00CD0986"/>
    <w:rsid w:val="00CF6733"/>
    <w:rsid w:val="00D02A05"/>
    <w:rsid w:val="00D2359D"/>
    <w:rsid w:val="00D4709A"/>
    <w:rsid w:val="00D55410"/>
    <w:rsid w:val="00D65D2F"/>
    <w:rsid w:val="00D70DDF"/>
    <w:rsid w:val="00D72AE3"/>
    <w:rsid w:val="00D84456"/>
    <w:rsid w:val="00D96CA6"/>
    <w:rsid w:val="00DA42DA"/>
    <w:rsid w:val="00DC46B0"/>
    <w:rsid w:val="00DC5FB4"/>
    <w:rsid w:val="00DC773F"/>
    <w:rsid w:val="00DE0F6A"/>
    <w:rsid w:val="00DE27AF"/>
    <w:rsid w:val="00E02D71"/>
    <w:rsid w:val="00E050CF"/>
    <w:rsid w:val="00E104D0"/>
    <w:rsid w:val="00E10E9D"/>
    <w:rsid w:val="00E12597"/>
    <w:rsid w:val="00E35323"/>
    <w:rsid w:val="00E400D7"/>
    <w:rsid w:val="00E50779"/>
    <w:rsid w:val="00E67F8D"/>
    <w:rsid w:val="00E771FD"/>
    <w:rsid w:val="00E952B9"/>
    <w:rsid w:val="00EA06B9"/>
    <w:rsid w:val="00EB039B"/>
    <w:rsid w:val="00EB52F0"/>
    <w:rsid w:val="00EB5FD1"/>
    <w:rsid w:val="00EB7D33"/>
    <w:rsid w:val="00EC0E09"/>
    <w:rsid w:val="00EC6D4C"/>
    <w:rsid w:val="00ED67BC"/>
    <w:rsid w:val="00EE4815"/>
    <w:rsid w:val="00EE4F2F"/>
    <w:rsid w:val="00EF58CE"/>
    <w:rsid w:val="00F005D0"/>
    <w:rsid w:val="00F31EEC"/>
    <w:rsid w:val="00F37A0B"/>
    <w:rsid w:val="00F60209"/>
    <w:rsid w:val="00F65F7F"/>
    <w:rsid w:val="00F70137"/>
    <w:rsid w:val="00F71388"/>
    <w:rsid w:val="00F74DBC"/>
    <w:rsid w:val="00FA4310"/>
    <w:rsid w:val="00FB0BF0"/>
    <w:rsid w:val="00FF5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1B1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FF5"/>
    <w:pPr>
      <w:widowControl w:val="0"/>
      <w:jc w:val="both"/>
    </w:pPr>
    <w:rPr>
      <w:rFonts w:ascii="Cambria" w:eastAsia="SimSun" w:hAnsi="Cambria" w:cs="Times New Roman"/>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11FF5"/>
    <w:pPr>
      <w:tabs>
        <w:tab w:val="center" w:pos="4320"/>
        <w:tab w:val="right" w:pos="8640"/>
      </w:tabs>
      <w:snapToGrid w:val="0"/>
      <w:jc w:val="left"/>
    </w:pPr>
    <w:rPr>
      <w:sz w:val="18"/>
      <w:szCs w:val="18"/>
    </w:rPr>
  </w:style>
  <w:style w:type="character" w:customStyle="1" w:styleId="FooterChar">
    <w:name w:val="Footer Char"/>
    <w:basedOn w:val="DefaultParagraphFont"/>
    <w:link w:val="Footer"/>
    <w:uiPriority w:val="99"/>
    <w:rsid w:val="00411FF5"/>
    <w:rPr>
      <w:rFonts w:ascii="Cambria" w:eastAsia="SimSun" w:hAnsi="Cambria" w:cs="Times New Roman"/>
      <w:kern w:val="2"/>
      <w:sz w:val="18"/>
      <w:szCs w:val="18"/>
    </w:rPr>
  </w:style>
  <w:style w:type="character" w:styleId="PageNumber">
    <w:name w:val="page number"/>
    <w:basedOn w:val="DefaultParagraphFont"/>
    <w:uiPriority w:val="99"/>
    <w:semiHidden/>
    <w:unhideWhenUsed/>
    <w:rsid w:val="00411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652</Words>
  <Characters>3722</Characters>
  <Application>Microsoft Macintosh Word</Application>
  <DocSecurity>0</DocSecurity>
  <Lines>31</Lines>
  <Paragraphs>8</Paragraphs>
  <ScaleCrop>false</ScaleCrop>
  <LinksUpToDate>false</LinksUpToDate>
  <CharactersWithSpaces>4366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2016-10-07T18:40:00Z</dcterms:created>
  <dcterms:modified xsi:type="dcterms:W3CDTF">2016-10-07T18:40:00Z</dcterms:modified>
</cp:coreProperties>
</file>