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35FBB" w14:textId="77777777" w:rsidR="00C57C3B" w:rsidRPr="00FD2CDD" w:rsidRDefault="00C57C3B" w:rsidP="00C57C3B">
      <w:pPr>
        <w:spacing w:line="480" w:lineRule="auto"/>
        <w:outlineLvl w:val="0"/>
        <w:rPr>
          <w:rFonts w:ascii="Times New Roman" w:hAnsi="Times New Roman"/>
          <w:b/>
          <w:color w:val="000000" w:themeColor="text1"/>
        </w:rPr>
      </w:pPr>
      <w:r w:rsidRPr="00FD2CDD">
        <w:rPr>
          <w:rFonts w:ascii="Times New Roman" w:hAnsi="Times New Roman"/>
          <w:b/>
          <w:color w:val="000000" w:themeColor="text1"/>
        </w:rPr>
        <w:t xml:space="preserve">Supplemental information on </w:t>
      </w:r>
      <w:r>
        <w:rPr>
          <w:rFonts w:ascii="Times New Roman" w:hAnsi="Times New Roman"/>
          <w:b/>
          <w:color w:val="000000" w:themeColor="text1"/>
        </w:rPr>
        <w:t xml:space="preserve">COP based measurements </w:t>
      </w:r>
      <w:r w:rsidRPr="00FD2CDD">
        <w:rPr>
          <w:rFonts w:ascii="Times New Roman" w:hAnsi="Times New Roman"/>
          <w:b/>
          <w:color w:val="000000" w:themeColor="text1"/>
        </w:rPr>
        <w:t xml:space="preserve">  </w:t>
      </w:r>
    </w:p>
    <w:p w14:paraId="6F9C4AF1" w14:textId="77777777" w:rsidR="00C57C3B" w:rsidRPr="00540814" w:rsidRDefault="00C57C3B" w:rsidP="00C57C3B">
      <w:pPr>
        <w:spacing w:line="480" w:lineRule="auto"/>
        <w:ind w:firstLine="72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Demographic and developmental</w:t>
      </w:r>
      <w:r w:rsidRPr="00540814">
        <w:rPr>
          <w:rFonts w:ascii="Times New Roman" w:hAnsi="Times New Roman"/>
          <w:b/>
        </w:rPr>
        <w:t xml:space="preserve"> variables </w:t>
      </w:r>
      <w:r>
        <w:rPr>
          <w:rFonts w:ascii="Times New Roman" w:hAnsi="Times New Roman"/>
          <w:b/>
        </w:rPr>
        <w:t>potentially affecting children’s postural sway can be considered as covariates in the present study and they include</w:t>
      </w:r>
      <w:r w:rsidRPr="00540814">
        <w:rPr>
          <w:rFonts w:ascii="Times New Roman" w:hAnsi="Times New Roman"/>
          <w:b/>
        </w:rPr>
        <w:t xml:space="preserve"> participants’ age, height, weight and IQ scores</w:t>
      </w:r>
      <w:r>
        <w:rPr>
          <w:rFonts w:ascii="Times New Roman" w:hAnsi="Times New Roman"/>
          <w:b/>
        </w:rPr>
        <w:t xml:space="preserve"> (i.e., verbal, performance and full scale IQs)</w:t>
      </w:r>
      <w:r w:rsidRPr="00540814">
        <w:rPr>
          <w:rFonts w:ascii="Times New Roman" w:hAnsi="Times New Roman"/>
          <w:b/>
        </w:rPr>
        <w:t xml:space="preserve">. We controlled </w:t>
      </w:r>
      <w:r>
        <w:rPr>
          <w:rFonts w:ascii="Times New Roman" w:hAnsi="Times New Roman"/>
          <w:b/>
        </w:rPr>
        <w:t xml:space="preserve">the influences of </w:t>
      </w:r>
      <w:r w:rsidRPr="00540814">
        <w:rPr>
          <w:rFonts w:ascii="Times New Roman" w:hAnsi="Times New Roman"/>
          <w:b/>
        </w:rPr>
        <w:t xml:space="preserve">these variables </w:t>
      </w:r>
      <w:r>
        <w:rPr>
          <w:rFonts w:ascii="Times New Roman" w:hAnsi="Times New Roman"/>
          <w:b/>
        </w:rPr>
        <w:t>in our analyses by matching</w:t>
      </w:r>
      <w:r w:rsidRPr="00540814">
        <w:rPr>
          <w:rFonts w:ascii="Times New Roman" w:hAnsi="Times New Roman"/>
          <w:b/>
        </w:rPr>
        <w:t xml:space="preserve"> groups </w:t>
      </w:r>
      <w:r>
        <w:rPr>
          <w:rFonts w:ascii="Times New Roman" w:hAnsi="Times New Roman"/>
          <w:b/>
        </w:rPr>
        <w:t xml:space="preserve">as closely as possible on each of these factors </w:t>
      </w:r>
      <w:r w:rsidRPr="00540814">
        <w:rPr>
          <w:rFonts w:ascii="Times New Roman" w:hAnsi="Times New Roman"/>
          <w:b/>
        </w:rPr>
        <w:t>(Table 1)</w:t>
      </w:r>
      <w:r>
        <w:rPr>
          <w:rFonts w:ascii="Times New Roman" w:hAnsi="Times New Roman"/>
          <w:b/>
        </w:rPr>
        <w:t>. Therefore, findings of postural control differences between groups within the manuscript are interpreted as reflective of postural alterations characteristic of ASD, rather than reflecting influences of other possible confounding factors</w:t>
      </w:r>
      <w:r w:rsidRPr="00540814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Still,</w:t>
      </w:r>
      <w:r w:rsidRPr="00540814">
        <w:rPr>
          <w:rFonts w:ascii="Times New Roman" w:hAnsi="Times New Roman"/>
          <w:b/>
        </w:rPr>
        <w:t xml:space="preserve"> effects of covariates on key dependent </w:t>
      </w:r>
      <w:r>
        <w:rPr>
          <w:rFonts w:ascii="Times New Roman" w:hAnsi="Times New Roman"/>
          <w:b/>
        </w:rPr>
        <w:t>postural satiability measures are reported</w:t>
      </w:r>
      <w:r w:rsidRPr="0054081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in this</w:t>
      </w:r>
      <w:r w:rsidRPr="00540814">
        <w:rPr>
          <w:rFonts w:ascii="Times New Roman" w:hAnsi="Times New Roman"/>
          <w:b/>
        </w:rPr>
        <w:t xml:space="preserve"> supplement</w:t>
      </w:r>
      <w:r>
        <w:rPr>
          <w:rFonts w:ascii="Times New Roman" w:hAnsi="Times New Roman"/>
          <w:b/>
        </w:rPr>
        <w:t>al</w:t>
      </w:r>
      <w:r w:rsidRPr="00540814">
        <w:rPr>
          <w:rFonts w:ascii="Times New Roman" w:hAnsi="Times New Roman"/>
          <w:b/>
        </w:rPr>
        <w:t xml:space="preserve"> section. Given the multicollinearity </w:t>
      </w:r>
      <w:r>
        <w:rPr>
          <w:rFonts w:ascii="Times New Roman" w:hAnsi="Times New Roman"/>
          <w:b/>
        </w:rPr>
        <w:t>of</w:t>
      </w:r>
      <w:r w:rsidRPr="00540814">
        <w:rPr>
          <w:rFonts w:ascii="Times New Roman" w:hAnsi="Times New Roman"/>
          <w:b/>
        </w:rPr>
        <w:t xml:space="preserve"> children’s height and weight, we used body mass index (BMI) as a resultant variable </w:t>
      </w:r>
      <w:r>
        <w:rPr>
          <w:rFonts w:ascii="Times New Roman" w:hAnsi="Times New Roman"/>
          <w:b/>
        </w:rPr>
        <w:t>in these statistical models. BMI was</w:t>
      </w:r>
      <w:r w:rsidRPr="00540814">
        <w:rPr>
          <w:rFonts w:ascii="Times New Roman" w:hAnsi="Times New Roman"/>
          <w:b/>
        </w:rPr>
        <w:t xml:space="preserve"> calculated </w:t>
      </w:r>
      <w:r>
        <w:rPr>
          <w:rFonts w:ascii="Times New Roman" w:hAnsi="Times New Roman"/>
          <w:b/>
        </w:rPr>
        <w:t>using a</w:t>
      </w:r>
      <w:r w:rsidRPr="0054081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child</w:t>
      </w:r>
      <w:r w:rsidRPr="00540814">
        <w:rPr>
          <w:rFonts w:ascii="Times New Roman" w:hAnsi="Times New Roman"/>
          <w:b/>
        </w:rPr>
        <w:t xml:space="preserve">’s weight in </w:t>
      </w:r>
      <w:r>
        <w:rPr>
          <w:rFonts w:ascii="Times New Roman" w:hAnsi="Times New Roman"/>
          <w:b/>
        </w:rPr>
        <w:t>kilogram</w:t>
      </w:r>
      <w:r w:rsidRPr="00540814">
        <w:rPr>
          <w:rFonts w:ascii="Times New Roman" w:hAnsi="Times New Roman"/>
          <w:b/>
        </w:rPr>
        <w:t xml:space="preserve"> divided by the square of height in m</w:t>
      </w:r>
      <w:r>
        <w:rPr>
          <w:rFonts w:ascii="Times New Roman" w:hAnsi="Times New Roman"/>
          <w:b/>
        </w:rPr>
        <w:t>eter</w:t>
      </w:r>
      <w:r w:rsidRPr="00540814">
        <w:rPr>
          <w:rFonts w:ascii="Times New Roman" w:hAnsi="Times New Roman"/>
          <w:b/>
        </w:rPr>
        <w:t xml:space="preserve">. </w:t>
      </w:r>
    </w:p>
    <w:p w14:paraId="59F400BA" w14:textId="77777777" w:rsidR="00C57C3B" w:rsidRPr="00540814" w:rsidRDefault="00C57C3B" w:rsidP="00C57C3B">
      <w:pPr>
        <w:spacing w:line="480" w:lineRule="auto"/>
        <w:ind w:firstLine="720"/>
        <w:jc w:val="left"/>
        <w:rPr>
          <w:rFonts w:ascii="Times New Roman" w:hAnsi="Times New Roman"/>
          <w:b/>
          <w:color w:val="000000" w:themeColor="text1"/>
        </w:rPr>
      </w:pPr>
      <w:r w:rsidRPr="00540814">
        <w:rPr>
          <w:rFonts w:ascii="Times New Roman" w:hAnsi="Times New Roman"/>
          <w:b/>
        </w:rPr>
        <w:t>For COP standard deviation, we conducted a 3 (stance condition: static vs. AP sway vs.</w:t>
      </w:r>
      <w:r w:rsidRPr="00540814">
        <w:rPr>
          <w:rFonts w:ascii="Times New Roman" w:hAnsi="Times New Roman"/>
          <w:b/>
          <w:color w:val="000000" w:themeColor="text1"/>
        </w:rPr>
        <w:t xml:space="preserve"> ML sway) × 2 (COP direction: AP vs. ML) × 2 (group: ASD vs. TD) fixed effects repeated-measure ANOVA with covariates of age, BM</w:t>
      </w:r>
      <w:r>
        <w:rPr>
          <w:rFonts w:ascii="Times New Roman" w:hAnsi="Times New Roman"/>
          <w:b/>
          <w:color w:val="000000" w:themeColor="text1"/>
        </w:rPr>
        <w:t xml:space="preserve">I, verbal, performance and full </w:t>
      </w:r>
      <w:r w:rsidRPr="00540814">
        <w:rPr>
          <w:rFonts w:ascii="Times New Roman" w:hAnsi="Times New Roman"/>
          <w:b/>
          <w:color w:val="000000" w:themeColor="text1"/>
        </w:rPr>
        <w:t xml:space="preserve">scale IQs. </w:t>
      </w:r>
      <w:r>
        <w:rPr>
          <w:rFonts w:ascii="Times New Roman" w:hAnsi="Times New Roman"/>
          <w:b/>
          <w:color w:val="000000" w:themeColor="text1"/>
        </w:rPr>
        <w:t>Consistent with analyses performed without covariates, c</w:t>
      </w:r>
      <w:r w:rsidRPr="00540814">
        <w:rPr>
          <w:rFonts w:ascii="Times New Roman" w:hAnsi="Times New Roman"/>
          <w:b/>
          <w:color w:val="000000" w:themeColor="text1"/>
        </w:rPr>
        <w:t>hildren with ASD showed greater COP standard deviation as compared to TD controls (F</w:t>
      </w:r>
      <w:r w:rsidRPr="00540814">
        <w:rPr>
          <w:rFonts w:ascii="Times New Roman" w:hAnsi="Times New Roman"/>
          <w:b/>
          <w:color w:val="000000" w:themeColor="text1"/>
          <w:vertAlign w:val="subscript"/>
        </w:rPr>
        <w:t>1,34</w:t>
      </w:r>
      <w:r w:rsidRPr="00540814">
        <w:rPr>
          <w:rFonts w:ascii="Times New Roman" w:hAnsi="Times New Roman"/>
          <w:b/>
          <w:color w:val="000000" w:themeColor="text1"/>
        </w:rPr>
        <w:t xml:space="preserve">=7.892, p=0.008; ASD=2.914 cm, SE=0.133 cm; TD=2.336 cm, SE=0.137cm) and none of the covariates </w:t>
      </w:r>
      <w:r>
        <w:rPr>
          <w:rFonts w:ascii="Times New Roman" w:hAnsi="Times New Roman"/>
          <w:b/>
          <w:color w:val="000000" w:themeColor="text1"/>
        </w:rPr>
        <w:t>significantly affected the</w:t>
      </w:r>
      <w:r w:rsidRPr="00540814">
        <w:rPr>
          <w:rFonts w:ascii="Times New Roman" w:hAnsi="Times New Roman"/>
          <w:b/>
          <w:color w:val="000000" w:themeColor="text1"/>
        </w:rPr>
        <w:t xml:space="preserve"> group </w:t>
      </w:r>
      <w:r>
        <w:rPr>
          <w:rFonts w:ascii="Times New Roman" w:hAnsi="Times New Roman"/>
          <w:b/>
          <w:color w:val="000000" w:themeColor="text1"/>
        </w:rPr>
        <w:t>comparisons</w:t>
      </w:r>
      <w:r w:rsidRPr="00540814">
        <w:rPr>
          <w:rFonts w:ascii="Times New Roman" w:hAnsi="Times New Roman"/>
          <w:b/>
          <w:color w:val="000000" w:themeColor="text1"/>
        </w:rPr>
        <w:t>. For COP trajectory length and mutual information, two 3 (stance condition) × 2 (group) fixed effect</w:t>
      </w:r>
      <w:r>
        <w:rPr>
          <w:rFonts w:ascii="Times New Roman" w:hAnsi="Times New Roman"/>
          <w:b/>
          <w:color w:val="000000" w:themeColor="text1"/>
        </w:rPr>
        <w:t>s</w:t>
      </w:r>
      <w:r w:rsidRPr="00540814">
        <w:rPr>
          <w:rFonts w:ascii="Times New Roman" w:hAnsi="Times New Roman"/>
          <w:b/>
          <w:color w:val="000000" w:themeColor="text1"/>
        </w:rPr>
        <w:t xml:space="preserve"> repeated-measure ANOVAs were performed, respectively, with covariates of age, BM</w:t>
      </w:r>
      <w:r>
        <w:rPr>
          <w:rFonts w:ascii="Times New Roman" w:hAnsi="Times New Roman"/>
          <w:b/>
          <w:color w:val="000000" w:themeColor="text1"/>
        </w:rPr>
        <w:t xml:space="preserve">I, verbal, performance and full </w:t>
      </w:r>
      <w:r w:rsidRPr="00540814">
        <w:rPr>
          <w:rFonts w:ascii="Times New Roman" w:hAnsi="Times New Roman"/>
          <w:b/>
          <w:color w:val="000000" w:themeColor="text1"/>
        </w:rPr>
        <w:t>scale IQs. Children with ASD showed greater COP trajectory length (F</w:t>
      </w:r>
      <w:r w:rsidRPr="00540814">
        <w:rPr>
          <w:rFonts w:ascii="Times New Roman" w:hAnsi="Times New Roman"/>
          <w:b/>
          <w:color w:val="000000" w:themeColor="text1"/>
          <w:vertAlign w:val="subscript"/>
        </w:rPr>
        <w:t>1,34</w:t>
      </w:r>
      <w:r w:rsidRPr="00540814">
        <w:rPr>
          <w:rFonts w:ascii="Times New Roman" w:hAnsi="Times New Roman"/>
          <w:b/>
          <w:color w:val="000000" w:themeColor="text1"/>
        </w:rPr>
        <w:t xml:space="preserve">=10.296, p=0.003; </w:t>
      </w:r>
      <w:r w:rsidRPr="00540814">
        <w:rPr>
          <w:rFonts w:ascii="Times New Roman" w:hAnsi="Times New Roman"/>
          <w:b/>
          <w:color w:val="000000" w:themeColor="text1"/>
        </w:rPr>
        <w:lastRenderedPageBreak/>
        <w:t>ASD=211.274 cm, SE=11.532 cm; TD=151.682 cm, SE=12.579 cm) and mutual information (F</w:t>
      </w:r>
      <w:r w:rsidRPr="00540814">
        <w:rPr>
          <w:rFonts w:ascii="Times New Roman" w:hAnsi="Times New Roman"/>
          <w:b/>
          <w:color w:val="000000" w:themeColor="text1"/>
          <w:vertAlign w:val="subscript"/>
        </w:rPr>
        <w:t>1,35</w:t>
      </w:r>
      <w:r w:rsidRPr="00540814">
        <w:rPr>
          <w:rFonts w:ascii="Times New Roman" w:hAnsi="Times New Roman"/>
          <w:b/>
          <w:color w:val="000000" w:themeColor="text1"/>
        </w:rPr>
        <w:t>=20.885, p=0.000; ASD=0.722 bit, SE=0.028 bit; TD=0.522 bit, SE=0.029 bit) compared to controls</w:t>
      </w:r>
      <w:r>
        <w:rPr>
          <w:rFonts w:ascii="Times New Roman" w:hAnsi="Times New Roman"/>
          <w:b/>
          <w:color w:val="000000" w:themeColor="text1"/>
        </w:rPr>
        <w:t>. The</w:t>
      </w:r>
      <w:r w:rsidRPr="00540814">
        <w:rPr>
          <w:rFonts w:ascii="Times New Roman" w:hAnsi="Times New Roman"/>
          <w:b/>
          <w:color w:val="000000" w:themeColor="text1"/>
        </w:rPr>
        <w:t xml:space="preserve"> between-group effect </w:t>
      </w:r>
      <w:r>
        <w:rPr>
          <w:rFonts w:ascii="Times New Roman" w:hAnsi="Times New Roman"/>
          <w:b/>
          <w:color w:val="000000" w:themeColor="text1"/>
        </w:rPr>
        <w:t>of</w:t>
      </w:r>
      <w:r w:rsidRPr="00540814">
        <w:rPr>
          <w:rFonts w:ascii="Times New Roman" w:hAnsi="Times New Roman"/>
          <w:b/>
          <w:color w:val="000000" w:themeColor="text1"/>
        </w:rPr>
        <w:t xml:space="preserve"> mutual information </w:t>
      </w:r>
      <w:r>
        <w:rPr>
          <w:rFonts w:ascii="Times New Roman" w:hAnsi="Times New Roman"/>
          <w:b/>
          <w:color w:val="000000" w:themeColor="text1"/>
        </w:rPr>
        <w:t>was affected</w:t>
      </w:r>
      <w:r w:rsidRPr="00540814">
        <w:rPr>
          <w:rFonts w:ascii="Times New Roman" w:hAnsi="Times New Roman"/>
          <w:b/>
          <w:color w:val="000000" w:themeColor="text1"/>
        </w:rPr>
        <w:t xml:space="preserve"> by children’s age (F</w:t>
      </w:r>
      <w:r w:rsidRPr="00540814">
        <w:rPr>
          <w:rFonts w:ascii="Times New Roman" w:hAnsi="Times New Roman"/>
          <w:b/>
          <w:color w:val="000000" w:themeColor="text1"/>
          <w:vertAlign w:val="subscript"/>
        </w:rPr>
        <w:t>1,35</w:t>
      </w:r>
      <w:r w:rsidRPr="00540814">
        <w:rPr>
          <w:rFonts w:ascii="Times New Roman" w:hAnsi="Times New Roman"/>
          <w:b/>
          <w:color w:val="000000" w:themeColor="text1"/>
        </w:rPr>
        <w:t>=4.227, p=0.047) and BMI (F</w:t>
      </w:r>
      <w:r w:rsidRPr="00540814">
        <w:rPr>
          <w:rFonts w:ascii="Times New Roman" w:hAnsi="Times New Roman"/>
          <w:b/>
          <w:color w:val="000000" w:themeColor="text1"/>
          <w:vertAlign w:val="subscript"/>
        </w:rPr>
        <w:t>1,35</w:t>
      </w:r>
      <w:r w:rsidRPr="00540814">
        <w:rPr>
          <w:rFonts w:ascii="Times New Roman" w:hAnsi="Times New Roman"/>
          <w:b/>
          <w:color w:val="000000" w:themeColor="text1"/>
        </w:rPr>
        <w:t>=4.879, p=0.034)</w:t>
      </w:r>
      <w:r>
        <w:rPr>
          <w:rFonts w:ascii="Times New Roman" w:hAnsi="Times New Roman"/>
          <w:b/>
          <w:color w:val="000000" w:themeColor="text1"/>
        </w:rPr>
        <w:t>, but remained significant when including these factors in the model</w:t>
      </w:r>
      <w:r w:rsidRPr="00540814">
        <w:rPr>
          <w:rFonts w:ascii="Times New Roman" w:hAnsi="Times New Roman"/>
          <w:b/>
          <w:color w:val="000000" w:themeColor="text1"/>
        </w:rPr>
        <w:t xml:space="preserve">. </w:t>
      </w:r>
    </w:p>
    <w:p w14:paraId="00CCBF1C" w14:textId="77777777" w:rsidR="00C57C3B" w:rsidRPr="00540814" w:rsidRDefault="00C57C3B" w:rsidP="00C57C3B">
      <w:pPr>
        <w:spacing w:line="480" w:lineRule="auto"/>
        <w:ind w:firstLine="720"/>
        <w:jc w:val="left"/>
        <w:rPr>
          <w:rFonts w:ascii="Times New Roman" w:hAnsi="Times New Roman"/>
          <w:b/>
        </w:rPr>
      </w:pPr>
      <w:r w:rsidRPr="00540814">
        <w:rPr>
          <w:rFonts w:ascii="Times New Roman" w:hAnsi="Times New Roman"/>
          <w:b/>
          <w:color w:val="000000" w:themeColor="text1"/>
        </w:rPr>
        <w:t>For natural postural sway frequency dur</w:t>
      </w:r>
      <w:r>
        <w:rPr>
          <w:rFonts w:ascii="Times New Roman" w:hAnsi="Times New Roman"/>
          <w:b/>
          <w:color w:val="000000" w:themeColor="text1"/>
        </w:rPr>
        <w:t>ing AP and ML dynamic sways alone, we compared groups</w:t>
      </w:r>
      <w:r w:rsidRPr="00540814">
        <w:rPr>
          <w:rFonts w:ascii="Times New Roman" w:hAnsi="Times New Roman"/>
          <w:b/>
          <w:color w:val="000000" w:themeColor="text1"/>
        </w:rPr>
        <w:t xml:space="preserve"> using a 2 (stance condition) × 2 (group) fixed effect</w:t>
      </w:r>
      <w:r>
        <w:rPr>
          <w:rFonts w:ascii="Times New Roman" w:hAnsi="Times New Roman"/>
          <w:b/>
          <w:color w:val="000000" w:themeColor="text1"/>
        </w:rPr>
        <w:t>s</w:t>
      </w:r>
      <w:r w:rsidRPr="00540814">
        <w:rPr>
          <w:rFonts w:ascii="Times New Roman" w:hAnsi="Times New Roman"/>
          <w:b/>
          <w:color w:val="000000" w:themeColor="text1"/>
        </w:rPr>
        <w:t xml:space="preserve"> repeated-measure ANOVA with the same covariates</w:t>
      </w:r>
      <w:r>
        <w:rPr>
          <w:rFonts w:ascii="Times New Roman" w:hAnsi="Times New Roman"/>
          <w:b/>
          <w:color w:val="000000" w:themeColor="text1"/>
        </w:rPr>
        <w:t xml:space="preserve"> as described above</w:t>
      </w:r>
      <w:r w:rsidRPr="00540814">
        <w:rPr>
          <w:rFonts w:ascii="Times New Roman" w:hAnsi="Times New Roman"/>
          <w:b/>
          <w:color w:val="000000" w:themeColor="text1"/>
        </w:rPr>
        <w:t>. Consistent with result</w:t>
      </w:r>
      <w:r>
        <w:rPr>
          <w:rFonts w:ascii="Times New Roman" w:hAnsi="Times New Roman"/>
          <w:b/>
          <w:color w:val="000000" w:themeColor="text1"/>
        </w:rPr>
        <w:t>s</w:t>
      </w:r>
      <w:r w:rsidRPr="00540814">
        <w:rPr>
          <w:rFonts w:ascii="Times New Roman" w:hAnsi="Times New Roman"/>
          <w:b/>
          <w:color w:val="000000" w:themeColor="text1"/>
        </w:rPr>
        <w:t xml:space="preserve"> reported in the manuscript, </w:t>
      </w:r>
      <w:r>
        <w:rPr>
          <w:rFonts w:ascii="Times New Roman" w:hAnsi="Times New Roman"/>
          <w:b/>
          <w:color w:val="000000" w:themeColor="text1"/>
        </w:rPr>
        <w:t>there was no difference in sway frequency between individuals with ASD and controls</w:t>
      </w:r>
      <w:r w:rsidRPr="00540814">
        <w:rPr>
          <w:rFonts w:ascii="Times New Roman" w:hAnsi="Times New Roman"/>
          <w:b/>
          <w:color w:val="000000" w:themeColor="text1"/>
        </w:rPr>
        <w:t xml:space="preserve"> (F</w:t>
      </w:r>
      <w:r w:rsidRPr="00540814">
        <w:rPr>
          <w:rFonts w:ascii="Times New Roman" w:hAnsi="Times New Roman"/>
          <w:b/>
          <w:color w:val="000000" w:themeColor="text1"/>
          <w:vertAlign w:val="subscript"/>
        </w:rPr>
        <w:t>1,35</w:t>
      </w:r>
      <w:r w:rsidRPr="00540814">
        <w:rPr>
          <w:rFonts w:ascii="Times New Roman" w:hAnsi="Times New Roman"/>
          <w:b/>
          <w:color w:val="000000" w:themeColor="text1"/>
        </w:rPr>
        <w:t xml:space="preserve">=0.648, p=0.426; ASD=0.326 Hz, SE=0.019 Hz; TD=0.348 Hz, SE=0.020 Hz). </w:t>
      </w:r>
    </w:p>
    <w:p w14:paraId="49CC38FD" w14:textId="77777777" w:rsidR="00C57C3B" w:rsidRPr="00FD2CDD" w:rsidRDefault="00C57C3B" w:rsidP="00C57C3B">
      <w:pPr>
        <w:widowControl/>
        <w:jc w:val="left"/>
        <w:rPr>
          <w:rFonts w:ascii="Times New Roman" w:hAnsi="Times New Roman"/>
          <w:b/>
          <w:i/>
          <w:color w:val="000000" w:themeColor="text1"/>
        </w:rPr>
      </w:pPr>
    </w:p>
    <w:p w14:paraId="3AB31502" w14:textId="77777777" w:rsidR="00CF6733" w:rsidRDefault="00CF6733">
      <w:bookmarkStart w:id="0" w:name="_GoBack"/>
      <w:bookmarkEnd w:id="0"/>
    </w:p>
    <w:sectPr w:rsidR="00CF6733" w:rsidSect="008C3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C3B"/>
    <w:rsid w:val="00002093"/>
    <w:rsid w:val="000059CA"/>
    <w:rsid w:val="000067A0"/>
    <w:rsid w:val="000268DE"/>
    <w:rsid w:val="000326A8"/>
    <w:rsid w:val="00034667"/>
    <w:rsid w:val="00036B2A"/>
    <w:rsid w:val="00044E22"/>
    <w:rsid w:val="00045D98"/>
    <w:rsid w:val="0005376D"/>
    <w:rsid w:val="0009109F"/>
    <w:rsid w:val="000A44B1"/>
    <w:rsid w:val="000B4C5E"/>
    <w:rsid w:val="000C3B21"/>
    <w:rsid w:val="000C73EE"/>
    <w:rsid w:val="00113D12"/>
    <w:rsid w:val="0011504F"/>
    <w:rsid w:val="001272FC"/>
    <w:rsid w:val="00140743"/>
    <w:rsid w:val="00165C47"/>
    <w:rsid w:val="001738B5"/>
    <w:rsid w:val="001847DC"/>
    <w:rsid w:val="001935D7"/>
    <w:rsid w:val="00196286"/>
    <w:rsid w:val="001A6667"/>
    <w:rsid w:val="001B02EF"/>
    <w:rsid w:val="001C2C3C"/>
    <w:rsid w:val="001D35C9"/>
    <w:rsid w:val="00205FD2"/>
    <w:rsid w:val="00260D29"/>
    <w:rsid w:val="00262825"/>
    <w:rsid w:val="00265BB5"/>
    <w:rsid w:val="00273717"/>
    <w:rsid w:val="00296B4D"/>
    <w:rsid w:val="002A7461"/>
    <w:rsid w:val="002B2C78"/>
    <w:rsid w:val="002B5104"/>
    <w:rsid w:val="002B61E1"/>
    <w:rsid w:val="002D1BD5"/>
    <w:rsid w:val="002D61F3"/>
    <w:rsid w:val="003023A8"/>
    <w:rsid w:val="0031172F"/>
    <w:rsid w:val="0031631D"/>
    <w:rsid w:val="00335AA7"/>
    <w:rsid w:val="00341D29"/>
    <w:rsid w:val="00345D62"/>
    <w:rsid w:val="00346952"/>
    <w:rsid w:val="0035235C"/>
    <w:rsid w:val="00364237"/>
    <w:rsid w:val="003717CE"/>
    <w:rsid w:val="0037386F"/>
    <w:rsid w:val="003740C9"/>
    <w:rsid w:val="00391910"/>
    <w:rsid w:val="00391D26"/>
    <w:rsid w:val="003959F0"/>
    <w:rsid w:val="003A58D5"/>
    <w:rsid w:val="003A7230"/>
    <w:rsid w:val="003B69EE"/>
    <w:rsid w:val="003D34D5"/>
    <w:rsid w:val="003D3C7E"/>
    <w:rsid w:val="003E04D0"/>
    <w:rsid w:val="003F1E55"/>
    <w:rsid w:val="004110E8"/>
    <w:rsid w:val="00422161"/>
    <w:rsid w:val="00422547"/>
    <w:rsid w:val="0042337E"/>
    <w:rsid w:val="004371B4"/>
    <w:rsid w:val="00441294"/>
    <w:rsid w:val="004454BA"/>
    <w:rsid w:val="00450221"/>
    <w:rsid w:val="00451107"/>
    <w:rsid w:val="00451144"/>
    <w:rsid w:val="004529BE"/>
    <w:rsid w:val="0045550C"/>
    <w:rsid w:val="00487E58"/>
    <w:rsid w:val="004910D9"/>
    <w:rsid w:val="004A51DA"/>
    <w:rsid w:val="004A52F1"/>
    <w:rsid w:val="004B52BE"/>
    <w:rsid w:val="004C5052"/>
    <w:rsid w:val="004D0663"/>
    <w:rsid w:val="004F00F3"/>
    <w:rsid w:val="004F3381"/>
    <w:rsid w:val="005035E2"/>
    <w:rsid w:val="005117BE"/>
    <w:rsid w:val="00512081"/>
    <w:rsid w:val="00516005"/>
    <w:rsid w:val="0052396A"/>
    <w:rsid w:val="00530D87"/>
    <w:rsid w:val="00537273"/>
    <w:rsid w:val="00542210"/>
    <w:rsid w:val="005547F8"/>
    <w:rsid w:val="005637CA"/>
    <w:rsid w:val="0057068C"/>
    <w:rsid w:val="005833FA"/>
    <w:rsid w:val="00585A3D"/>
    <w:rsid w:val="0059388A"/>
    <w:rsid w:val="005A7A74"/>
    <w:rsid w:val="005D054E"/>
    <w:rsid w:val="005D37EC"/>
    <w:rsid w:val="005D65B2"/>
    <w:rsid w:val="005E24C8"/>
    <w:rsid w:val="005F3157"/>
    <w:rsid w:val="00615A81"/>
    <w:rsid w:val="00625261"/>
    <w:rsid w:val="00661D20"/>
    <w:rsid w:val="006764D4"/>
    <w:rsid w:val="00686B70"/>
    <w:rsid w:val="0069131C"/>
    <w:rsid w:val="00695AA7"/>
    <w:rsid w:val="00697594"/>
    <w:rsid w:val="006A15AF"/>
    <w:rsid w:val="006B42C3"/>
    <w:rsid w:val="006B64C8"/>
    <w:rsid w:val="006D10F3"/>
    <w:rsid w:val="006E6D92"/>
    <w:rsid w:val="006F3879"/>
    <w:rsid w:val="006F60A2"/>
    <w:rsid w:val="00717159"/>
    <w:rsid w:val="007172D3"/>
    <w:rsid w:val="007523D1"/>
    <w:rsid w:val="007538F3"/>
    <w:rsid w:val="007562F6"/>
    <w:rsid w:val="007648E6"/>
    <w:rsid w:val="00770609"/>
    <w:rsid w:val="00772861"/>
    <w:rsid w:val="00785567"/>
    <w:rsid w:val="007F5A52"/>
    <w:rsid w:val="00802BBD"/>
    <w:rsid w:val="00805E91"/>
    <w:rsid w:val="00810313"/>
    <w:rsid w:val="00816325"/>
    <w:rsid w:val="0082017B"/>
    <w:rsid w:val="008232D4"/>
    <w:rsid w:val="00834390"/>
    <w:rsid w:val="008415A9"/>
    <w:rsid w:val="008507B9"/>
    <w:rsid w:val="008509B1"/>
    <w:rsid w:val="00852867"/>
    <w:rsid w:val="0085362E"/>
    <w:rsid w:val="008603B7"/>
    <w:rsid w:val="00873201"/>
    <w:rsid w:val="0088053D"/>
    <w:rsid w:val="0088345E"/>
    <w:rsid w:val="0088779D"/>
    <w:rsid w:val="008909F3"/>
    <w:rsid w:val="008A2255"/>
    <w:rsid w:val="008A7A63"/>
    <w:rsid w:val="008C6E8B"/>
    <w:rsid w:val="008D3345"/>
    <w:rsid w:val="008E5D7D"/>
    <w:rsid w:val="008F38D2"/>
    <w:rsid w:val="009050D0"/>
    <w:rsid w:val="0091479B"/>
    <w:rsid w:val="00916BBE"/>
    <w:rsid w:val="00922F65"/>
    <w:rsid w:val="00926932"/>
    <w:rsid w:val="00932746"/>
    <w:rsid w:val="009556EF"/>
    <w:rsid w:val="009654D4"/>
    <w:rsid w:val="0096594C"/>
    <w:rsid w:val="00976DB9"/>
    <w:rsid w:val="009776CE"/>
    <w:rsid w:val="00994A86"/>
    <w:rsid w:val="009A02DB"/>
    <w:rsid w:val="009B080E"/>
    <w:rsid w:val="009B4487"/>
    <w:rsid w:val="009C2A30"/>
    <w:rsid w:val="009D1784"/>
    <w:rsid w:val="009D4457"/>
    <w:rsid w:val="00A230F5"/>
    <w:rsid w:val="00A3693B"/>
    <w:rsid w:val="00A44996"/>
    <w:rsid w:val="00A4540B"/>
    <w:rsid w:val="00A544DE"/>
    <w:rsid w:val="00A60DD5"/>
    <w:rsid w:val="00A66DF0"/>
    <w:rsid w:val="00A775EF"/>
    <w:rsid w:val="00A9345D"/>
    <w:rsid w:val="00AC1D2B"/>
    <w:rsid w:val="00AE1BB5"/>
    <w:rsid w:val="00AE2655"/>
    <w:rsid w:val="00AE525F"/>
    <w:rsid w:val="00AE7C97"/>
    <w:rsid w:val="00B042AD"/>
    <w:rsid w:val="00B0448F"/>
    <w:rsid w:val="00B05AF4"/>
    <w:rsid w:val="00B074A5"/>
    <w:rsid w:val="00B31F48"/>
    <w:rsid w:val="00B41408"/>
    <w:rsid w:val="00B47E97"/>
    <w:rsid w:val="00B616BE"/>
    <w:rsid w:val="00B71A89"/>
    <w:rsid w:val="00B7270E"/>
    <w:rsid w:val="00B9571E"/>
    <w:rsid w:val="00B9687A"/>
    <w:rsid w:val="00BB4932"/>
    <w:rsid w:val="00BC332E"/>
    <w:rsid w:val="00BF686B"/>
    <w:rsid w:val="00C01A2F"/>
    <w:rsid w:val="00C057CB"/>
    <w:rsid w:val="00C14CB1"/>
    <w:rsid w:val="00C25039"/>
    <w:rsid w:val="00C45217"/>
    <w:rsid w:val="00C54341"/>
    <w:rsid w:val="00C57C3B"/>
    <w:rsid w:val="00C86A35"/>
    <w:rsid w:val="00C87968"/>
    <w:rsid w:val="00C91E8C"/>
    <w:rsid w:val="00CA3B14"/>
    <w:rsid w:val="00CA3DF9"/>
    <w:rsid w:val="00CB39DE"/>
    <w:rsid w:val="00CB4214"/>
    <w:rsid w:val="00CB7508"/>
    <w:rsid w:val="00CC236D"/>
    <w:rsid w:val="00CC4591"/>
    <w:rsid w:val="00CD0986"/>
    <w:rsid w:val="00CF6733"/>
    <w:rsid w:val="00D02A05"/>
    <w:rsid w:val="00D2359D"/>
    <w:rsid w:val="00D4709A"/>
    <w:rsid w:val="00D55410"/>
    <w:rsid w:val="00D65D2F"/>
    <w:rsid w:val="00D70DDF"/>
    <w:rsid w:val="00D72AE3"/>
    <w:rsid w:val="00D84456"/>
    <w:rsid w:val="00D96CA6"/>
    <w:rsid w:val="00DA42DA"/>
    <w:rsid w:val="00DC46B0"/>
    <w:rsid w:val="00DC5FB4"/>
    <w:rsid w:val="00DC773F"/>
    <w:rsid w:val="00DE0F6A"/>
    <w:rsid w:val="00DE27AF"/>
    <w:rsid w:val="00E02D71"/>
    <w:rsid w:val="00E050CF"/>
    <w:rsid w:val="00E104D0"/>
    <w:rsid w:val="00E10E9D"/>
    <w:rsid w:val="00E12597"/>
    <w:rsid w:val="00E35323"/>
    <w:rsid w:val="00E400D7"/>
    <w:rsid w:val="00E50779"/>
    <w:rsid w:val="00E67F8D"/>
    <w:rsid w:val="00E771FD"/>
    <w:rsid w:val="00E952B9"/>
    <w:rsid w:val="00EA06B9"/>
    <w:rsid w:val="00EB039B"/>
    <w:rsid w:val="00EB52F0"/>
    <w:rsid w:val="00EB5FD1"/>
    <w:rsid w:val="00EB7D33"/>
    <w:rsid w:val="00EC0E09"/>
    <w:rsid w:val="00EC6D4C"/>
    <w:rsid w:val="00ED67BC"/>
    <w:rsid w:val="00EE4815"/>
    <w:rsid w:val="00EE4F2F"/>
    <w:rsid w:val="00EF58CE"/>
    <w:rsid w:val="00F005D0"/>
    <w:rsid w:val="00F31EEC"/>
    <w:rsid w:val="00F37A0B"/>
    <w:rsid w:val="00F60209"/>
    <w:rsid w:val="00F65F7F"/>
    <w:rsid w:val="00F70137"/>
    <w:rsid w:val="00F71388"/>
    <w:rsid w:val="00F74DBC"/>
    <w:rsid w:val="00FA4310"/>
    <w:rsid w:val="00FB0BF0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90E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C3B"/>
    <w:pPr>
      <w:widowControl w:val="0"/>
      <w:jc w:val="both"/>
    </w:pPr>
    <w:rPr>
      <w:rFonts w:ascii="Cambria" w:eastAsia="SimSun" w:hAnsi="Cambria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Macintosh Word</Application>
  <DocSecurity>0</DocSecurity>
  <Lines>19</Lines>
  <Paragraphs>5</Paragraphs>
  <ScaleCrop>false</ScaleCrop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2016-10-07T18:40:00Z</dcterms:created>
  <dcterms:modified xsi:type="dcterms:W3CDTF">2016-10-07T18:40:00Z</dcterms:modified>
</cp:coreProperties>
</file>