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4D24E" w14:textId="7D4A7F86" w:rsidR="00EB5549" w:rsidRPr="003F58D5" w:rsidRDefault="003F58D5" w:rsidP="003F58D5">
      <w:pPr>
        <w:spacing w:line="480" w:lineRule="auto"/>
        <w:jc w:val="both"/>
        <w:rPr>
          <w:rFonts w:ascii="Times New Roman" w:hAnsi="Times New Roman" w:cs="Times New Roman"/>
          <w:b/>
          <w:sz w:val="22"/>
          <w:szCs w:val="22"/>
          <w:lang w:val="en-GB"/>
        </w:rPr>
      </w:pPr>
      <w:r w:rsidRPr="003F58D5">
        <w:rPr>
          <w:rFonts w:ascii="Times New Roman" w:hAnsi="Times New Roman" w:cs="Times New Roman"/>
          <w:b/>
          <w:sz w:val="22"/>
          <w:szCs w:val="22"/>
          <w:lang w:val="en-GB"/>
        </w:rPr>
        <w:t xml:space="preserve">Additional file 1: </w:t>
      </w:r>
      <w:r w:rsidR="00EB5549" w:rsidRPr="003F58D5">
        <w:rPr>
          <w:rFonts w:ascii="Times New Roman" w:hAnsi="Times New Roman" w:cs="Times New Roman"/>
          <w:b/>
          <w:sz w:val="22"/>
          <w:szCs w:val="22"/>
          <w:lang w:val="en-GB"/>
        </w:rPr>
        <w:t>Table 1</w:t>
      </w:r>
      <w:r w:rsidRPr="003F58D5">
        <w:rPr>
          <w:rFonts w:ascii="Times New Roman" w:hAnsi="Times New Roman" w:cs="Times New Roman"/>
          <w:b/>
          <w:sz w:val="22"/>
          <w:szCs w:val="22"/>
          <w:lang w:val="en-GB"/>
        </w:rPr>
        <w:t xml:space="preserve">. </w:t>
      </w:r>
      <w:r w:rsidR="00EB5549" w:rsidRPr="003F58D5">
        <w:rPr>
          <w:rFonts w:ascii="Times New Roman" w:hAnsi="Times New Roman" w:cs="Times New Roman"/>
          <w:sz w:val="22"/>
          <w:szCs w:val="22"/>
          <w:lang w:val="en-GB"/>
        </w:rPr>
        <w:t>Characteristic of the IAPS images selected</w:t>
      </w:r>
    </w:p>
    <w:tbl>
      <w:tblPr>
        <w:tblStyle w:val="TableGrid"/>
        <w:tblW w:w="0" w:type="auto"/>
        <w:tblLook w:val="04A0" w:firstRow="1" w:lastRow="0" w:firstColumn="1" w:lastColumn="0" w:noHBand="0" w:noVBand="1"/>
      </w:tblPr>
      <w:tblGrid>
        <w:gridCol w:w="1242"/>
        <w:gridCol w:w="1185"/>
        <w:gridCol w:w="1211"/>
        <w:gridCol w:w="953"/>
        <w:gridCol w:w="1329"/>
        <w:gridCol w:w="1298"/>
        <w:gridCol w:w="1278"/>
      </w:tblGrid>
      <w:tr w:rsidR="0012364B" w:rsidRPr="003F58D5" w14:paraId="2CF1E2EB" w14:textId="77777777" w:rsidTr="003F58D5">
        <w:trPr>
          <w:trHeight w:val="694"/>
        </w:trPr>
        <w:tc>
          <w:tcPr>
            <w:tcW w:w="1242" w:type="dxa"/>
            <w:tcBorders>
              <w:left w:val="nil"/>
              <w:right w:val="nil"/>
            </w:tcBorders>
          </w:tcPr>
          <w:p w14:paraId="6C715D14"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Condition</w:t>
            </w:r>
          </w:p>
        </w:tc>
        <w:tc>
          <w:tcPr>
            <w:tcW w:w="1185" w:type="dxa"/>
            <w:tcBorders>
              <w:left w:val="nil"/>
              <w:right w:val="nil"/>
            </w:tcBorders>
          </w:tcPr>
          <w:p w14:paraId="540CCBD7"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Social positive</w:t>
            </w:r>
          </w:p>
        </w:tc>
        <w:tc>
          <w:tcPr>
            <w:tcW w:w="1211" w:type="dxa"/>
            <w:tcBorders>
              <w:left w:val="nil"/>
              <w:right w:val="nil"/>
            </w:tcBorders>
          </w:tcPr>
          <w:p w14:paraId="09F4CF73"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Non-social positive</w:t>
            </w:r>
          </w:p>
        </w:tc>
        <w:tc>
          <w:tcPr>
            <w:tcW w:w="953" w:type="dxa"/>
            <w:tcBorders>
              <w:left w:val="nil"/>
              <w:right w:val="nil"/>
            </w:tcBorders>
          </w:tcPr>
          <w:p w14:paraId="0FC7282D"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p-value*</w:t>
            </w:r>
          </w:p>
        </w:tc>
        <w:tc>
          <w:tcPr>
            <w:tcW w:w="1329" w:type="dxa"/>
            <w:tcBorders>
              <w:left w:val="nil"/>
              <w:right w:val="nil"/>
            </w:tcBorders>
          </w:tcPr>
          <w:p w14:paraId="665CFF11"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Social negative</w:t>
            </w:r>
          </w:p>
        </w:tc>
        <w:tc>
          <w:tcPr>
            <w:tcW w:w="1298" w:type="dxa"/>
            <w:tcBorders>
              <w:left w:val="nil"/>
              <w:right w:val="nil"/>
            </w:tcBorders>
          </w:tcPr>
          <w:p w14:paraId="18B21C46"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Non-social negative</w:t>
            </w:r>
          </w:p>
        </w:tc>
        <w:tc>
          <w:tcPr>
            <w:tcW w:w="1278" w:type="dxa"/>
            <w:tcBorders>
              <w:left w:val="nil"/>
              <w:right w:val="nil"/>
            </w:tcBorders>
          </w:tcPr>
          <w:p w14:paraId="03F36EE4"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p-value*</w:t>
            </w:r>
          </w:p>
        </w:tc>
      </w:tr>
      <w:tr w:rsidR="0012364B" w:rsidRPr="003F58D5" w14:paraId="0D24240F" w14:textId="77777777" w:rsidTr="003F58D5">
        <w:tc>
          <w:tcPr>
            <w:tcW w:w="1242" w:type="dxa"/>
            <w:tcBorders>
              <w:left w:val="nil"/>
              <w:bottom w:val="nil"/>
              <w:right w:val="nil"/>
            </w:tcBorders>
          </w:tcPr>
          <w:p w14:paraId="569B0CCA"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Valence (Mean ± SD)</w:t>
            </w:r>
          </w:p>
        </w:tc>
        <w:tc>
          <w:tcPr>
            <w:tcW w:w="1185" w:type="dxa"/>
            <w:tcBorders>
              <w:left w:val="nil"/>
              <w:bottom w:val="nil"/>
              <w:right w:val="nil"/>
            </w:tcBorders>
          </w:tcPr>
          <w:p w14:paraId="15467CCC"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75.3 (4.6)</w:t>
            </w:r>
          </w:p>
        </w:tc>
        <w:tc>
          <w:tcPr>
            <w:tcW w:w="1211" w:type="dxa"/>
            <w:tcBorders>
              <w:left w:val="nil"/>
              <w:bottom w:val="nil"/>
              <w:right w:val="nil"/>
            </w:tcBorders>
          </w:tcPr>
          <w:p w14:paraId="4C2E68AA"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76.9 (6.0)</w:t>
            </w:r>
          </w:p>
        </w:tc>
        <w:tc>
          <w:tcPr>
            <w:tcW w:w="953" w:type="dxa"/>
            <w:tcBorders>
              <w:left w:val="nil"/>
              <w:bottom w:val="nil"/>
              <w:right w:val="nil"/>
            </w:tcBorders>
          </w:tcPr>
          <w:p w14:paraId="2B721155"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0.283</w:t>
            </w:r>
          </w:p>
        </w:tc>
        <w:tc>
          <w:tcPr>
            <w:tcW w:w="1329" w:type="dxa"/>
            <w:tcBorders>
              <w:left w:val="nil"/>
              <w:bottom w:val="nil"/>
              <w:right w:val="nil"/>
            </w:tcBorders>
          </w:tcPr>
          <w:p w14:paraId="520FBFF9"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20.9 (4.9)</w:t>
            </w:r>
          </w:p>
        </w:tc>
        <w:tc>
          <w:tcPr>
            <w:tcW w:w="1298" w:type="dxa"/>
            <w:tcBorders>
              <w:left w:val="nil"/>
              <w:bottom w:val="nil"/>
              <w:right w:val="nil"/>
            </w:tcBorders>
          </w:tcPr>
          <w:p w14:paraId="414481FB"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21.5 (4.1)</w:t>
            </w:r>
          </w:p>
        </w:tc>
        <w:tc>
          <w:tcPr>
            <w:tcW w:w="1278" w:type="dxa"/>
            <w:tcBorders>
              <w:left w:val="nil"/>
              <w:bottom w:val="nil"/>
              <w:right w:val="nil"/>
            </w:tcBorders>
          </w:tcPr>
          <w:p w14:paraId="7C3B61CE"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0.713</w:t>
            </w:r>
          </w:p>
        </w:tc>
      </w:tr>
      <w:tr w:rsidR="0012364B" w:rsidRPr="003F58D5" w14:paraId="63DBFCAB" w14:textId="77777777" w:rsidTr="003F58D5">
        <w:tc>
          <w:tcPr>
            <w:tcW w:w="1242" w:type="dxa"/>
            <w:tcBorders>
              <w:top w:val="nil"/>
              <w:left w:val="nil"/>
              <w:bottom w:val="nil"/>
              <w:right w:val="nil"/>
            </w:tcBorders>
          </w:tcPr>
          <w:p w14:paraId="3E880F9E" w14:textId="77777777" w:rsidR="0012364B" w:rsidRPr="003F58D5" w:rsidRDefault="0012364B" w:rsidP="003F58D5">
            <w:pPr>
              <w:jc w:val="center"/>
              <w:rPr>
                <w:rFonts w:ascii="Times New Roman" w:hAnsi="Times New Roman" w:cs="Times New Roman"/>
                <w:b/>
                <w:sz w:val="22"/>
                <w:szCs w:val="22"/>
              </w:rPr>
            </w:pPr>
          </w:p>
        </w:tc>
        <w:tc>
          <w:tcPr>
            <w:tcW w:w="1185" w:type="dxa"/>
            <w:tcBorders>
              <w:top w:val="nil"/>
              <w:left w:val="nil"/>
              <w:bottom w:val="nil"/>
              <w:right w:val="nil"/>
            </w:tcBorders>
          </w:tcPr>
          <w:p w14:paraId="04CBF4C6" w14:textId="77777777" w:rsidR="0012364B" w:rsidRPr="003F58D5" w:rsidRDefault="0012364B" w:rsidP="003F58D5">
            <w:pPr>
              <w:jc w:val="center"/>
              <w:rPr>
                <w:rFonts w:ascii="Times New Roman" w:hAnsi="Times New Roman" w:cs="Times New Roman"/>
                <w:sz w:val="22"/>
                <w:szCs w:val="22"/>
              </w:rPr>
            </w:pPr>
          </w:p>
        </w:tc>
        <w:tc>
          <w:tcPr>
            <w:tcW w:w="1211" w:type="dxa"/>
            <w:tcBorders>
              <w:top w:val="nil"/>
              <w:left w:val="nil"/>
              <w:bottom w:val="nil"/>
              <w:right w:val="nil"/>
            </w:tcBorders>
          </w:tcPr>
          <w:p w14:paraId="1F79F146" w14:textId="77777777" w:rsidR="0012364B" w:rsidRPr="003F58D5" w:rsidRDefault="0012364B" w:rsidP="003F58D5">
            <w:pPr>
              <w:jc w:val="center"/>
              <w:rPr>
                <w:rFonts w:ascii="Times New Roman" w:hAnsi="Times New Roman" w:cs="Times New Roman"/>
                <w:sz w:val="22"/>
                <w:szCs w:val="22"/>
              </w:rPr>
            </w:pPr>
          </w:p>
        </w:tc>
        <w:tc>
          <w:tcPr>
            <w:tcW w:w="953" w:type="dxa"/>
            <w:tcBorders>
              <w:top w:val="nil"/>
              <w:left w:val="nil"/>
              <w:bottom w:val="nil"/>
              <w:right w:val="nil"/>
            </w:tcBorders>
          </w:tcPr>
          <w:p w14:paraId="2429DDC1" w14:textId="77777777" w:rsidR="0012364B" w:rsidRPr="003F58D5" w:rsidRDefault="0012364B" w:rsidP="003F58D5">
            <w:pPr>
              <w:jc w:val="center"/>
              <w:rPr>
                <w:rFonts w:ascii="Times New Roman" w:hAnsi="Times New Roman" w:cs="Times New Roman"/>
                <w:b/>
                <w:sz w:val="22"/>
                <w:szCs w:val="22"/>
              </w:rPr>
            </w:pPr>
          </w:p>
        </w:tc>
        <w:tc>
          <w:tcPr>
            <w:tcW w:w="1329" w:type="dxa"/>
            <w:tcBorders>
              <w:top w:val="nil"/>
              <w:left w:val="nil"/>
              <w:bottom w:val="nil"/>
              <w:right w:val="nil"/>
            </w:tcBorders>
          </w:tcPr>
          <w:p w14:paraId="752CE7FD" w14:textId="77777777" w:rsidR="0012364B" w:rsidRPr="003F58D5" w:rsidRDefault="0012364B" w:rsidP="003F58D5">
            <w:pPr>
              <w:jc w:val="center"/>
              <w:rPr>
                <w:rFonts w:ascii="Times New Roman" w:hAnsi="Times New Roman" w:cs="Times New Roman"/>
                <w:sz w:val="22"/>
                <w:szCs w:val="22"/>
              </w:rPr>
            </w:pPr>
          </w:p>
        </w:tc>
        <w:tc>
          <w:tcPr>
            <w:tcW w:w="1298" w:type="dxa"/>
            <w:tcBorders>
              <w:top w:val="nil"/>
              <w:left w:val="nil"/>
              <w:bottom w:val="nil"/>
              <w:right w:val="nil"/>
            </w:tcBorders>
          </w:tcPr>
          <w:p w14:paraId="56CCBB90" w14:textId="77777777" w:rsidR="0012364B" w:rsidRPr="003F58D5" w:rsidRDefault="0012364B" w:rsidP="003F58D5">
            <w:pPr>
              <w:jc w:val="center"/>
              <w:rPr>
                <w:rFonts w:ascii="Times New Roman" w:hAnsi="Times New Roman" w:cs="Times New Roman"/>
                <w:sz w:val="22"/>
                <w:szCs w:val="22"/>
              </w:rPr>
            </w:pPr>
          </w:p>
        </w:tc>
        <w:tc>
          <w:tcPr>
            <w:tcW w:w="1278" w:type="dxa"/>
            <w:tcBorders>
              <w:top w:val="nil"/>
              <w:left w:val="nil"/>
              <w:bottom w:val="nil"/>
              <w:right w:val="nil"/>
            </w:tcBorders>
          </w:tcPr>
          <w:p w14:paraId="07445776" w14:textId="77777777" w:rsidR="0012364B" w:rsidRPr="003F58D5" w:rsidRDefault="0012364B" w:rsidP="003F58D5">
            <w:pPr>
              <w:jc w:val="center"/>
              <w:rPr>
                <w:rFonts w:ascii="Times New Roman" w:hAnsi="Times New Roman" w:cs="Times New Roman"/>
                <w:b/>
                <w:sz w:val="22"/>
                <w:szCs w:val="22"/>
              </w:rPr>
            </w:pPr>
          </w:p>
        </w:tc>
      </w:tr>
      <w:tr w:rsidR="0012364B" w:rsidRPr="003F58D5" w14:paraId="4013E4FE" w14:textId="77777777" w:rsidTr="003F58D5">
        <w:tc>
          <w:tcPr>
            <w:tcW w:w="1242" w:type="dxa"/>
            <w:tcBorders>
              <w:top w:val="nil"/>
              <w:left w:val="nil"/>
              <w:bottom w:val="single" w:sz="4" w:space="0" w:color="auto"/>
              <w:right w:val="nil"/>
            </w:tcBorders>
          </w:tcPr>
          <w:p w14:paraId="09790BCF"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Arousal (Mean ± SD)</w:t>
            </w:r>
          </w:p>
        </w:tc>
        <w:tc>
          <w:tcPr>
            <w:tcW w:w="1185" w:type="dxa"/>
            <w:tcBorders>
              <w:top w:val="nil"/>
              <w:left w:val="nil"/>
              <w:bottom w:val="single" w:sz="4" w:space="0" w:color="auto"/>
              <w:right w:val="nil"/>
            </w:tcBorders>
          </w:tcPr>
          <w:p w14:paraId="03C6B5F5"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43.3 (6.3)</w:t>
            </w:r>
          </w:p>
        </w:tc>
        <w:tc>
          <w:tcPr>
            <w:tcW w:w="1211" w:type="dxa"/>
            <w:tcBorders>
              <w:top w:val="nil"/>
              <w:left w:val="nil"/>
              <w:bottom w:val="single" w:sz="4" w:space="0" w:color="auto"/>
              <w:right w:val="nil"/>
            </w:tcBorders>
          </w:tcPr>
          <w:p w14:paraId="793F1C7E"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43.2 (5.3)</w:t>
            </w:r>
          </w:p>
        </w:tc>
        <w:tc>
          <w:tcPr>
            <w:tcW w:w="953" w:type="dxa"/>
            <w:tcBorders>
              <w:top w:val="nil"/>
              <w:left w:val="nil"/>
              <w:bottom w:val="single" w:sz="4" w:space="0" w:color="auto"/>
              <w:right w:val="nil"/>
            </w:tcBorders>
          </w:tcPr>
          <w:p w14:paraId="0534F939"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0.921</w:t>
            </w:r>
          </w:p>
        </w:tc>
        <w:tc>
          <w:tcPr>
            <w:tcW w:w="1329" w:type="dxa"/>
            <w:tcBorders>
              <w:top w:val="nil"/>
              <w:left w:val="nil"/>
              <w:bottom w:val="single" w:sz="4" w:space="0" w:color="auto"/>
              <w:right w:val="nil"/>
            </w:tcBorders>
          </w:tcPr>
          <w:p w14:paraId="5C49C577"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70.3 (3.9)</w:t>
            </w:r>
          </w:p>
        </w:tc>
        <w:tc>
          <w:tcPr>
            <w:tcW w:w="1298" w:type="dxa"/>
            <w:tcBorders>
              <w:top w:val="nil"/>
              <w:left w:val="nil"/>
              <w:bottom w:val="single" w:sz="4" w:space="0" w:color="auto"/>
              <w:right w:val="nil"/>
            </w:tcBorders>
          </w:tcPr>
          <w:p w14:paraId="15294432" w14:textId="77777777" w:rsidR="0012364B" w:rsidRPr="003F58D5" w:rsidRDefault="0012364B" w:rsidP="003F58D5">
            <w:pPr>
              <w:jc w:val="center"/>
              <w:rPr>
                <w:rFonts w:ascii="Times New Roman" w:hAnsi="Times New Roman" w:cs="Times New Roman"/>
                <w:sz w:val="22"/>
                <w:szCs w:val="22"/>
              </w:rPr>
            </w:pPr>
            <w:r w:rsidRPr="003F58D5">
              <w:rPr>
                <w:rFonts w:ascii="Times New Roman" w:hAnsi="Times New Roman" w:cs="Times New Roman"/>
                <w:sz w:val="22"/>
                <w:szCs w:val="22"/>
              </w:rPr>
              <w:t>68.6 (4.5)</w:t>
            </w:r>
          </w:p>
        </w:tc>
        <w:tc>
          <w:tcPr>
            <w:tcW w:w="1278" w:type="dxa"/>
            <w:tcBorders>
              <w:top w:val="nil"/>
              <w:left w:val="nil"/>
              <w:bottom w:val="single" w:sz="4" w:space="0" w:color="auto"/>
              <w:right w:val="nil"/>
            </w:tcBorders>
          </w:tcPr>
          <w:p w14:paraId="6B29DD18" w14:textId="77777777" w:rsidR="0012364B" w:rsidRPr="003F58D5" w:rsidRDefault="0012364B" w:rsidP="003F58D5">
            <w:pPr>
              <w:jc w:val="center"/>
              <w:rPr>
                <w:rFonts w:ascii="Times New Roman" w:hAnsi="Times New Roman" w:cs="Times New Roman"/>
                <w:b/>
                <w:sz w:val="22"/>
                <w:szCs w:val="22"/>
              </w:rPr>
            </w:pPr>
            <w:r w:rsidRPr="003F58D5">
              <w:rPr>
                <w:rFonts w:ascii="Times New Roman" w:hAnsi="Times New Roman" w:cs="Times New Roman"/>
                <w:b/>
                <w:sz w:val="22"/>
                <w:szCs w:val="22"/>
              </w:rPr>
              <w:t>0.224</w:t>
            </w:r>
          </w:p>
        </w:tc>
      </w:tr>
    </w:tbl>
    <w:p w14:paraId="1C1EA087" w14:textId="77777777" w:rsidR="0012364B" w:rsidRPr="003F58D5" w:rsidRDefault="0012364B" w:rsidP="0012364B">
      <w:pPr>
        <w:widowControl w:val="0"/>
        <w:autoSpaceDE w:val="0"/>
        <w:autoSpaceDN w:val="0"/>
        <w:adjustRightInd w:val="0"/>
        <w:spacing w:line="360" w:lineRule="auto"/>
        <w:jc w:val="both"/>
        <w:rPr>
          <w:rFonts w:ascii="Times New Roman" w:hAnsi="Times New Roman" w:cs="Times New Roman"/>
          <w:color w:val="FF0000"/>
          <w:sz w:val="22"/>
          <w:szCs w:val="22"/>
          <w:lang w:val="en-GB"/>
        </w:rPr>
      </w:pPr>
    </w:p>
    <w:p w14:paraId="6ABE76C9" w14:textId="77777777" w:rsidR="00EB5549" w:rsidRPr="003F58D5" w:rsidRDefault="00EB5549" w:rsidP="00EB5549">
      <w:pPr>
        <w:spacing w:line="480" w:lineRule="auto"/>
        <w:jc w:val="both"/>
        <w:rPr>
          <w:rFonts w:ascii="Times New Roman" w:hAnsi="Times New Roman" w:cs="Times New Roman"/>
          <w:b/>
          <w:sz w:val="22"/>
          <w:szCs w:val="22"/>
          <w:lang w:val="en-GB"/>
        </w:rPr>
      </w:pPr>
      <w:bookmarkStart w:id="0" w:name="_GoBack"/>
      <w:bookmarkEnd w:id="0"/>
    </w:p>
    <w:p w14:paraId="27DFE4A6" w14:textId="77777777" w:rsidR="00EB5549" w:rsidRPr="003F58D5" w:rsidRDefault="00EB5549" w:rsidP="00EB5549">
      <w:pPr>
        <w:spacing w:line="480" w:lineRule="auto"/>
        <w:jc w:val="both"/>
        <w:rPr>
          <w:rFonts w:ascii="Times New Roman" w:hAnsi="Times New Roman" w:cs="Times New Roman"/>
          <w:b/>
          <w:sz w:val="22"/>
          <w:szCs w:val="22"/>
          <w:lang w:val="en-GB"/>
        </w:rPr>
      </w:pPr>
    </w:p>
    <w:p w14:paraId="53536FCC" w14:textId="77777777" w:rsidR="00EB5549" w:rsidRPr="003F58D5" w:rsidRDefault="00EB5549" w:rsidP="00EB5549">
      <w:pPr>
        <w:rPr>
          <w:rFonts w:ascii="Times New Roman" w:hAnsi="Times New Roman" w:cs="Times New Roman"/>
          <w:sz w:val="22"/>
          <w:szCs w:val="22"/>
        </w:rPr>
      </w:pPr>
    </w:p>
    <w:p w14:paraId="7166F8E8" w14:textId="77777777" w:rsidR="00FB44B9" w:rsidRPr="003F58D5" w:rsidRDefault="00FB44B9" w:rsidP="00EB5549">
      <w:pPr>
        <w:rPr>
          <w:rFonts w:ascii="Times New Roman" w:hAnsi="Times New Roman" w:cs="Times New Roman"/>
          <w:sz w:val="22"/>
          <w:szCs w:val="22"/>
        </w:rPr>
      </w:pPr>
    </w:p>
    <w:p w14:paraId="1667C5A2" w14:textId="77777777" w:rsidR="00FB44B9" w:rsidRPr="003F58D5" w:rsidRDefault="00FB44B9" w:rsidP="00EB5549">
      <w:pPr>
        <w:rPr>
          <w:rFonts w:ascii="Times New Roman" w:hAnsi="Times New Roman" w:cs="Times New Roman"/>
          <w:sz w:val="22"/>
          <w:szCs w:val="22"/>
        </w:rPr>
      </w:pPr>
    </w:p>
    <w:p w14:paraId="42F4C77E" w14:textId="7294EE8F" w:rsidR="00356160" w:rsidRPr="003F58D5" w:rsidRDefault="00DE0DE2" w:rsidP="00356160">
      <w:pPr>
        <w:spacing w:line="480" w:lineRule="auto"/>
        <w:jc w:val="both"/>
        <w:rPr>
          <w:rFonts w:ascii="Times New Roman" w:hAnsi="Times New Roman" w:cs="Times New Roman"/>
          <w:b/>
          <w:i/>
          <w:sz w:val="22"/>
          <w:szCs w:val="22"/>
          <w:lang w:val="en-GB"/>
        </w:rPr>
      </w:pPr>
      <w:r w:rsidRPr="003F58D5">
        <w:rPr>
          <w:rFonts w:ascii="Times New Roman" w:hAnsi="Times New Roman" w:cs="Times New Roman"/>
          <w:b/>
          <w:i/>
          <w:sz w:val="22"/>
          <w:szCs w:val="22"/>
          <w:lang w:val="en-GB"/>
        </w:rPr>
        <w:t>* T-test comparison</w:t>
      </w:r>
    </w:p>
    <w:p w14:paraId="2E6BE835" w14:textId="77777777" w:rsidR="00946745" w:rsidRPr="003F58D5" w:rsidRDefault="00946745">
      <w:pPr>
        <w:rPr>
          <w:rFonts w:ascii="Times New Roman" w:hAnsi="Times New Roman" w:cs="Times New Roman"/>
          <w:sz w:val="22"/>
          <w:szCs w:val="22"/>
        </w:rPr>
      </w:pPr>
    </w:p>
    <w:p w14:paraId="701BCCC7" w14:textId="77777777" w:rsidR="00FF578E" w:rsidRPr="003F58D5" w:rsidRDefault="00FF578E">
      <w:pPr>
        <w:rPr>
          <w:rFonts w:ascii="Times New Roman" w:hAnsi="Times New Roman" w:cs="Times New Roman"/>
          <w:sz w:val="22"/>
          <w:szCs w:val="22"/>
        </w:rPr>
      </w:pPr>
    </w:p>
    <w:p w14:paraId="5DDEE1B8" w14:textId="77777777" w:rsidR="0012364B" w:rsidRPr="003F58D5" w:rsidRDefault="0012364B">
      <w:pPr>
        <w:rPr>
          <w:rFonts w:ascii="Times New Roman" w:hAnsi="Times New Roman" w:cs="Times New Roman"/>
          <w:sz w:val="22"/>
          <w:szCs w:val="22"/>
        </w:rPr>
      </w:pPr>
    </w:p>
    <w:p w14:paraId="44CEC81C" w14:textId="4BDFA58D" w:rsidR="0012364B" w:rsidRPr="003F58D5" w:rsidRDefault="0012364B">
      <w:pPr>
        <w:rPr>
          <w:rFonts w:ascii="Times New Roman" w:hAnsi="Times New Roman" w:cs="Times New Roman"/>
          <w:b/>
          <w:sz w:val="22"/>
          <w:szCs w:val="22"/>
        </w:rPr>
      </w:pPr>
      <w:r w:rsidRPr="003F58D5">
        <w:rPr>
          <w:rFonts w:ascii="Times New Roman" w:hAnsi="Times New Roman" w:cs="Times New Roman"/>
          <w:b/>
          <w:sz w:val="22"/>
          <w:szCs w:val="22"/>
        </w:rPr>
        <w:t>Group comparison without IQ as covariate</w:t>
      </w:r>
    </w:p>
    <w:p w14:paraId="3B429EA0" w14:textId="77777777" w:rsidR="0012364B" w:rsidRPr="003F58D5" w:rsidRDefault="0012364B">
      <w:pPr>
        <w:rPr>
          <w:rFonts w:ascii="Times New Roman" w:hAnsi="Times New Roman" w:cs="Times New Roman"/>
          <w:b/>
          <w:sz w:val="22"/>
          <w:szCs w:val="22"/>
        </w:rPr>
      </w:pPr>
    </w:p>
    <w:p w14:paraId="5644C71A" w14:textId="6D9B42AF" w:rsidR="0012364B" w:rsidRPr="003F58D5" w:rsidRDefault="0012364B" w:rsidP="0012364B">
      <w:pPr>
        <w:spacing w:line="480" w:lineRule="auto"/>
        <w:jc w:val="both"/>
        <w:rPr>
          <w:rFonts w:ascii="Times New Roman" w:hAnsi="Times New Roman" w:cs="Times New Roman"/>
          <w:sz w:val="22"/>
          <w:szCs w:val="22"/>
        </w:rPr>
      </w:pPr>
      <w:proofErr w:type="gramStart"/>
      <w:r w:rsidRPr="003F58D5">
        <w:rPr>
          <w:rFonts w:ascii="Times New Roman" w:hAnsi="Times New Roman" w:cs="Times New Roman"/>
          <w:color w:val="000000"/>
          <w:sz w:val="22"/>
          <w:szCs w:val="22"/>
        </w:rPr>
        <w:t xml:space="preserve">Group comparison </w:t>
      </w:r>
      <w:r w:rsidR="00FF578E" w:rsidRPr="003F58D5">
        <w:rPr>
          <w:rFonts w:ascii="Times New Roman" w:hAnsi="Times New Roman" w:cs="Times New Roman"/>
          <w:color w:val="000000"/>
          <w:sz w:val="22"/>
          <w:szCs w:val="22"/>
        </w:rPr>
        <w:t>of</w:t>
      </w:r>
      <w:r w:rsidRPr="003F58D5">
        <w:rPr>
          <w:rFonts w:ascii="Times New Roman" w:hAnsi="Times New Roman" w:cs="Times New Roman"/>
          <w:color w:val="000000"/>
          <w:sz w:val="22"/>
          <w:szCs w:val="22"/>
        </w:rPr>
        <w:t xml:space="preserve"> the main contrast of interest, without including IQ as covariate</w:t>
      </w:r>
      <w:r w:rsidR="00FF578E" w:rsidRPr="003F58D5">
        <w:rPr>
          <w:rFonts w:ascii="Times New Roman" w:hAnsi="Times New Roman" w:cs="Times New Roman"/>
          <w:color w:val="000000"/>
          <w:sz w:val="22"/>
          <w:szCs w:val="22"/>
        </w:rPr>
        <w:t xml:space="preserve"> </w:t>
      </w:r>
      <w:r w:rsidRPr="003F58D5">
        <w:rPr>
          <w:rFonts w:ascii="Times New Roman" w:hAnsi="Times New Roman" w:cs="Times New Roman"/>
          <w:color w:val="000000"/>
          <w:sz w:val="22"/>
          <w:szCs w:val="22"/>
        </w:rPr>
        <w:t>point out similar findings.</w:t>
      </w:r>
      <w:proofErr w:type="gramEnd"/>
      <w:r w:rsidRPr="003F58D5">
        <w:rPr>
          <w:rFonts w:ascii="Times New Roman" w:hAnsi="Times New Roman" w:cs="Times New Roman"/>
          <w:color w:val="000000"/>
          <w:sz w:val="22"/>
          <w:szCs w:val="22"/>
        </w:rPr>
        <w:t xml:space="preserve"> Indeed, the social vs. non-social contrast revealed greater activation in controls compared to 22q11DS patient in the following DMN regions: right </w:t>
      </w:r>
      <w:proofErr w:type="spellStart"/>
      <w:r w:rsidRPr="003F58D5">
        <w:rPr>
          <w:rFonts w:ascii="Times New Roman" w:hAnsi="Times New Roman" w:cs="Times New Roman"/>
          <w:color w:val="000000"/>
          <w:sz w:val="22"/>
          <w:szCs w:val="22"/>
        </w:rPr>
        <w:t>precuneus</w:t>
      </w:r>
      <w:proofErr w:type="spellEnd"/>
      <w:r w:rsidRPr="003F58D5">
        <w:rPr>
          <w:rFonts w:ascii="Times New Roman" w:hAnsi="Times New Roman" w:cs="Times New Roman"/>
          <w:color w:val="000000"/>
          <w:sz w:val="22"/>
          <w:szCs w:val="22"/>
        </w:rPr>
        <w:t>, bilateral inferior parietal lobule as well as in the right anterior cingulate cortex. Controls exhibit also higher activation in right superior parietal lobule, left precentral gyrus, left postcentral gyrus and left inferior occipital gyrus in comparison to 22q11DS individuals. For the emotional contrast, (positive vs. negative image) comparison between groups did not revealed significant result.</w:t>
      </w:r>
    </w:p>
    <w:sectPr w:rsidR="0012364B" w:rsidRPr="003F58D5" w:rsidSect="00946745">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356160"/>
    <w:rsid w:val="000B7F75"/>
    <w:rsid w:val="0012364B"/>
    <w:rsid w:val="0013247A"/>
    <w:rsid w:val="001B4264"/>
    <w:rsid w:val="0026381D"/>
    <w:rsid w:val="00356160"/>
    <w:rsid w:val="003F58D5"/>
    <w:rsid w:val="00525553"/>
    <w:rsid w:val="005A74E9"/>
    <w:rsid w:val="00946745"/>
    <w:rsid w:val="00B95D10"/>
    <w:rsid w:val="00CA3625"/>
    <w:rsid w:val="00DE0DE2"/>
    <w:rsid w:val="00EB5549"/>
    <w:rsid w:val="00FB44B9"/>
    <w:rsid w:val="00FF578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D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160"/>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5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160"/>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5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158</Words>
  <Characters>918</Characters>
  <Application>Microsoft Office Word</Application>
  <DocSecurity>0</DocSecurity>
  <Lines>34</Lines>
  <Paragraphs>20</Paragraphs>
  <ScaleCrop>false</ScaleCrop>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dubourg</dc:creator>
  <cp:keywords/>
  <dc:description/>
  <cp:lastModifiedBy>S3G_Apply_Fixed_Case</cp:lastModifiedBy>
  <cp:revision>16</cp:revision>
  <dcterms:created xsi:type="dcterms:W3CDTF">2017-07-18T12:50:00Z</dcterms:created>
  <dcterms:modified xsi:type="dcterms:W3CDTF">2018-03-26T16:14:00Z</dcterms:modified>
</cp:coreProperties>
</file>