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41" w:rightFromText="141" w:vertAnchor="page" w:horzAnchor="margin" w:tblpXSpec="right" w:tblpY="3406"/>
        <w:tblW w:w="10365" w:type="dxa"/>
        <w:tblLook w:val="04A0"/>
      </w:tblPr>
      <w:tblGrid>
        <w:gridCol w:w="691"/>
        <w:gridCol w:w="2393"/>
        <w:gridCol w:w="2219"/>
        <w:gridCol w:w="988"/>
        <w:gridCol w:w="1325"/>
        <w:gridCol w:w="1216"/>
        <w:gridCol w:w="1533"/>
      </w:tblGrid>
      <w:tr w:rsidR="003276D8" w:rsidRPr="003276D8" w:rsidTr="003276D8">
        <w:trPr>
          <w:trHeight w:val="697"/>
        </w:trPr>
        <w:tc>
          <w:tcPr>
            <w:tcW w:w="691" w:type="dxa"/>
            <w:noWrap/>
            <w:vAlign w:val="center"/>
            <w:hideMark/>
          </w:tcPr>
          <w:p w:rsidR="003276D8" w:rsidRPr="003276D8" w:rsidRDefault="003276D8" w:rsidP="003276D8">
            <w:pPr>
              <w:ind w:left="-397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  <w:noWrap/>
            <w:vAlign w:val="center"/>
            <w:hideMark/>
          </w:tcPr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276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Categories</w:t>
            </w:r>
          </w:p>
        </w:tc>
        <w:tc>
          <w:tcPr>
            <w:tcW w:w="2219" w:type="dxa"/>
            <w:noWrap/>
            <w:vAlign w:val="center"/>
            <w:hideMark/>
          </w:tcPr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276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Diseases or functions annotations</w:t>
            </w:r>
          </w:p>
        </w:tc>
        <w:tc>
          <w:tcPr>
            <w:tcW w:w="988" w:type="dxa"/>
            <w:noWrap/>
            <w:vAlign w:val="center"/>
            <w:hideMark/>
          </w:tcPr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276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 value</w:t>
            </w:r>
          </w:p>
        </w:tc>
        <w:tc>
          <w:tcPr>
            <w:tcW w:w="1325" w:type="dxa"/>
            <w:noWrap/>
            <w:vAlign w:val="center"/>
            <w:hideMark/>
          </w:tcPr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276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Activation Z-score</w:t>
            </w:r>
          </w:p>
        </w:tc>
        <w:tc>
          <w:tcPr>
            <w:tcW w:w="1216" w:type="dxa"/>
            <w:noWrap/>
            <w:vAlign w:val="center"/>
            <w:hideMark/>
          </w:tcPr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276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molecules</w:t>
            </w:r>
          </w:p>
        </w:tc>
        <w:tc>
          <w:tcPr>
            <w:tcW w:w="1533" w:type="dxa"/>
            <w:noWrap/>
            <w:vAlign w:val="center"/>
            <w:hideMark/>
          </w:tcPr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276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Predicted activation</w:t>
            </w:r>
          </w:p>
        </w:tc>
      </w:tr>
      <w:tr w:rsidR="003276D8" w:rsidRPr="003276D8" w:rsidTr="003276D8">
        <w:trPr>
          <w:trHeight w:val="661"/>
        </w:trPr>
        <w:tc>
          <w:tcPr>
            <w:tcW w:w="691" w:type="dxa"/>
            <w:vMerge w:val="restart"/>
            <w:noWrap/>
            <w:vAlign w:val="center"/>
            <w:hideMark/>
          </w:tcPr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276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D0</w:t>
            </w:r>
          </w:p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276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</w:t>
            </w:r>
          </w:p>
        </w:tc>
        <w:tc>
          <w:tcPr>
            <w:tcW w:w="2393" w:type="dxa"/>
            <w:vMerge w:val="restart"/>
            <w:noWrap/>
            <w:vAlign w:val="center"/>
            <w:hideMark/>
          </w:tcPr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6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Lipid metabolism, molecular transport, small molecule biochemistry</w:t>
            </w:r>
          </w:p>
        </w:tc>
        <w:tc>
          <w:tcPr>
            <w:tcW w:w="2219" w:type="dxa"/>
            <w:noWrap/>
            <w:vAlign w:val="center"/>
            <w:hideMark/>
          </w:tcPr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6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Transport of phospholipid</w:t>
            </w:r>
          </w:p>
        </w:tc>
        <w:tc>
          <w:tcPr>
            <w:tcW w:w="988" w:type="dxa"/>
            <w:noWrap/>
            <w:vAlign w:val="center"/>
            <w:hideMark/>
          </w:tcPr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6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3.01E-9</w:t>
            </w:r>
          </w:p>
        </w:tc>
        <w:tc>
          <w:tcPr>
            <w:tcW w:w="1325" w:type="dxa"/>
            <w:noWrap/>
            <w:vAlign w:val="center"/>
            <w:hideMark/>
          </w:tcPr>
          <w:p w:rsidR="003276D8" w:rsidRPr="003276D8" w:rsidRDefault="007B1A28" w:rsidP="003276D8">
            <w:pPr>
              <w:jc w:val="center"/>
              <w:rPr>
                <w:rFonts w:ascii="Times New Roman" w:hAnsi="Times New Roman" w:cs="Times New Roman"/>
                <w:b/>
                <w:color w:val="1F4E79" w:themeColor="accent5" w:themeShade="8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1F4E79" w:themeColor="accent5" w:themeShade="80"/>
                <w:sz w:val="24"/>
                <w:szCs w:val="24"/>
                <w:lang w:val="en-US"/>
              </w:rPr>
              <w:t>-2.41</w:t>
            </w:r>
          </w:p>
        </w:tc>
        <w:tc>
          <w:tcPr>
            <w:tcW w:w="1216" w:type="dxa"/>
            <w:noWrap/>
            <w:vAlign w:val="center"/>
            <w:hideMark/>
          </w:tcPr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6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533" w:type="dxa"/>
            <w:noWrap/>
            <w:vAlign w:val="center"/>
            <w:hideMark/>
          </w:tcPr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color w:val="1F4E79" w:themeColor="accent5" w:themeShade="80"/>
                <w:sz w:val="24"/>
                <w:szCs w:val="24"/>
                <w:lang w:val="en-US"/>
              </w:rPr>
            </w:pPr>
            <w:r w:rsidRPr="003276D8">
              <w:rPr>
                <w:rFonts w:ascii="Times New Roman" w:hAnsi="Times New Roman" w:cs="Times New Roman"/>
                <w:color w:val="1F4E79" w:themeColor="accent5" w:themeShade="80"/>
                <w:sz w:val="24"/>
                <w:szCs w:val="24"/>
                <w:lang w:val="en-US"/>
              </w:rPr>
              <w:t>Decreased</w:t>
            </w:r>
          </w:p>
        </w:tc>
      </w:tr>
      <w:tr w:rsidR="003276D8" w:rsidRPr="003276D8" w:rsidTr="003276D8">
        <w:trPr>
          <w:trHeight w:val="661"/>
        </w:trPr>
        <w:tc>
          <w:tcPr>
            <w:tcW w:w="691" w:type="dxa"/>
            <w:vMerge/>
            <w:vAlign w:val="center"/>
            <w:hideMark/>
          </w:tcPr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  <w:vMerge/>
            <w:vAlign w:val="center"/>
            <w:hideMark/>
          </w:tcPr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19" w:type="dxa"/>
            <w:noWrap/>
            <w:vAlign w:val="center"/>
            <w:hideMark/>
          </w:tcPr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6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Efflux of phospholipid</w:t>
            </w:r>
          </w:p>
        </w:tc>
        <w:tc>
          <w:tcPr>
            <w:tcW w:w="988" w:type="dxa"/>
            <w:noWrap/>
            <w:vAlign w:val="center"/>
            <w:hideMark/>
          </w:tcPr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6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4.29E-8</w:t>
            </w:r>
          </w:p>
        </w:tc>
        <w:tc>
          <w:tcPr>
            <w:tcW w:w="1325" w:type="dxa"/>
            <w:noWrap/>
            <w:vAlign w:val="center"/>
            <w:hideMark/>
          </w:tcPr>
          <w:p w:rsidR="003276D8" w:rsidRPr="003276D8" w:rsidRDefault="007B1A28" w:rsidP="003276D8">
            <w:pPr>
              <w:jc w:val="center"/>
              <w:rPr>
                <w:rFonts w:ascii="Times New Roman" w:hAnsi="Times New Roman" w:cs="Times New Roman"/>
                <w:b/>
                <w:color w:val="1F4E79" w:themeColor="accent5" w:themeShade="8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1F4E79" w:themeColor="accent5" w:themeShade="80"/>
                <w:sz w:val="24"/>
                <w:szCs w:val="24"/>
                <w:lang w:val="en-US"/>
              </w:rPr>
              <w:t>-2.20</w:t>
            </w:r>
          </w:p>
        </w:tc>
        <w:tc>
          <w:tcPr>
            <w:tcW w:w="1216" w:type="dxa"/>
            <w:noWrap/>
            <w:vAlign w:val="center"/>
            <w:hideMark/>
          </w:tcPr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6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533" w:type="dxa"/>
            <w:noWrap/>
            <w:vAlign w:val="center"/>
            <w:hideMark/>
          </w:tcPr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color w:val="1F4E79" w:themeColor="accent5" w:themeShade="80"/>
                <w:sz w:val="24"/>
                <w:szCs w:val="24"/>
                <w:lang w:val="en-US"/>
              </w:rPr>
            </w:pPr>
            <w:r w:rsidRPr="003276D8">
              <w:rPr>
                <w:rFonts w:ascii="Times New Roman" w:hAnsi="Times New Roman" w:cs="Times New Roman"/>
                <w:color w:val="1F4E79" w:themeColor="accent5" w:themeShade="80"/>
                <w:sz w:val="24"/>
                <w:szCs w:val="24"/>
                <w:lang w:val="en-US"/>
              </w:rPr>
              <w:t>Decreased</w:t>
            </w:r>
          </w:p>
        </w:tc>
      </w:tr>
      <w:tr w:rsidR="003276D8" w:rsidRPr="003276D8" w:rsidTr="003276D8">
        <w:trPr>
          <w:trHeight w:val="661"/>
        </w:trPr>
        <w:tc>
          <w:tcPr>
            <w:tcW w:w="691" w:type="dxa"/>
            <w:vMerge/>
            <w:vAlign w:val="center"/>
            <w:hideMark/>
          </w:tcPr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  <w:vMerge/>
            <w:vAlign w:val="center"/>
            <w:hideMark/>
          </w:tcPr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19" w:type="dxa"/>
            <w:noWrap/>
            <w:vAlign w:val="center"/>
            <w:hideMark/>
          </w:tcPr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6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Transport of lipid</w:t>
            </w:r>
          </w:p>
        </w:tc>
        <w:tc>
          <w:tcPr>
            <w:tcW w:w="988" w:type="dxa"/>
            <w:noWrap/>
            <w:vAlign w:val="center"/>
            <w:hideMark/>
          </w:tcPr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6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2.32E-9</w:t>
            </w:r>
          </w:p>
        </w:tc>
        <w:tc>
          <w:tcPr>
            <w:tcW w:w="1325" w:type="dxa"/>
            <w:noWrap/>
            <w:vAlign w:val="center"/>
            <w:hideMark/>
          </w:tcPr>
          <w:p w:rsidR="003276D8" w:rsidRPr="003276D8" w:rsidRDefault="007B1A28" w:rsidP="003276D8">
            <w:pPr>
              <w:jc w:val="center"/>
              <w:rPr>
                <w:rFonts w:ascii="Times New Roman" w:hAnsi="Times New Roman" w:cs="Times New Roman"/>
                <w:b/>
                <w:color w:val="1F4E79" w:themeColor="accent5" w:themeShade="8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1F4E79" w:themeColor="accent5" w:themeShade="80"/>
                <w:sz w:val="24"/>
                <w:szCs w:val="24"/>
                <w:lang w:val="en-US"/>
              </w:rPr>
              <w:t>-2.03</w:t>
            </w:r>
          </w:p>
        </w:tc>
        <w:tc>
          <w:tcPr>
            <w:tcW w:w="1216" w:type="dxa"/>
            <w:noWrap/>
            <w:vAlign w:val="center"/>
            <w:hideMark/>
          </w:tcPr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6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533" w:type="dxa"/>
            <w:noWrap/>
            <w:vAlign w:val="center"/>
            <w:hideMark/>
          </w:tcPr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color w:val="1F4E79" w:themeColor="accent5" w:themeShade="80"/>
                <w:sz w:val="24"/>
                <w:szCs w:val="24"/>
                <w:lang w:val="en-US"/>
              </w:rPr>
            </w:pPr>
            <w:r w:rsidRPr="003276D8">
              <w:rPr>
                <w:rFonts w:ascii="Times New Roman" w:hAnsi="Times New Roman" w:cs="Times New Roman"/>
                <w:color w:val="1F4E79" w:themeColor="accent5" w:themeShade="80"/>
                <w:sz w:val="24"/>
                <w:szCs w:val="24"/>
                <w:lang w:val="en-US"/>
              </w:rPr>
              <w:t>Decreased</w:t>
            </w:r>
          </w:p>
        </w:tc>
      </w:tr>
      <w:tr w:rsidR="003276D8" w:rsidRPr="003276D8" w:rsidTr="003276D8">
        <w:trPr>
          <w:trHeight w:val="661"/>
        </w:trPr>
        <w:tc>
          <w:tcPr>
            <w:tcW w:w="691" w:type="dxa"/>
            <w:vMerge w:val="restart"/>
            <w:noWrap/>
            <w:vAlign w:val="center"/>
            <w:hideMark/>
          </w:tcPr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276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D0 NS</w:t>
            </w:r>
          </w:p>
        </w:tc>
        <w:tc>
          <w:tcPr>
            <w:tcW w:w="2393" w:type="dxa"/>
            <w:noWrap/>
            <w:vAlign w:val="center"/>
            <w:hideMark/>
          </w:tcPr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6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Lipid metabolism, small molecule biochemistry</w:t>
            </w:r>
          </w:p>
        </w:tc>
        <w:tc>
          <w:tcPr>
            <w:tcW w:w="2219" w:type="dxa"/>
            <w:noWrap/>
            <w:vAlign w:val="center"/>
            <w:hideMark/>
          </w:tcPr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6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Fatty acid metabolism</w:t>
            </w:r>
          </w:p>
        </w:tc>
        <w:tc>
          <w:tcPr>
            <w:tcW w:w="988" w:type="dxa"/>
            <w:noWrap/>
            <w:vAlign w:val="center"/>
            <w:hideMark/>
          </w:tcPr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6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1.21E-5</w:t>
            </w:r>
          </w:p>
        </w:tc>
        <w:tc>
          <w:tcPr>
            <w:tcW w:w="1325" w:type="dxa"/>
            <w:noWrap/>
            <w:vAlign w:val="center"/>
            <w:hideMark/>
          </w:tcPr>
          <w:p w:rsidR="003276D8" w:rsidRPr="003276D8" w:rsidRDefault="007B1A28" w:rsidP="003276D8">
            <w:pPr>
              <w:jc w:val="center"/>
              <w:rPr>
                <w:rFonts w:ascii="Times New Roman" w:hAnsi="Times New Roman" w:cs="Times New Roman"/>
                <w:color w:val="1F4E79" w:themeColor="accent5" w:themeShade="8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1F4E79" w:themeColor="accent5" w:themeShade="80"/>
                <w:sz w:val="24"/>
                <w:szCs w:val="24"/>
                <w:lang w:val="en-US"/>
              </w:rPr>
              <w:t>-1.92</w:t>
            </w:r>
          </w:p>
        </w:tc>
        <w:tc>
          <w:tcPr>
            <w:tcW w:w="1216" w:type="dxa"/>
            <w:noWrap/>
            <w:vAlign w:val="center"/>
            <w:hideMark/>
          </w:tcPr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6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533" w:type="dxa"/>
            <w:noWrap/>
            <w:vAlign w:val="center"/>
            <w:hideMark/>
          </w:tcPr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color w:val="1F4E79" w:themeColor="accent5" w:themeShade="80"/>
                <w:sz w:val="24"/>
                <w:szCs w:val="24"/>
                <w:lang w:val="en-US"/>
              </w:rPr>
            </w:pPr>
          </w:p>
        </w:tc>
      </w:tr>
      <w:tr w:rsidR="003276D8" w:rsidRPr="003276D8" w:rsidTr="003276D8">
        <w:trPr>
          <w:trHeight w:val="661"/>
        </w:trPr>
        <w:tc>
          <w:tcPr>
            <w:tcW w:w="691" w:type="dxa"/>
            <w:vMerge/>
            <w:vAlign w:val="center"/>
            <w:hideMark/>
          </w:tcPr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  <w:noWrap/>
            <w:vAlign w:val="center"/>
            <w:hideMark/>
          </w:tcPr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6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Lipid metabolism, molecular transport, small molecule biochemistry</w:t>
            </w:r>
          </w:p>
        </w:tc>
        <w:tc>
          <w:tcPr>
            <w:tcW w:w="2219" w:type="dxa"/>
            <w:noWrap/>
            <w:vAlign w:val="center"/>
            <w:hideMark/>
          </w:tcPr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6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Transport of phospholipid</w:t>
            </w:r>
          </w:p>
        </w:tc>
        <w:tc>
          <w:tcPr>
            <w:tcW w:w="988" w:type="dxa"/>
            <w:noWrap/>
            <w:vAlign w:val="center"/>
            <w:hideMark/>
          </w:tcPr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6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3.28E-7</w:t>
            </w:r>
          </w:p>
        </w:tc>
        <w:tc>
          <w:tcPr>
            <w:tcW w:w="1325" w:type="dxa"/>
            <w:noWrap/>
            <w:vAlign w:val="center"/>
            <w:hideMark/>
          </w:tcPr>
          <w:p w:rsidR="003276D8" w:rsidRPr="003276D8" w:rsidRDefault="007B1A28" w:rsidP="003276D8">
            <w:pPr>
              <w:jc w:val="center"/>
              <w:rPr>
                <w:rFonts w:ascii="Times New Roman" w:hAnsi="Times New Roman" w:cs="Times New Roman"/>
                <w:color w:val="1F4E79" w:themeColor="accent5" w:themeShade="8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1F4E79" w:themeColor="accent5" w:themeShade="80"/>
                <w:sz w:val="24"/>
                <w:szCs w:val="24"/>
                <w:lang w:val="en-US"/>
              </w:rPr>
              <w:t>-1.96</w:t>
            </w:r>
          </w:p>
        </w:tc>
        <w:tc>
          <w:tcPr>
            <w:tcW w:w="1216" w:type="dxa"/>
            <w:noWrap/>
            <w:vAlign w:val="center"/>
            <w:hideMark/>
          </w:tcPr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6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33" w:type="dxa"/>
            <w:noWrap/>
            <w:vAlign w:val="center"/>
            <w:hideMark/>
          </w:tcPr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color w:val="1F4E79" w:themeColor="accent5" w:themeShade="80"/>
                <w:sz w:val="24"/>
                <w:szCs w:val="24"/>
                <w:lang w:val="en-US"/>
              </w:rPr>
            </w:pPr>
          </w:p>
        </w:tc>
      </w:tr>
      <w:tr w:rsidR="003276D8" w:rsidRPr="003276D8" w:rsidTr="003276D8">
        <w:trPr>
          <w:trHeight w:val="661"/>
        </w:trPr>
        <w:tc>
          <w:tcPr>
            <w:tcW w:w="691" w:type="dxa"/>
            <w:vMerge w:val="restart"/>
            <w:noWrap/>
            <w:vAlign w:val="center"/>
            <w:hideMark/>
          </w:tcPr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276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D7</w:t>
            </w:r>
          </w:p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276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</w:t>
            </w:r>
          </w:p>
        </w:tc>
        <w:tc>
          <w:tcPr>
            <w:tcW w:w="2393" w:type="dxa"/>
            <w:vMerge w:val="restart"/>
            <w:noWrap/>
            <w:vAlign w:val="center"/>
            <w:hideMark/>
          </w:tcPr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6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Lipid metabolism, molecular transport, small molecule biochemistry</w:t>
            </w:r>
          </w:p>
        </w:tc>
        <w:tc>
          <w:tcPr>
            <w:tcW w:w="2219" w:type="dxa"/>
            <w:noWrap/>
            <w:vAlign w:val="center"/>
            <w:hideMark/>
          </w:tcPr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6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Transport of lipid</w:t>
            </w:r>
          </w:p>
        </w:tc>
        <w:tc>
          <w:tcPr>
            <w:tcW w:w="988" w:type="dxa"/>
            <w:noWrap/>
            <w:vAlign w:val="center"/>
            <w:hideMark/>
          </w:tcPr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6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4.03E-6</w:t>
            </w:r>
          </w:p>
        </w:tc>
        <w:tc>
          <w:tcPr>
            <w:tcW w:w="1325" w:type="dxa"/>
            <w:noWrap/>
            <w:vAlign w:val="center"/>
            <w:hideMark/>
          </w:tcPr>
          <w:p w:rsidR="003276D8" w:rsidRPr="003276D8" w:rsidRDefault="007B1A28" w:rsidP="003276D8">
            <w:pPr>
              <w:jc w:val="center"/>
              <w:rPr>
                <w:rFonts w:ascii="Times New Roman" w:hAnsi="Times New Roman" w:cs="Times New Roman"/>
                <w:b/>
                <w:color w:val="1F4E79" w:themeColor="accent5" w:themeShade="8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1F4E79" w:themeColor="accent5" w:themeShade="80"/>
                <w:sz w:val="24"/>
                <w:szCs w:val="24"/>
                <w:lang w:val="en-US"/>
              </w:rPr>
              <w:t>-2.36</w:t>
            </w:r>
          </w:p>
        </w:tc>
        <w:tc>
          <w:tcPr>
            <w:tcW w:w="1216" w:type="dxa"/>
            <w:noWrap/>
            <w:vAlign w:val="center"/>
            <w:hideMark/>
          </w:tcPr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6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533" w:type="dxa"/>
            <w:noWrap/>
            <w:vAlign w:val="center"/>
            <w:hideMark/>
          </w:tcPr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color w:val="1F4E79" w:themeColor="accent5" w:themeShade="80"/>
                <w:sz w:val="24"/>
                <w:szCs w:val="24"/>
                <w:lang w:val="en-US"/>
              </w:rPr>
            </w:pPr>
            <w:r w:rsidRPr="003276D8">
              <w:rPr>
                <w:rFonts w:ascii="Times New Roman" w:hAnsi="Times New Roman" w:cs="Times New Roman"/>
                <w:color w:val="1F4E79" w:themeColor="accent5" w:themeShade="80"/>
                <w:sz w:val="24"/>
                <w:szCs w:val="24"/>
                <w:lang w:val="en-US"/>
              </w:rPr>
              <w:t>Decreased</w:t>
            </w:r>
          </w:p>
        </w:tc>
      </w:tr>
      <w:tr w:rsidR="003276D8" w:rsidRPr="003276D8" w:rsidTr="003276D8">
        <w:trPr>
          <w:trHeight w:val="661"/>
        </w:trPr>
        <w:tc>
          <w:tcPr>
            <w:tcW w:w="691" w:type="dxa"/>
            <w:vMerge/>
            <w:vAlign w:val="center"/>
            <w:hideMark/>
          </w:tcPr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  <w:vMerge/>
            <w:vAlign w:val="center"/>
            <w:hideMark/>
          </w:tcPr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19" w:type="dxa"/>
            <w:noWrap/>
            <w:vAlign w:val="center"/>
            <w:hideMark/>
          </w:tcPr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6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Transport of steroid</w:t>
            </w:r>
          </w:p>
        </w:tc>
        <w:tc>
          <w:tcPr>
            <w:tcW w:w="988" w:type="dxa"/>
            <w:noWrap/>
            <w:vAlign w:val="center"/>
            <w:hideMark/>
          </w:tcPr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6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2.03E-5</w:t>
            </w:r>
          </w:p>
        </w:tc>
        <w:tc>
          <w:tcPr>
            <w:tcW w:w="1325" w:type="dxa"/>
            <w:noWrap/>
            <w:vAlign w:val="center"/>
            <w:hideMark/>
          </w:tcPr>
          <w:p w:rsidR="003276D8" w:rsidRPr="003276D8" w:rsidRDefault="007B1A28" w:rsidP="003276D8">
            <w:pPr>
              <w:jc w:val="center"/>
              <w:rPr>
                <w:rFonts w:ascii="Times New Roman" w:hAnsi="Times New Roman" w:cs="Times New Roman"/>
                <w:b/>
                <w:color w:val="1F4E79" w:themeColor="accent5" w:themeShade="8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1F4E79" w:themeColor="accent5" w:themeShade="80"/>
                <w:sz w:val="24"/>
                <w:szCs w:val="24"/>
                <w:lang w:val="en-US"/>
              </w:rPr>
              <w:t>-2.16</w:t>
            </w:r>
          </w:p>
        </w:tc>
        <w:tc>
          <w:tcPr>
            <w:tcW w:w="1216" w:type="dxa"/>
            <w:noWrap/>
            <w:vAlign w:val="center"/>
            <w:hideMark/>
          </w:tcPr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6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33" w:type="dxa"/>
            <w:noWrap/>
            <w:vAlign w:val="center"/>
            <w:hideMark/>
          </w:tcPr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color w:val="1F4E79" w:themeColor="accent5" w:themeShade="80"/>
                <w:sz w:val="24"/>
                <w:szCs w:val="24"/>
                <w:lang w:val="en-US"/>
              </w:rPr>
            </w:pPr>
            <w:r w:rsidRPr="003276D8">
              <w:rPr>
                <w:rFonts w:ascii="Times New Roman" w:hAnsi="Times New Roman" w:cs="Times New Roman"/>
                <w:color w:val="1F4E79" w:themeColor="accent5" w:themeShade="80"/>
                <w:sz w:val="24"/>
                <w:szCs w:val="24"/>
                <w:lang w:val="en-US"/>
              </w:rPr>
              <w:t>Decreased</w:t>
            </w:r>
          </w:p>
        </w:tc>
      </w:tr>
      <w:tr w:rsidR="003276D8" w:rsidRPr="003276D8" w:rsidTr="003276D8">
        <w:trPr>
          <w:trHeight w:val="661"/>
        </w:trPr>
        <w:tc>
          <w:tcPr>
            <w:tcW w:w="691" w:type="dxa"/>
            <w:vMerge w:val="restart"/>
            <w:noWrap/>
            <w:vAlign w:val="center"/>
            <w:hideMark/>
          </w:tcPr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276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D7 NS</w:t>
            </w:r>
          </w:p>
        </w:tc>
        <w:tc>
          <w:tcPr>
            <w:tcW w:w="2393" w:type="dxa"/>
            <w:noWrap/>
            <w:vAlign w:val="center"/>
            <w:hideMark/>
          </w:tcPr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6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Carbohydrate metabolism</w:t>
            </w:r>
          </w:p>
        </w:tc>
        <w:tc>
          <w:tcPr>
            <w:tcW w:w="2219" w:type="dxa"/>
            <w:noWrap/>
            <w:vAlign w:val="center"/>
            <w:hideMark/>
          </w:tcPr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6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Binding of carbohydrate</w:t>
            </w:r>
          </w:p>
        </w:tc>
        <w:tc>
          <w:tcPr>
            <w:tcW w:w="988" w:type="dxa"/>
            <w:noWrap/>
            <w:vAlign w:val="center"/>
            <w:hideMark/>
          </w:tcPr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6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1.74E-5</w:t>
            </w:r>
          </w:p>
        </w:tc>
        <w:tc>
          <w:tcPr>
            <w:tcW w:w="1325" w:type="dxa"/>
            <w:noWrap/>
            <w:vAlign w:val="center"/>
            <w:hideMark/>
          </w:tcPr>
          <w:p w:rsidR="003276D8" w:rsidRPr="003276D8" w:rsidRDefault="007B1A28" w:rsidP="003276D8">
            <w:pPr>
              <w:jc w:val="center"/>
              <w:rPr>
                <w:rFonts w:ascii="Times New Roman" w:hAnsi="Times New Roman" w:cs="Times New Roman"/>
                <w:b/>
                <w:color w:val="1F4E79" w:themeColor="accent5" w:themeShade="8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1F4E79" w:themeColor="accent5" w:themeShade="80"/>
                <w:sz w:val="24"/>
                <w:szCs w:val="24"/>
                <w:lang w:val="en-US"/>
              </w:rPr>
              <w:t>-2.21</w:t>
            </w:r>
          </w:p>
        </w:tc>
        <w:tc>
          <w:tcPr>
            <w:tcW w:w="1216" w:type="dxa"/>
            <w:noWrap/>
            <w:vAlign w:val="center"/>
            <w:hideMark/>
          </w:tcPr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6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533" w:type="dxa"/>
            <w:noWrap/>
            <w:vAlign w:val="center"/>
            <w:hideMark/>
          </w:tcPr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color w:val="1F4E79" w:themeColor="accent5" w:themeShade="80"/>
                <w:sz w:val="24"/>
                <w:szCs w:val="24"/>
                <w:lang w:val="en-US"/>
              </w:rPr>
            </w:pPr>
            <w:r w:rsidRPr="003276D8">
              <w:rPr>
                <w:rFonts w:ascii="Times New Roman" w:hAnsi="Times New Roman" w:cs="Times New Roman"/>
                <w:color w:val="1F4E79" w:themeColor="accent5" w:themeShade="80"/>
                <w:sz w:val="24"/>
                <w:szCs w:val="24"/>
                <w:lang w:val="en-US"/>
              </w:rPr>
              <w:t>Decreased</w:t>
            </w:r>
          </w:p>
        </w:tc>
      </w:tr>
      <w:tr w:rsidR="003276D8" w:rsidRPr="003276D8" w:rsidTr="003276D8">
        <w:trPr>
          <w:trHeight w:val="661"/>
        </w:trPr>
        <w:tc>
          <w:tcPr>
            <w:tcW w:w="691" w:type="dxa"/>
            <w:vMerge/>
            <w:vAlign w:val="center"/>
            <w:hideMark/>
          </w:tcPr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  <w:noWrap/>
            <w:vAlign w:val="center"/>
            <w:hideMark/>
          </w:tcPr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6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Lipid metabolism, molecular transport, small molecule biochemistry</w:t>
            </w:r>
          </w:p>
        </w:tc>
        <w:tc>
          <w:tcPr>
            <w:tcW w:w="2219" w:type="dxa"/>
            <w:noWrap/>
            <w:vAlign w:val="center"/>
            <w:hideMark/>
          </w:tcPr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6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Transport of phospholipid</w:t>
            </w:r>
          </w:p>
        </w:tc>
        <w:tc>
          <w:tcPr>
            <w:tcW w:w="988" w:type="dxa"/>
            <w:noWrap/>
            <w:vAlign w:val="center"/>
            <w:hideMark/>
          </w:tcPr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6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3.61E-6</w:t>
            </w:r>
          </w:p>
        </w:tc>
        <w:tc>
          <w:tcPr>
            <w:tcW w:w="1325" w:type="dxa"/>
            <w:noWrap/>
            <w:vAlign w:val="center"/>
            <w:hideMark/>
          </w:tcPr>
          <w:p w:rsidR="003276D8" w:rsidRPr="003276D8" w:rsidRDefault="007B1A28" w:rsidP="003276D8">
            <w:pPr>
              <w:jc w:val="center"/>
              <w:rPr>
                <w:rFonts w:ascii="Times New Roman" w:hAnsi="Times New Roman" w:cs="Times New Roman"/>
                <w:color w:val="1F4E79" w:themeColor="accent5" w:themeShade="8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1F4E79" w:themeColor="accent5" w:themeShade="80"/>
                <w:sz w:val="24"/>
                <w:szCs w:val="24"/>
                <w:lang w:val="en-US"/>
              </w:rPr>
              <w:t>-1.92</w:t>
            </w:r>
          </w:p>
        </w:tc>
        <w:tc>
          <w:tcPr>
            <w:tcW w:w="1216" w:type="dxa"/>
            <w:noWrap/>
            <w:vAlign w:val="center"/>
            <w:hideMark/>
          </w:tcPr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6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533" w:type="dxa"/>
            <w:noWrap/>
            <w:vAlign w:val="center"/>
            <w:hideMark/>
          </w:tcPr>
          <w:p w:rsidR="003276D8" w:rsidRPr="003276D8" w:rsidRDefault="003276D8" w:rsidP="003276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3276D8" w:rsidRPr="003276D8" w:rsidRDefault="00A5036A" w:rsidP="003276D8">
      <w:pPr>
        <w:spacing w:line="480" w:lineRule="auto"/>
        <w:ind w:left="-1276"/>
        <w:jc w:val="both"/>
        <w:rPr>
          <w:rFonts w:ascii="Times" w:hAnsi="Times"/>
          <w:lang w:val="en-US"/>
        </w:rPr>
      </w:pPr>
      <w:r>
        <w:rPr>
          <w:rFonts w:ascii="Times" w:hAnsi="Times"/>
          <w:b/>
          <w:lang w:val="en-US"/>
        </w:rPr>
        <w:t xml:space="preserve">Additional File </w:t>
      </w:r>
      <w:bookmarkStart w:id="0" w:name="_GoBack"/>
      <w:bookmarkEnd w:id="0"/>
      <w:r w:rsidR="003E693E">
        <w:rPr>
          <w:rFonts w:ascii="Times" w:hAnsi="Times"/>
          <w:b/>
          <w:lang w:val="en-US"/>
        </w:rPr>
        <w:t>5</w:t>
      </w:r>
      <w:r w:rsidR="003276D8" w:rsidRPr="003276D8">
        <w:rPr>
          <w:rFonts w:ascii="Times" w:hAnsi="Times"/>
          <w:b/>
          <w:lang w:val="en-US"/>
        </w:rPr>
        <w:t>. Functional analysis curated by Ingenuity Pathway Analyses</w:t>
      </w:r>
      <w:r w:rsidR="003276D8" w:rsidRPr="003276D8">
        <w:rPr>
          <w:rFonts w:ascii="Times" w:hAnsi="Times"/>
          <w:lang w:val="en-US"/>
        </w:rPr>
        <w:t>. Prediction of altered functions based on activation Z-score. A score lower than -2 or higher than 2 predicts decreased or increased activation for each function.</w:t>
      </w:r>
      <w:r w:rsidR="009A0990">
        <w:rPr>
          <w:rFonts w:ascii="Times" w:hAnsi="Times"/>
          <w:lang w:val="en-US"/>
        </w:rPr>
        <w:t xml:space="preserve"> S: survivor. NS: non-survivor.</w:t>
      </w:r>
    </w:p>
    <w:sectPr w:rsidR="003276D8" w:rsidRPr="003276D8" w:rsidSect="003276D8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00005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36378"/>
    <w:rsid w:val="00236378"/>
    <w:rsid w:val="00267928"/>
    <w:rsid w:val="003276D8"/>
    <w:rsid w:val="003E693E"/>
    <w:rsid w:val="00641000"/>
    <w:rsid w:val="007B1A28"/>
    <w:rsid w:val="008B6D36"/>
    <w:rsid w:val="009A0990"/>
    <w:rsid w:val="00A5036A"/>
    <w:rsid w:val="00C84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4A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63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</dc:creator>
  <cp:keywords/>
  <dc:description/>
  <cp:lastModifiedBy>0013022</cp:lastModifiedBy>
  <cp:revision>7</cp:revision>
  <dcterms:created xsi:type="dcterms:W3CDTF">2018-09-21T02:09:00Z</dcterms:created>
  <dcterms:modified xsi:type="dcterms:W3CDTF">2019-07-11T07:33:00Z</dcterms:modified>
</cp:coreProperties>
</file>