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7EF" w:rsidRDefault="00CE37EF" w:rsidP="00CE37EF">
      <w:pPr>
        <w:pStyle w:val="Heading4"/>
        <w:spacing w:before="360" w:after="120" w:line="360" w:lineRule="auto"/>
      </w:pPr>
      <w:r>
        <w:t>Additional Figures</w:t>
      </w:r>
    </w:p>
    <w:p w:rsidR="00CE37EF" w:rsidRDefault="00CE37EF" w:rsidP="00CE37EF">
      <w:pPr>
        <w:spacing w:after="0" w:line="276" w:lineRule="auto"/>
      </w:pPr>
      <w:r>
        <w:rPr>
          <w:noProof/>
          <w:lang w:val="de-CH" w:eastAsia="de-CH"/>
        </w:rPr>
        <w:drawing>
          <wp:inline distT="114300" distB="114300" distL="114300" distR="114300" wp14:anchorId="09D3AFCE" wp14:editId="190C30A1">
            <wp:extent cx="5486400" cy="2806700"/>
            <wp:effectExtent l="0" t="0" r="0" b="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
                    <a:srcRect/>
                    <a:stretch>
                      <a:fillRect/>
                    </a:stretch>
                  </pic:blipFill>
                  <pic:spPr>
                    <a:xfrm>
                      <a:off x="0" y="0"/>
                      <a:ext cx="5486400" cy="2806700"/>
                    </a:xfrm>
                    <a:prstGeom prst="rect">
                      <a:avLst/>
                    </a:prstGeom>
                    <a:ln/>
                  </pic:spPr>
                </pic:pic>
              </a:graphicData>
            </a:graphic>
          </wp:inline>
        </w:drawing>
      </w:r>
    </w:p>
    <w:p w:rsidR="00CE37EF" w:rsidRDefault="00CE37EF" w:rsidP="00CE37EF">
      <w:pPr>
        <w:pStyle w:val="Heading5"/>
        <w:spacing w:before="0" w:line="360" w:lineRule="auto"/>
        <w:rPr>
          <w:b w:val="0"/>
          <w:sz w:val="22"/>
          <w:szCs w:val="22"/>
        </w:rPr>
      </w:pPr>
      <w:bookmarkStart w:id="0" w:name="_zaumq4tzf6ah" w:colFirst="0" w:colLast="0"/>
      <w:bookmarkEnd w:id="0"/>
      <w:r>
        <w:rPr>
          <w:sz w:val="22"/>
          <w:szCs w:val="22"/>
        </w:rPr>
        <w:t>Fig. S1. Random forest classification of mass spectrometry derived protein quantities.</w:t>
      </w:r>
    </w:p>
    <w:p w:rsidR="00CE37EF" w:rsidRDefault="00CE37EF" w:rsidP="00CE37EF">
      <w:pPr>
        <w:spacing w:after="0" w:line="360" w:lineRule="auto"/>
        <w:jc w:val="both"/>
        <w:rPr>
          <w:rFonts w:ascii="Arial" w:eastAsia="Arial" w:hAnsi="Arial" w:cs="Arial"/>
          <w:sz w:val="20"/>
          <w:szCs w:val="20"/>
        </w:rPr>
      </w:pPr>
      <w:r>
        <w:rPr>
          <w:rFonts w:ascii="Arial" w:eastAsia="Arial" w:hAnsi="Arial" w:cs="Arial"/>
          <w:b/>
          <w:sz w:val="20"/>
          <w:szCs w:val="20"/>
        </w:rPr>
        <w:t xml:space="preserve">(A) </w:t>
      </w:r>
      <w:r>
        <w:rPr>
          <w:rFonts w:ascii="Arial" w:eastAsia="Arial" w:hAnsi="Arial" w:cs="Arial"/>
          <w:sz w:val="20"/>
          <w:szCs w:val="20"/>
        </w:rPr>
        <w:t xml:space="preserve">Median AUCs (horizontal black lines in boxes), mean AUCs (black crosses), and </w:t>
      </w:r>
      <w:proofErr w:type="spellStart"/>
      <w:r>
        <w:rPr>
          <w:rFonts w:ascii="Arial" w:eastAsia="Arial" w:hAnsi="Arial" w:cs="Arial"/>
          <w:sz w:val="20"/>
          <w:szCs w:val="20"/>
        </w:rPr>
        <w:t>std</w:t>
      </w:r>
      <w:proofErr w:type="spellEnd"/>
      <w:r>
        <w:rPr>
          <w:rFonts w:ascii="Arial" w:eastAsia="Arial" w:hAnsi="Arial" w:cs="Arial"/>
          <w:sz w:val="20"/>
          <w:szCs w:val="20"/>
        </w:rPr>
        <w:t xml:space="preserve"> (</w:t>
      </w:r>
      <w:proofErr w:type="spellStart"/>
      <w:r>
        <w:rPr>
          <w:rFonts w:ascii="Arial" w:eastAsia="Arial" w:hAnsi="Arial" w:cs="Arial"/>
          <w:sz w:val="20"/>
          <w:szCs w:val="20"/>
        </w:rPr>
        <w:t>gray</w:t>
      </w:r>
      <w:proofErr w:type="spellEnd"/>
      <w:r>
        <w:rPr>
          <w:rFonts w:ascii="Arial" w:eastAsia="Arial" w:hAnsi="Arial" w:cs="Arial"/>
          <w:sz w:val="20"/>
          <w:szCs w:val="20"/>
        </w:rPr>
        <w:t xml:space="preserve"> bars) for the top 10 random forest models (orange) compared to PSA alone (light blue) and PSA plus biopsy Gleason score </w:t>
      </w:r>
      <w:proofErr w:type="spellStart"/>
      <w:r>
        <w:rPr>
          <w:rFonts w:ascii="Arial" w:eastAsia="Arial" w:hAnsi="Arial" w:cs="Arial"/>
          <w:sz w:val="20"/>
          <w:szCs w:val="20"/>
        </w:rPr>
        <w:t>Bx</w:t>
      </w:r>
      <w:proofErr w:type="spellEnd"/>
      <w:r>
        <w:rPr>
          <w:rFonts w:ascii="Arial" w:eastAsia="Arial" w:hAnsi="Arial" w:cs="Arial"/>
          <w:sz w:val="20"/>
          <w:szCs w:val="20"/>
        </w:rPr>
        <w:t xml:space="preserve"> (dark blue). Each model consists of PSA plus the shown peptides, and each was tested in a 50-fold bootstrapped cross-validation experiment to predict biochemical recurrence-free survival. In total, there were 27895 tested models (all combinations of one to five peptides). Of these, 21151 were better than PSA or better than PSA plus Gleason score, and 62 models were statistically not significantly different from the best model. </w:t>
      </w:r>
      <w:r>
        <w:rPr>
          <w:rFonts w:ascii="Arial" w:eastAsia="Arial" w:hAnsi="Arial" w:cs="Arial"/>
          <w:b/>
          <w:sz w:val="20"/>
          <w:szCs w:val="20"/>
        </w:rPr>
        <w:t>(B)</w:t>
      </w:r>
      <w:r>
        <w:rPr>
          <w:rFonts w:ascii="Arial" w:eastAsia="Arial" w:hAnsi="Arial" w:cs="Arial"/>
          <w:sz w:val="20"/>
          <w:szCs w:val="20"/>
        </w:rPr>
        <w:t xml:space="preserve"> Differentiating proteins in the 62 statistically identical models. </w:t>
      </w:r>
    </w:p>
    <w:p w:rsidR="00CE37EF" w:rsidRDefault="00CE37EF" w:rsidP="00CE37EF">
      <w:pPr>
        <w:spacing w:after="0" w:line="360" w:lineRule="auto"/>
        <w:jc w:val="both"/>
        <w:rPr>
          <w:rFonts w:ascii="Arial" w:eastAsia="Arial" w:hAnsi="Arial" w:cs="Arial"/>
          <w:sz w:val="20"/>
          <w:szCs w:val="20"/>
        </w:rPr>
      </w:pPr>
    </w:p>
    <w:p w:rsidR="00CE37EF" w:rsidRDefault="00CE37EF" w:rsidP="00CE37EF">
      <w:pPr>
        <w:spacing w:after="0" w:line="360" w:lineRule="auto"/>
        <w:jc w:val="both"/>
        <w:rPr>
          <w:rFonts w:ascii="Arial" w:eastAsia="Arial" w:hAnsi="Arial" w:cs="Arial"/>
          <w:sz w:val="20"/>
          <w:szCs w:val="20"/>
        </w:rPr>
      </w:pPr>
    </w:p>
    <w:p w:rsidR="00CE37EF" w:rsidRDefault="00CE37EF" w:rsidP="00CE37EF">
      <w:pPr>
        <w:spacing w:after="0" w:line="360" w:lineRule="auto"/>
        <w:jc w:val="both"/>
        <w:rPr>
          <w:rFonts w:ascii="Arial" w:eastAsia="Arial" w:hAnsi="Arial" w:cs="Arial"/>
          <w:sz w:val="20"/>
          <w:szCs w:val="20"/>
        </w:rPr>
      </w:pPr>
      <w:r>
        <w:br w:type="page"/>
      </w:r>
    </w:p>
    <w:p w:rsidR="00CE37EF" w:rsidRDefault="00CE37EF" w:rsidP="00CE37EF">
      <w:pPr>
        <w:spacing w:after="0" w:line="276" w:lineRule="auto"/>
        <w:jc w:val="both"/>
        <w:rPr>
          <w:sz w:val="24"/>
          <w:szCs w:val="24"/>
        </w:rPr>
      </w:pPr>
      <w:r>
        <w:rPr>
          <w:noProof/>
          <w:color w:val="4A86E8"/>
          <w:sz w:val="24"/>
          <w:szCs w:val="24"/>
          <w:lang w:val="de-CH" w:eastAsia="de-CH"/>
        </w:rPr>
        <w:lastRenderedPageBreak/>
        <w:drawing>
          <wp:inline distT="114300" distB="114300" distL="114300" distR="114300" wp14:anchorId="03B24C36" wp14:editId="6A225E2D">
            <wp:extent cx="2527200" cy="25272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527200" cy="2527200"/>
                    </a:xfrm>
                    <a:prstGeom prst="rect">
                      <a:avLst/>
                    </a:prstGeom>
                    <a:ln/>
                  </pic:spPr>
                </pic:pic>
              </a:graphicData>
            </a:graphic>
          </wp:inline>
        </w:drawing>
      </w:r>
      <w:r>
        <w:rPr>
          <w:noProof/>
          <w:color w:val="4A86E8"/>
          <w:sz w:val="24"/>
          <w:szCs w:val="24"/>
          <w:lang w:val="de-CH" w:eastAsia="de-CH"/>
        </w:rPr>
        <w:drawing>
          <wp:inline distT="114300" distB="114300" distL="114300" distR="114300" wp14:anchorId="4383C4C8" wp14:editId="3120FDBB">
            <wp:extent cx="2527200" cy="2527200"/>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2527200" cy="2527200"/>
                    </a:xfrm>
                    <a:prstGeom prst="rect">
                      <a:avLst/>
                    </a:prstGeom>
                    <a:ln/>
                  </pic:spPr>
                </pic:pic>
              </a:graphicData>
            </a:graphic>
          </wp:inline>
        </w:drawing>
      </w:r>
    </w:p>
    <w:p w:rsidR="00CE37EF" w:rsidRDefault="00CE37EF" w:rsidP="00CE37EF">
      <w:pPr>
        <w:pStyle w:val="Heading5"/>
        <w:spacing w:before="0" w:line="360" w:lineRule="auto"/>
        <w:rPr>
          <w:sz w:val="22"/>
          <w:szCs w:val="22"/>
        </w:rPr>
      </w:pPr>
      <w:bookmarkStart w:id="1" w:name="_yltg6pmcwrq1" w:colFirst="0" w:colLast="0"/>
      <w:bookmarkEnd w:id="1"/>
      <w:r>
        <w:rPr>
          <w:sz w:val="22"/>
          <w:szCs w:val="22"/>
        </w:rPr>
        <w:t>Fig. S2. Univariate expression of FN1 and VTN in patients with and without recurrence.</w:t>
      </w:r>
    </w:p>
    <w:p w:rsidR="00CE37EF" w:rsidRPr="00731221" w:rsidRDefault="00CE37EF" w:rsidP="00731221">
      <w:pPr>
        <w:spacing w:line="360" w:lineRule="auto"/>
        <w:rPr>
          <w:rFonts w:ascii="Arial" w:hAnsi="Arial" w:cs="Arial"/>
          <w:sz w:val="20"/>
          <w:szCs w:val="20"/>
        </w:rPr>
      </w:pPr>
      <w:r w:rsidRPr="00731221">
        <w:rPr>
          <w:rFonts w:ascii="Arial" w:hAnsi="Arial" w:cs="Arial"/>
          <w:sz w:val="20"/>
          <w:szCs w:val="20"/>
        </w:rPr>
        <w:t>The univariate expression supports the use of the two proteins in differential models, but their discriminative power alone is not high enough.</w:t>
      </w:r>
    </w:p>
    <w:p w:rsidR="00CE37EF" w:rsidRDefault="00CE37EF" w:rsidP="00CE37EF"/>
    <w:p w:rsidR="00CE37EF" w:rsidRDefault="00CE37EF" w:rsidP="00CE37EF">
      <w:r>
        <w:br w:type="page"/>
      </w:r>
    </w:p>
    <w:p w:rsidR="00CE37EF" w:rsidRDefault="00CE37EF" w:rsidP="00CE37EF">
      <w:pPr>
        <w:spacing w:after="0" w:line="360" w:lineRule="auto"/>
        <w:jc w:val="both"/>
        <w:rPr>
          <w:b/>
          <w:sz w:val="24"/>
          <w:szCs w:val="24"/>
        </w:rPr>
      </w:pPr>
      <w:r>
        <w:rPr>
          <w:b/>
          <w:noProof/>
          <w:sz w:val="24"/>
          <w:szCs w:val="24"/>
          <w:lang w:val="de-CH" w:eastAsia="de-CH"/>
        </w:rPr>
        <w:lastRenderedPageBreak/>
        <w:drawing>
          <wp:inline distT="114300" distB="114300" distL="114300" distR="114300" wp14:anchorId="59B2B6F0" wp14:editId="38210462">
            <wp:extent cx="3393554" cy="3635375"/>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3393554" cy="3635375"/>
                    </a:xfrm>
                    <a:prstGeom prst="rect">
                      <a:avLst/>
                    </a:prstGeom>
                    <a:ln/>
                  </pic:spPr>
                </pic:pic>
              </a:graphicData>
            </a:graphic>
          </wp:inline>
        </w:drawing>
      </w:r>
    </w:p>
    <w:p w:rsidR="00CE37EF" w:rsidRDefault="00CE37EF" w:rsidP="00CE37EF">
      <w:pPr>
        <w:spacing w:after="0" w:line="360" w:lineRule="auto"/>
        <w:jc w:val="both"/>
        <w:rPr>
          <w:rFonts w:ascii="Arial" w:eastAsia="Arial" w:hAnsi="Arial" w:cs="Arial"/>
          <w:b/>
        </w:rPr>
      </w:pPr>
    </w:p>
    <w:p w:rsidR="00CE37EF" w:rsidRDefault="00CE37EF" w:rsidP="00CE37EF">
      <w:pPr>
        <w:pStyle w:val="Heading5"/>
        <w:spacing w:before="0" w:line="360" w:lineRule="auto"/>
        <w:rPr>
          <w:sz w:val="22"/>
          <w:szCs w:val="22"/>
        </w:rPr>
      </w:pPr>
      <w:bookmarkStart w:id="2" w:name="_mlr5y7jy0cen" w:colFirst="0" w:colLast="0"/>
      <w:bookmarkEnd w:id="2"/>
      <w:r>
        <w:rPr>
          <w:sz w:val="22"/>
          <w:szCs w:val="22"/>
        </w:rPr>
        <w:t xml:space="preserve">Fig. S3. Cross-validated Kaplan-Meier plot for Hamburg cohort based on MS data (n=78). </w:t>
      </w:r>
    </w:p>
    <w:p w:rsidR="00CE37EF" w:rsidRDefault="00CE37EF" w:rsidP="00CE37EF">
      <w:pPr>
        <w:spacing w:after="0" w:line="360" w:lineRule="auto"/>
        <w:jc w:val="both"/>
        <w:rPr>
          <w:rFonts w:ascii="Arial" w:eastAsia="Arial" w:hAnsi="Arial" w:cs="Arial"/>
        </w:rPr>
      </w:pPr>
      <w:r>
        <w:rPr>
          <w:rFonts w:ascii="Arial" w:eastAsia="Arial" w:hAnsi="Arial" w:cs="Arial"/>
          <w:sz w:val="20"/>
          <w:szCs w:val="20"/>
        </w:rPr>
        <w:t>Kaplan-Meier curves of all 50 folds (</w:t>
      </w:r>
      <w:proofErr w:type="spellStart"/>
      <w:r>
        <w:rPr>
          <w:rFonts w:ascii="Arial" w:eastAsia="Arial" w:hAnsi="Arial" w:cs="Arial"/>
          <w:sz w:val="20"/>
          <w:szCs w:val="20"/>
        </w:rPr>
        <w:t>gray</w:t>
      </w:r>
      <w:proofErr w:type="spellEnd"/>
      <w:r>
        <w:rPr>
          <w:rFonts w:ascii="Arial" w:eastAsia="Arial" w:hAnsi="Arial" w:cs="Arial"/>
          <w:sz w:val="20"/>
          <w:szCs w:val="20"/>
        </w:rPr>
        <w:t>) of our protein model (VTN + FN1) with PSA and biopsy Gleason score (</w:t>
      </w:r>
      <w:proofErr w:type="spellStart"/>
      <w:r>
        <w:rPr>
          <w:rFonts w:ascii="Arial" w:eastAsia="Arial" w:hAnsi="Arial" w:cs="Arial"/>
          <w:sz w:val="20"/>
          <w:szCs w:val="20"/>
        </w:rPr>
        <w:t>Bx</w:t>
      </w:r>
      <w:proofErr w:type="spellEnd"/>
      <w:r>
        <w:rPr>
          <w:rFonts w:ascii="Arial" w:eastAsia="Arial" w:hAnsi="Arial" w:cs="Arial"/>
          <w:sz w:val="20"/>
          <w:szCs w:val="20"/>
        </w:rPr>
        <w:t xml:space="preserve">), and the median (orange, p = 0.183). The median plot stratifies the patient groups better than PSA alone (light blue, p = 0.358) and better than PSA plus Gleason score (dark blue, p = 0.229). The p-values indicate </w:t>
      </w:r>
      <w:r>
        <w:rPr>
          <w:rFonts w:ascii="Arial" w:eastAsia="Arial" w:hAnsi="Arial" w:cs="Arial"/>
          <w:color w:val="222222"/>
          <w:sz w:val="20"/>
          <w:szCs w:val="20"/>
          <w:highlight w:val="white"/>
        </w:rPr>
        <w:t>likelihood-ratio test</w:t>
      </w:r>
      <w:r>
        <w:rPr>
          <w:rFonts w:ascii="Arial" w:eastAsia="Arial" w:hAnsi="Arial" w:cs="Arial"/>
          <w:color w:val="222222"/>
          <w:sz w:val="20"/>
          <w:szCs w:val="20"/>
        </w:rPr>
        <w:t>s</w:t>
      </w:r>
      <w:r>
        <w:rPr>
          <w:rFonts w:ascii="Arial" w:eastAsia="Arial" w:hAnsi="Arial" w:cs="Arial"/>
          <w:sz w:val="20"/>
          <w:szCs w:val="20"/>
        </w:rPr>
        <w:t xml:space="preserve">. The patient data of each of the 50 bootstrapped folds were used to train a model, and the model was then applied to the leftover samples to predict sample scores. The scores were </w:t>
      </w:r>
      <w:proofErr w:type="spellStart"/>
      <w:r>
        <w:rPr>
          <w:rFonts w:ascii="Arial" w:eastAsia="Arial" w:hAnsi="Arial" w:cs="Arial"/>
          <w:sz w:val="20"/>
          <w:szCs w:val="20"/>
        </w:rPr>
        <w:t>binarized</w:t>
      </w:r>
      <w:proofErr w:type="spellEnd"/>
      <w:r>
        <w:rPr>
          <w:rFonts w:ascii="Arial" w:eastAsia="Arial" w:hAnsi="Arial" w:cs="Arial"/>
          <w:sz w:val="20"/>
          <w:szCs w:val="20"/>
        </w:rPr>
        <w:t xml:space="preserve"> into high and low risk based on a </w:t>
      </w:r>
      <w:proofErr w:type="spellStart"/>
      <w:r>
        <w:rPr>
          <w:rFonts w:ascii="Arial" w:eastAsia="Arial" w:hAnsi="Arial" w:cs="Arial"/>
          <w:sz w:val="20"/>
          <w:szCs w:val="20"/>
        </w:rPr>
        <w:t>cutoff</w:t>
      </w:r>
      <w:proofErr w:type="spellEnd"/>
      <w:r>
        <w:rPr>
          <w:rFonts w:ascii="Arial" w:eastAsia="Arial" w:hAnsi="Arial" w:cs="Arial"/>
          <w:sz w:val="20"/>
          <w:szCs w:val="20"/>
        </w:rPr>
        <w:t xml:space="preserve"> on the training AUC where specificity and sensitivity were maximized.</w:t>
      </w:r>
    </w:p>
    <w:p w:rsidR="00CE37EF" w:rsidRDefault="00CE37EF" w:rsidP="00CE37EF">
      <w:pPr>
        <w:spacing w:after="0" w:line="360" w:lineRule="auto"/>
        <w:jc w:val="both"/>
        <w:rPr>
          <w:sz w:val="24"/>
          <w:szCs w:val="24"/>
        </w:rPr>
      </w:pPr>
      <w:r>
        <w:rPr>
          <w:noProof/>
          <w:sz w:val="24"/>
          <w:szCs w:val="24"/>
          <w:lang w:val="de-CH" w:eastAsia="de-CH"/>
        </w:rPr>
        <w:lastRenderedPageBreak/>
        <w:drawing>
          <wp:inline distT="114300" distB="114300" distL="114300" distR="114300" wp14:anchorId="65B1EC5B" wp14:editId="75C54735">
            <wp:extent cx="2799329" cy="3014663"/>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2799329" cy="3014663"/>
                    </a:xfrm>
                    <a:prstGeom prst="rect">
                      <a:avLst/>
                    </a:prstGeom>
                    <a:ln/>
                  </pic:spPr>
                </pic:pic>
              </a:graphicData>
            </a:graphic>
          </wp:inline>
        </w:drawing>
      </w:r>
    </w:p>
    <w:p w:rsidR="00CE37EF" w:rsidRDefault="00CE37EF" w:rsidP="00CE37EF">
      <w:pPr>
        <w:pStyle w:val="Heading5"/>
        <w:spacing w:before="0" w:line="360" w:lineRule="auto"/>
        <w:rPr>
          <w:sz w:val="22"/>
          <w:szCs w:val="22"/>
        </w:rPr>
      </w:pPr>
      <w:bookmarkStart w:id="3" w:name="_5r4aubt5v4e8" w:colFirst="0" w:colLast="0"/>
      <w:bookmarkEnd w:id="3"/>
      <w:r>
        <w:rPr>
          <w:sz w:val="22"/>
          <w:szCs w:val="22"/>
        </w:rPr>
        <w:t xml:space="preserve">Fig. S4. ELISA training error. </w:t>
      </w:r>
    </w:p>
    <w:p w:rsidR="00CE37EF" w:rsidRDefault="00CE37EF" w:rsidP="00CE37EF">
      <w:pPr>
        <w:spacing w:after="0" w:line="360" w:lineRule="auto"/>
        <w:jc w:val="both"/>
        <w:rPr>
          <w:rFonts w:ascii="Arial" w:eastAsia="Arial" w:hAnsi="Arial" w:cs="Arial"/>
          <w:sz w:val="20"/>
          <w:szCs w:val="20"/>
        </w:rPr>
      </w:pPr>
      <w:r>
        <w:rPr>
          <w:rFonts w:ascii="Arial" w:eastAsia="Arial" w:hAnsi="Arial" w:cs="Arial"/>
          <w:sz w:val="20"/>
          <w:szCs w:val="20"/>
        </w:rPr>
        <w:t xml:space="preserve">Trained on Hamburg cohort data (n=118), the model predicts 5-year biochemical recurrence-free survival on the same Hamburg cohort data with an AUC of 0.956 (orange, </w:t>
      </w:r>
      <w:r>
        <w:rPr>
          <w:rFonts w:ascii="Arial" w:eastAsia="Arial" w:hAnsi="Arial" w:cs="Arial"/>
        </w:rPr>
        <w:t xml:space="preserve">95% CI [0.92, 0.99], </w:t>
      </w:r>
      <w:r>
        <w:rPr>
          <w:rFonts w:ascii="Arial" w:eastAsia="Arial" w:hAnsi="Arial" w:cs="Arial"/>
          <w:sz w:val="20"/>
          <w:szCs w:val="20"/>
        </w:rPr>
        <w:t xml:space="preserve">p = 4.48e-10), which is better than PSA alone (light blue, AUC = 0.872, </w:t>
      </w:r>
      <w:r>
        <w:rPr>
          <w:rFonts w:ascii="Arial" w:eastAsia="Arial" w:hAnsi="Arial" w:cs="Arial"/>
        </w:rPr>
        <w:t xml:space="preserve">CI [0.76, 0.98], </w:t>
      </w:r>
      <w:r>
        <w:rPr>
          <w:rFonts w:ascii="Arial" w:eastAsia="Arial" w:hAnsi="Arial" w:cs="Arial"/>
          <w:sz w:val="20"/>
          <w:szCs w:val="20"/>
        </w:rPr>
        <w:t>p = 0.0719), PSA plus Gleason score (</w:t>
      </w:r>
      <w:proofErr w:type="spellStart"/>
      <w:r>
        <w:rPr>
          <w:rFonts w:ascii="Arial" w:eastAsia="Arial" w:hAnsi="Arial" w:cs="Arial"/>
          <w:sz w:val="20"/>
          <w:szCs w:val="20"/>
        </w:rPr>
        <w:t>Bx</w:t>
      </w:r>
      <w:proofErr w:type="spellEnd"/>
      <w:r>
        <w:rPr>
          <w:rFonts w:ascii="Arial" w:eastAsia="Arial" w:hAnsi="Arial" w:cs="Arial"/>
          <w:sz w:val="20"/>
          <w:szCs w:val="20"/>
        </w:rPr>
        <w:t xml:space="preserve">) (dark blue, AUC = 0.898, </w:t>
      </w:r>
      <w:r>
        <w:rPr>
          <w:rFonts w:ascii="Arial" w:eastAsia="Arial" w:hAnsi="Arial" w:cs="Arial"/>
        </w:rPr>
        <w:t xml:space="preserve">CI [0.81, 0.98], </w:t>
      </w:r>
      <w:r>
        <w:rPr>
          <w:rFonts w:ascii="Arial" w:eastAsia="Arial" w:hAnsi="Arial" w:cs="Arial"/>
          <w:sz w:val="20"/>
          <w:szCs w:val="20"/>
        </w:rPr>
        <w:t xml:space="preserve">p = 0.139), or NCCN (green, AUC = 0.73, </w:t>
      </w:r>
      <w:r>
        <w:rPr>
          <w:rFonts w:ascii="Arial" w:eastAsia="Arial" w:hAnsi="Arial" w:cs="Arial"/>
        </w:rPr>
        <w:t>CI [0.62, 0.</w:t>
      </w:r>
      <w:bookmarkStart w:id="4" w:name="_GoBack"/>
      <w:bookmarkEnd w:id="4"/>
      <w:r>
        <w:rPr>
          <w:rFonts w:ascii="Arial" w:eastAsia="Arial" w:hAnsi="Arial" w:cs="Arial"/>
        </w:rPr>
        <w:t xml:space="preserve">84], </w:t>
      </w:r>
      <w:r>
        <w:rPr>
          <w:rFonts w:ascii="Arial" w:eastAsia="Arial" w:hAnsi="Arial" w:cs="Arial"/>
          <w:sz w:val="20"/>
          <w:szCs w:val="20"/>
        </w:rPr>
        <w:t xml:space="preserve">p = 5.3e-5). </w:t>
      </w:r>
      <w:proofErr w:type="spellStart"/>
      <w:r>
        <w:rPr>
          <w:rFonts w:ascii="Arial" w:eastAsia="Arial" w:hAnsi="Arial" w:cs="Arial"/>
          <w:sz w:val="20"/>
          <w:szCs w:val="20"/>
        </w:rPr>
        <w:t>Gray</w:t>
      </w:r>
      <w:proofErr w:type="spellEnd"/>
      <w:r>
        <w:rPr>
          <w:rFonts w:ascii="Arial" w:eastAsia="Arial" w:hAnsi="Arial" w:cs="Arial"/>
          <w:sz w:val="20"/>
          <w:szCs w:val="20"/>
        </w:rPr>
        <w:t xml:space="preserve"> line indicates chance level.</w:t>
      </w:r>
    </w:p>
    <w:p w:rsidR="00CE37EF" w:rsidRDefault="00CE37EF" w:rsidP="00CE37EF">
      <w:pPr>
        <w:spacing w:after="0" w:line="360" w:lineRule="auto"/>
        <w:jc w:val="both"/>
        <w:rPr>
          <w:sz w:val="24"/>
          <w:szCs w:val="24"/>
        </w:rPr>
      </w:pPr>
    </w:p>
    <w:sdt>
      <w:sdtPr>
        <w:id w:val="-2113575980"/>
        <w:docPartObj>
          <w:docPartGallery w:val="Table of Contents"/>
          <w:docPartUnique/>
        </w:docPartObj>
      </w:sdtPr>
      <w:sdtEndPr/>
      <w:sdtContent>
        <w:p w:rsidR="00CE37EF" w:rsidRDefault="00CE37EF" w:rsidP="00CE37EF">
          <w:pPr>
            <w:tabs>
              <w:tab w:val="right" w:pos="9360"/>
            </w:tabs>
            <w:spacing w:before="60" w:after="80"/>
            <w:ind w:left="360"/>
            <w:rPr>
              <w:rFonts w:ascii="Arial" w:eastAsia="Arial" w:hAnsi="Arial" w:cs="Arial"/>
            </w:rPr>
          </w:pPr>
          <w:r>
            <w:fldChar w:fldCharType="begin"/>
          </w:r>
          <w:r>
            <w:instrText xml:space="preserve"> TOC \h \u \z </w:instrText>
          </w:r>
          <w:r>
            <w:fldChar w:fldCharType="end"/>
          </w:r>
        </w:p>
      </w:sdtContent>
    </w:sdt>
    <w:p w:rsidR="00CE37EF" w:rsidRDefault="00CE37EF" w:rsidP="00CE37EF">
      <w:pPr>
        <w:pBdr>
          <w:top w:val="nil"/>
          <w:left w:val="nil"/>
          <w:bottom w:val="nil"/>
          <w:right w:val="nil"/>
          <w:between w:val="nil"/>
        </w:pBdr>
        <w:spacing w:line="480" w:lineRule="auto"/>
        <w:rPr>
          <w:rFonts w:ascii="Arial" w:eastAsia="Arial" w:hAnsi="Arial" w:cs="Arial"/>
          <w:sz w:val="20"/>
          <w:szCs w:val="20"/>
        </w:rPr>
      </w:pPr>
    </w:p>
    <w:p w:rsidR="006E7183" w:rsidRDefault="006E7183"/>
    <w:sectPr w:rsidR="006E71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7EF"/>
    <w:rsid w:val="00012E9B"/>
    <w:rsid w:val="00016A29"/>
    <w:rsid w:val="000261E5"/>
    <w:rsid w:val="000362DC"/>
    <w:rsid w:val="00040494"/>
    <w:rsid w:val="0004771A"/>
    <w:rsid w:val="000511A7"/>
    <w:rsid w:val="000531F9"/>
    <w:rsid w:val="0005678F"/>
    <w:rsid w:val="000633CB"/>
    <w:rsid w:val="00067C26"/>
    <w:rsid w:val="00081ABF"/>
    <w:rsid w:val="00082F1F"/>
    <w:rsid w:val="0008578D"/>
    <w:rsid w:val="00092A64"/>
    <w:rsid w:val="00095D45"/>
    <w:rsid w:val="000A0B71"/>
    <w:rsid w:val="000B41C7"/>
    <w:rsid w:val="000C71ED"/>
    <w:rsid w:val="000D4EA4"/>
    <w:rsid w:val="000E7714"/>
    <w:rsid w:val="00100F74"/>
    <w:rsid w:val="0011500B"/>
    <w:rsid w:val="00127F1E"/>
    <w:rsid w:val="001306A5"/>
    <w:rsid w:val="001427B7"/>
    <w:rsid w:val="00161B1A"/>
    <w:rsid w:val="001765AC"/>
    <w:rsid w:val="00177612"/>
    <w:rsid w:val="00191644"/>
    <w:rsid w:val="00192FA1"/>
    <w:rsid w:val="00193022"/>
    <w:rsid w:val="00193273"/>
    <w:rsid w:val="001A28D9"/>
    <w:rsid w:val="001A5A83"/>
    <w:rsid w:val="001B1E69"/>
    <w:rsid w:val="001B28FA"/>
    <w:rsid w:val="001B3C00"/>
    <w:rsid w:val="001B5541"/>
    <w:rsid w:val="001C0AD2"/>
    <w:rsid w:val="001C2A92"/>
    <w:rsid w:val="001C5B56"/>
    <w:rsid w:val="001C6DCF"/>
    <w:rsid w:val="001E32EC"/>
    <w:rsid w:val="001E4390"/>
    <w:rsid w:val="001E685D"/>
    <w:rsid w:val="001E7238"/>
    <w:rsid w:val="0021230D"/>
    <w:rsid w:val="00223213"/>
    <w:rsid w:val="00261CB7"/>
    <w:rsid w:val="0026265C"/>
    <w:rsid w:val="00284822"/>
    <w:rsid w:val="00295EA4"/>
    <w:rsid w:val="002A2DDE"/>
    <w:rsid w:val="002D6B32"/>
    <w:rsid w:val="002E1317"/>
    <w:rsid w:val="002E59C6"/>
    <w:rsid w:val="00302DC3"/>
    <w:rsid w:val="0031040B"/>
    <w:rsid w:val="003114F2"/>
    <w:rsid w:val="003139B9"/>
    <w:rsid w:val="00322274"/>
    <w:rsid w:val="003233F2"/>
    <w:rsid w:val="00326461"/>
    <w:rsid w:val="003366B3"/>
    <w:rsid w:val="00345725"/>
    <w:rsid w:val="00354B7C"/>
    <w:rsid w:val="00355DD8"/>
    <w:rsid w:val="00360692"/>
    <w:rsid w:val="00360C49"/>
    <w:rsid w:val="00377CFF"/>
    <w:rsid w:val="00380B95"/>
    <w:rsid w:val="0038230E"/>
    <w:rsid w:val="00386732"/>
    <w:rsid w:val="003B5FFB"/>
    <w:rsid w:val="003E5B2A"/>
    <w:rsid w:val="003E5F50"/>
    <w:rsid w:val="003F5DA6"/>
    <w:rsid w:val="00403374"/>
    <w:rsid w:val="004114CD"/>
    <w:rsid w:val="0041442F"/>
    <w:rsid w:val="004156DE"/>
    <w:rsid w:val="0041605A"/>
    <w:rsid w:val="00423BF3"/>
    <w:rsid w:val="00424781"/>
    <w:rsid w:val="00427AC7"/>
    <w:rsid w:val="00432C7A"/>
    <w:rsid w:val="00444501"/>
    <w:rsid w:val="00455DDA"/>
    <w:rsid w:val="00457C27"/>
    <w:rsid w:val="004778BC"/>
    <w:rsid w:val="00482D33"/>
    <w:rsid w:val="004839BF"/>
    <w:rsid w:val="00490017"/>
    <w:rsid w:val="00495965"/>
    <w:rsid w:val="004A1A80"/>
    <w:rsid w:val="004A343C"/>
    <w:rsid w:val="004D0025"/>
    <w:rsid w:val="004D515B"/>
    <w:rsid w:val="004D76A9"/>
    <w:rsid w:val="004D7EC7"/>
    <w:rsid w:val="004E2252"/>
    <w:rsid w:val="004E499C"/>
    <w:rsid w:val="004E6F93"/>
    <w:rsid w:val="00507243"/>
    <w:rsid w:val="005226F7"/>
    <w:rsid w:val="0053740C"/>
    <w:rsid w:val="00544109"/>
    <w:rsid w:val="00554910"/>
    <w:rsid w:val="00573991"/>
    <w:rsid w:val="005771C2"/>
    <w:rsid w:val="00577DA5"/>
    <w:rsid w:val="0059161A"/>
    <w:rsid w:val="005A269D"/>
    <w:rsid w:val="005A3004"/>
    <w:rsid w:val="005A68EA"/>
    <w:rsid w:val="005B1055"/>
    <w:rsid w:val="005D5EB7"/>
    <w:rsid w:val="005D7FC5"/>
    <w:rsid w:val="005F086C"/>
    <w:rsid w:val="006013D4"/>
    <w:rsid w:val="0060260F"/>
    <w:rsid w:val="00606AE2"/>
    <w:rsid w:val="00626F75"/>
    <w:rsid w:val="006465AB"/>
    <w:rsid w:val="00647CF4"/>
    <w:rsid w:val="00650443"/>
    <w:rsid w:val="006568F1"/>
    <w:rsid w:val="0066523E"/>
    <w:rsid w:val="00666FF7"/>
    <w:rsid w:val="00673BD5"/>
    <w:rsid w:val="00674D57"/>
    <w:rsid w:val="0068403A"/>
    <w:rsid w:val="006900B2"/>
    <w:rsid w:val="006A3EAF"/>
    <w:rsid w:val="006B6CA4"/>
    <w:rsid w:val="006C7CEC"/>
    <w:rsid w:val="006D5282"/>
    <w:rsid w:val="006D7F25"/>
    <w:rsid w:val="006E7183"/>
    <w:rsid w:val="006F1D51"/>
    <w:rsid w:val="006F250A"/>
    <w:rsid w:val="006F2C8D"/>
    <w:rsid w:val="006F6FD9"/>
    <w:rsid w:val="0071250B"/>
    <w:rsid w:val="0071362F"/>
    <w:rsid w:val="007231D0"/>
    <w:rsid w:val="00723CB9"/>
    <w:rsid w:val="00730200"/>
    <w:rsid w:val="00731221"/>
    <w:rsid w:val="00731A05"/>
    <w:rsid w:val="007369B7"/>
    <w:rsid w:val="00737D8F"/>
    <w:rsid w:val="0075340F"/>
    <w:rsid w:val="00767005"/>
    <w:rsid w:val="00770CF8"/>
    <w:rsid w:val="00785D02"/>
    <w:rsid w:val="0079034D"/>
    <w:rsid w:val="007B2CBA"/>
    <w:rsid w:val="007C09F3"/>
    <w:rsid w:val="007C294E"/>
    <w:rsid w:val="007C58AE"/>
    <w:rsid w:val="007C6044"/>
    <w:rsid w:val="007D2EBC"/>
    <w:rsid w:val="007E0485"/>
    <w:rsid w:val="007F3563"/>
    <w:rsid w:val="007F3A38"/>
    <w:rsid w:val="00804125"/>
    <w:rsid w:val="00810BDD"/>
    <w:rsid w:val="008142C1"/>
    <w:rsid w:val="0082379E"/>
    <w:rsid w:val="00827F76"/>
    <w:rsid w:val="0083709C"/>
    <w:rsid w:val="00840C27"/>
    <w:rsid w:val="0086270B"/>
    <w:rsid w:val="0086575F"/>
    <w:rsid w:val="00870D95"/>
    <w:rsid w:val="00876239"/>
    <w:rsid w:val="0088658D"/>
    <w:rsid w:val="008A33A7"/>
    <w:rsid w:val="008A6277"/>
    <w:rsid w:val="008A70A3"/>
    <w:rsid w:val="008C1E51"/>
    <w:rsid w:val="008D1573"/>
    <w:rsid w:val="008D35BC"/>
    <w:rsid w:val="008D507E"/>
    <w:rsid w:val="008E3161"/>
    <w:rsid w:val="008F60B9"/>
    <w:rsid w:val="0090602F"/>
    <w:rsid w:val="0090604F"/>
    <w:rsid w:val="00936B36"/>
    <w:rsid w:val="00954E25"/>
    <w:rsid w:val="00963506"/>
    <w:rsid w:val="00963A4E"/>
    <w:rsid w:val="009742F6"/>
    <w:rsid w:val="00974CD1"/>
    <w:rsid w:val="00974DFA"/>
    <w:rsid w:val="00987441"/>
    <w:rsid w:val="009912C9"/>
    <w:rsid w:val="009931AB"/>
    <w:rsid w:val="009B243F"/>
    <w:rsid w:val="009B7431"/>
    <w:rsid w:val="009C08D1"/>
    <w:rsid w:val="009C143E"/>
    <w:rsid w:val="009C50AA"/>
    <w:rsid w:val="009C5EB4"/>
    <w:rsid w:val="009C6495"/>
    <w:rsid w:val="009F202D"/>
    <w:rsid w:val="009F2940"/>
    <w:rsid w:val="00A037AA"/>
    <w:rsid w:val="00A048F1"/>
    <w:rsid w:val="00A203A3"/>
    <w:rsid w:val="00A2400A"/>
    <w:rsid w:val="00A30689"/>
    <w:rsid w:val="00A45194"/>
    <w:rsid w:val="00A54AEA"/>
    <w:rsid w:val="00A66B80"/>
    <w:rsid w:val="00A71E5E"/>
    <w:rsid w:val="00A84B2C"/>
    <w:rsid w:val="00A93D7F"/>
    <w:rsid w:val="00AC4279"/>
    <w:rsid w:val="00B00B6B"/>
    <w:rsid w:val="00B32CBC"/>
    <w:rsid w:val="00B33C9F"/>
    <w:rsid w:val="00B345E3"/>
    <w:rsid w:val="00B55FA9"/>
    <w:rsid w:val="00B62165"/>
    <w:rsid w:val="00B64954"/>
    <w:rsid w:val="00B67820"/>
    <w:rsid w:val="00B76B03"/>
    <w:rsid w:val="00B813BC"/>
    <w:rsid w:val="00B8369A"/>
    <w:rsid w:val="00B922C7"/>
    <w:rsid w:val="00B92516"/>
    <w:rsid w:val="00BB1918"/>
    <w:rsid w:val="00BC288B"/>
    <w:rsid w:val="00BC301B"/>
    <w:rsid w:val="00BC5531"/>
    <w:rsid w:val="00BC573A"/>
    <w:rsid w:val="00BC7422"/>
    <w:rsid w:val="00BE0A71"/>
    <w:rsid w:val="00BF5A62"/>
    <w:rsid w:val="00C278B2"/>
    <w:rsid w:val="00C32A66"/>
    <w:rsid w:val="00C33D12"/>
    <w:rsid w:val="00C344B2"/>
    <w:rsid w:val="00C37943"/>
    <w:rsid w:val="00C41B56"/>
    <w:rsid w:val="00C60F1E"/>
    <w:rsid w:val="00C62A95"/>
    <w:rsid w:val="00C63108"/>
    <w:rsid w:val="00C6415E"/>
    <w:rsid w:val="00C64DAC"/>
    <w:rsid w:val="00C6515B"/>
    <w:rsid w:val="00C777FF"/>
    <w:rsid w:val="00C9428D"/>
    <w:rsid w:val="00CA1A8D"/>
    <w:rsid w:val="00CA4EE9"/>
    <w:rsid w:val="00CB4033"/>
    <w:rsid w:val="00CB41F6"/>
    <w:rsid w:val="00CB7A13"/>
    <w:rsid w:val="00CC2D69"/>
    <w:rsid w:val="00CD05EE"/>
    <w:rsid w:val="00CE37EF"/>
    <w:rsid w:val="00CE3C13"/>
    <w:rsid w:val="00CE44EF"/>
    <w:rsid w:val="00CF428D"/>
    <w:rsid w:val="00CF474C"/>
    <w:rsid w:val="00CF75E6"/>
    <w:rsid w:val="00D05106"/>
    <w:rsid w:val="00D05AFE"/>
    <w:rsid w:val="00D070CD"/>
    <w:rsid w:val="00D07CC7"/>
    <w:rsid w:val="00D37098"/>
    <w:rsid w:val="00D508AF"/>
    <w:rsid w:val="00D55B77"/>
    <w:rsid w:val="00D63F65"/>
    <w:rsid w:val="00D763ED"/>
    <w:rsid w:val="00D80BE5"/>
    <w:rsid w:val="00D91303"/>
    <w:rsid w:val="00D92F7C"/>
    <w:rsid w:val="00D956A7"/>
    <w:rsid w:val="00DA2F22"/>
    <w:rsid w:val="00DA6D02"/>
    <w:rsid w:val="00DB2CDC"/>
    <w:rsid w:val="00DC56B9"/>
    <w:rsid w:val="00DF154F"/>
    <w:rsid w:val="00E06C5F"/>
    <w:rsid w:val="00E117DB"/>
    <w:rsid w:val="00E12E3E"/>
    <w:rsid w:val="00E17977"/>
    <w:rsid w:val="00E20BC6"/>
    <w:rsid w:val="00E218A7"/>
    <w:rsid w:val="00E46A3E"/>
    <w:rsid w:val="00E6519F"/>
    <w:rsid w:val="00E71CD8"/>
    <w:rsid w:val="00E73A29"/>
    <w:rsid w:val="00E779E8"/>
    <w:rsid w:val="00E83602"/>
    <w:rsid w:val="00E97BBF"/>
    <w:rsid w:val="00EA010A"/>
    <w:rsid w:val="00EA0BF6"/>
    <w:rsid w:val="00EB1F9A"/>
    <w:rsid w:val="00EB3284"/>
    <w:rsid w:val="00EC0F91"/>
    <w:rsid w:val="00EC5A6F"/>
    <w:rsid w:val="00ED38AC"/>
    <w:rsid w:val="00ED48A7"/>
    <w:rsid w:val="00ED4F37"/>
    <w:rsid w:val="00EE3C83"/>
    <w:rsid w:val="00EF458B"/>
    <w:rsid w:val="00EF794A"/>
    <w:rsid w:val="00EF7A1E"/>
    <w:rsid w:val="00F17356"/>
    <w:rsid w:val="00F17A80"/>
    <w:rsid w:val="00F25771"/>
    <w:rsid w:val="00F413F0"/>
    <w:rsid w:val="00F51095"/>
    <w:rsid w:val="00F52CAD"/>
    <w:rsid w:val="00F55FAC"/>
    <w:rsid w:val="00F67B16"/>
    <w:rsid w:val="00F70E42"/>
    <w:rsid w:val="00F82724"/>
    <w:rsid w:val="00F86D72"/>
    <w:rsid w:val="00FA462C"/>
    <w:rsid w:val="00FA5EA7"/>
    <w:rsid w:val="00FC100A"/>
    <w:rsid w:val="00FC2A43"/>
    <w:rsid w:val="00FD5970"/>
    <w:rsid w:val="00FE4F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D6E512-0FEE-4001-BAFD-23AF8AFCF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rsid w:val="00CE37EF"/>
    <w:pPr>
      <w:keepNext/>
      <w:keepLines/>
      <w:spacing w:after="60" w:line="480" w:lineRule="auto"/>
      <w:jc w:val="both"/>
      <w:outlineLvl w:val="3"/>
    </w:pPr>
    <w:rPr>
      <w:rFonts w:ascii="Arial" w:eastAsia="Arial" w:hAnsi="Arial" w:cs="Arial"/>
      <w:b/>
      <w:sz w:val="24"/>
      <w:szCs w:val="24"/>
      <w:lang w:val="en-US" w:eastAsia="de-CH"/>
    </w:rPr>
  </w:style>
  <w:style w:type="paragraph" w:styleId="Heading5">
    <w:name w:val="heading 5"/>
    <w:basedOn w:val="Normal"/>
    <w:next w:val="Normal"/>
    <w:link w:val="Heading5Char"/>
    <w:rsid w:val="00CE37EF"/>
    <w:pPr>
      <w:keepNext/>
      <w:keepLines/>
      <w:spacing w:before="40" w:after="0" w:line="480" w:lineRule="auto"/>
      <w:jc w:val="both"/>
      <w:outlineLvl w:val="4"/>
    </w:pPr>
    <w:rPr>
      <w:rFonts w:ascii="Arial" w:eastAsia="Arial" w:hAnsi="Arial" w:cs="Arial"/>
      <w:b/>
      <w:sz w:val="20"/>
      <w:szCs w:val="20"/>
      <w:lang w:val="en-US" w:eastAsia="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CE37EF"/>
    <w:rPr>
      <w:rFonts w:ascii="Arial" w:eastAsia="Arial" w:hAnsi="Arial" w:cs="Arial"/>
      <w:b/>
      <w:sz w:val="24"/>
      <w:szCs w:val="24"/>
      <w:lang w:val="en-US" w:eastAsia="de-CH"/>
    </w:rPr>
  </w:style>
  <w:style w:type="character" w:customStyle="1" w:styleId="Heading5Char">
    <w:name w:val="Heading 5 Char"/>
    <w:basedOn w:val="DefaultParagraphFont"/>
    <w:link w:val="Heading5"/>
    <w:rsid w:val="00CE37EF"/>
    <w:rPr>
      <w:rFonts w:ascii="Arial" w:eastAsia="Arial" w:hAnsi="Arial" w:cs="Arial"/>
      <w:b/>
      <w:sz w:val="20"/>
      <w:szCs w:val="20"/>
      <w:lang w:val="en-US"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319</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V.</dc:creator>
  <cp:keywords/>
  <dc:description/>
  <cp:lastModifiedBy>Goetze  Sandra</cp:lastModifiedBy>
  <cp:revision>2</cp:revision>
  <dcterms:created xsi:type="dcterms:W3CDTF">2022-04-13T22:39:00Z</dcterms:created>
  <dcterms:modified xsi:type="dcterms:W3CDTF">2022-04-13T22:39:00Z</dcterms:modified>
</cp:coreProperties>
</file>