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B5406A" w14:textId="172A1120" w:rsidR="00F30C4C" w:rsidRPr="00B53FB8" w:rsidRDefault="000B1D36" w:rsidP="00F30C4C">
      <w:pPr>
        <w:widowControl/>
        <w:wordWrap/>
        <w:autoSpaceDE/>
        <w:autoSpaceDN/>
        <w:spacing w:line="48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b/>
          <w:szCs w:val="20"/>
        </w:rPr>
        <w:t xml:space="preserve">Additional file 3: </w:t>
      </w:r>
      <w:r w:rsidRPr="00B53FB8">
        <w:rPr>
          <w:rFonts w:ascii="Times New Roman" w:hAnsi="Times New Roman"/>
          <w:b/>
          <w:szCs w:val="20"/>
        </w:rPr>
        <w:t>T</w:t>
      </w:r>
      <w:r>
        <w:rPr>
          <w:rFonts w:ascii="Times New Roman" w:hAnsi="Times New Roman"/>
          <w:b/>
          <w:szCs w:val="20"/>
        </w:rPr>
        <w:t>able</w:t>
      </w:r>
      <w:r>
        <w:rPr>
          <w:rFonts w:ascii="Times New Roman" w:hAnsi="Times New Roman"/>
          <w:b/>
          <w:szCs w:val="20"/>
        </w:rPr>
        <w:t>.</w:t>
      </w:r>
      <w:bookmarkStart w:id="0" w:name="_GoBack"/>
      <w:bookmarkEnd w:id="0"/>
      <w:r w:rsidR="00F30C4C">
        <w:rPr>
          <w:rFonts w:ascii="Times New Roman" w:hAnsi="Times New Roman"/>
          <w:b/>
          <w:szCs w:val="20"/>
        </w:rPr>
        <w:t xml:space="preserve"> </w:t>
      </w:r>
      <w:r w:rsidR="00F30C4C" w:rsidRPr="00B53FB8">
        <w:rPr>
          <w:rFonts w:ascii="Times New Roman" w:hAnsi="Times New Roman"/>
          <w:szCs w:val="20"/>
        </w:rPr>
        <w:t>Gene-enrichment analysis of raw data (5,014 proteins) and confirmed data (855 proteins)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8"/>
        <w:gridCol w:w="1517"/>
        <w:gridCol w:w="3943"/>
        <w:gridCol w:w="1478"/>
      </w:tblGrid>
      <w:tr w:rsidR="00F30C4C" w:rsidRPr="00B53FB8" w14:paraId="410B55E1" w14:textId="77777777" w:rsidTr="007508C7">
        <w:trPr>
          <w:trHeight w:val="305"/>
        </w:trPr>
        <w:tc>
          <w:tcPr>
            <w:tcW w:w="115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74DA2D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7E2EEFB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szCs w:val="20"/>
              </w:rPr>
            </w:pPr>
            <w:r w:rsidRPr="00B53FB8">
              <w:rPr>
                <w:rFonts w:ascii="Times New Roman" w:hAnsi="Times New Roman"/>
                <w:szCs w:val="20"/>
              </w:rPr>
              <w:t>ID</w:t>
            </w:r>
          </w:p>
        </w:tc>
        <w:tc>
          <w:tcPr>
            <w:tcW w:w="2184" w:type="pct"/>
            <w:shd w:val="clear" w:color="auto" w:fill="auto"/>
            <w:vAlign w:val="center"/>
          </w:tcPr>
          <w:p w14:paraId="27F6C5C3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szCs w:val="20"/>
              </w:rPr>
            </w:pPr>
            <w:r w:rsidRPr="00B53FB8">
              <w:rPr>
                <w:rFonts w:ascii="Times New Roman" w:hAnsi="Times New Roman"/>
                <w:szCs w:val="20"/>
              </w:rPr>
              <w:t>Name</w:t>
            </w:r>
          </w:p>
        </w:tc>
        <w:tc>
          <w:tcPr>
            <w:tcW w:w="8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0D949E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szCs w:val="20"/>
              </w:rPr>
            </w:pPr>
            <w:r w:rsidRPr="00B53FB8">
              <w:rPr>
                <w:rFonts w:ascii="Times New Roman" w:hAnsi="Times New Roman"/>
                <w:szCs w:val="20"/>
              </w:rPr>
              <w:t>Adjusted</w:t>
            </w:r>
            <w:r w:rsidRPr="00B53FB8">
              <w:rPr>
                <w:rFonts w:ascii="Times New Roman" w:hAnsi="Times New Roman"/>
                <w:i/>
                <w:iCs/>
                <w:szCs w:val="20"/>
              </w:rPr>
              <w:t xml:space="preserve"> p</w:t>
            </w:r>
          </w:p>
        </w:tc>
      </w:tr>
      <w:tr w:rsidR="00F30C4C" w:rsidRPr="00B53FB8" w14:paraId="1786EF16" w14:textId="77777777" w:rsidTr="007508C7">
        <w:trPr>
          <w:trHeight w:val="305"/>
        </w:trPr>
        <w:tc>
          <w:tcPr>
            <w:tcW w:w="115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EA6277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szCs w:val="20"/>
              </w:rPr>
            </w:pPr>
            <w:r w:rsidRPr="00B53FB8">
              <w:rPr>
                <w:rFonts w:ascii="Times New Roman" w:hAnsi="Times New Roman"/>
                <w:szCs w:val="20"/>
              </w:rPr>
              <w:t>Raw data</w:t>
            </w:r>
          </w:p>
        </w:tc>
        <w:tc>
          <w:tcPr>
            <w:tcW w:w="840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D0653E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C8D8A9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1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2C9CC5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F30C4C" w:rsidRPr="00B53FB8" w14:paraId="137319A8" w14:textId="77777777" w:rsidTr="007508C7">
        <w:trPr>
          <w:trHeight w:val="305"/>
        </w:trPr>
        <w:tc>
          <w:tcPr>
            <w:tcW w:w="115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E8ED757" w14:textId="77777777" w:rsidR="00F30C4C" w:rsidRPr="00B53FB8" w:rsidRDefault="00F30C4C" w:rsidP="007508C7">
            <w:pPr>
              <w:pStyle w:val="NoSpacing"/>
              <w:spacing w:line="480" w:lineRule="auto"/>
              <w:ind w:firstLineChars="50" w:firstLine="100"/>
              <w:rPr>
                <w:rFonts w:ascii="Times New Roman" w:hAnsi="Times New Roman"/>
                <w:szCs w:val="20"/>
                <w:highlight w:val="yellow"/>
              </w:rPr>
            </w:pPr>
            <w:r w:rsidRPr="00B53FB8">
              <w:rPr>
                <w:rFonts w:ascii="Times New Roman" w:hAnsi="Times New Roman"/>
                <w:szCs w:val="20"/>
              </w:rPr>
              <w:t>Biological Process</w:t>
            </w:r>
          </w:p>
        </w:tc>
        <w:tc>
          <w:tcPr>
            <w:tcW w:w="840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E7EEDC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szCs w:val="20"/>
                <w:highlight w:val="yellow"/>
              </w:rPr>
            </w:pPr>
            <w:r w:rsidRPr="00B53FB8">
              <w:rPr>
                <w:rFonts w:ascii="Times New Roman" w:hAnsi="Times New Roman"/>
                <w:szCs w:val="20"/>
              </w:rPr>
              <w:t>GO:0044403</w:t>
            </w:r>
          </w:p>
        </w:tc>
        <w:tc>
          <w:tcPr>
            <w:tcW w:w="21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C347FD" w14:textId="77777777" w:rsidR="00F30C4C" w:rsidRPr="00B53FB8" w:rsidRDefault="00F30C4C" w:rsidP="007508C7">
            <w:pPr>
              <w:pStyle w:val="NoSpacing"/>
              <w:spacing w:line="480" w:lineRule="auto"/>
              <w:jc w:val="left"/>
              <w:rPr>
                <w:rFonts w:ascii="Times New Roman" w:hAnsi="Times New Roman"/>
                <w:szCs w:val="20"/>
                <w:highlight w:val="yellow"/>
              </w:rPr>
            </w:pPr>
            <w:r w:rsidRPr="00B53FB8">
              <w:rPr>
                <w:rFonts w:ascii="Times New Roman" w:hAnsi="Times New Roman"/>
                <w:szCs w:val="20"/>
              </w:rPr>
              <w:t>The biological process involved in the symbiotic interaction.</w:t>
            </w:r>
          </w:p>
        </w:tc>
        <w:tc>
          <w:tcPr>
            <w:tcW w:w="81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AD7520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1.48E-67</w:t>
            </w:r>
          </w:p>
        </w:tc>
      </w:tr>
      <w:tr w:rsidR="00F30C4C" w:rsidRPr="00B53FB8" w14:paraId="6ECC240A" w14:textId="77777777" w:rsidTr="007508C7">
        <w:trPr>
          <w:trHeight w:val="305"/>
        </w:trPr>
        <w:tc>
          <w:tcPr>
            <w:tcW w:w="115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ABEB04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0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63E000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szCs w:val="20"/>
              </w:rPr>
            </w:pPr>
            <w:r w:rsidRPr="00B53FB8">
              <w:rPr>
                <w:rFonts w:ascii="Times New Roman" w:hAnsi="Times New Roman"/>
                <w:szCs w:val="20"/>
              </w:rPr>
              <w:t>GO:0016032</w:t>
            </w:r>
          </w:p>
        </w:tc>
        <w:tc>
          <w:tcPr>
            <w:tcW w:w="21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956140" w14:textId="77777777" w:rsidR="00F30C4C" w:rsidRPr="00B53FB8" w:rsidRDefault="00F30C4C" w:rsidP="007508C7">
            <w:pPr>
              <w:pStyle w:val="NoSpacing"/>
              <w:spacing w:line="480" w:lineRule="auto"/>
              <w:jc w:val="left"/>
              <w:rPr>
                <w:rFonts w:ascii="Times New Roman" w:hAnsi="Times New Roman"/>
                <w:szCs w:val="20"/>
              </w:rPr>
            </w:pPr>
            <w:r w:rsidRPr="00B53FB8">
              <w:rPr>
                <w:rFonts w:ascii="Times New Roman" w:hAnsi="Times New Roman"/>
                <w:szCs w:val="20"/>
              </w:rPr>
              <w:t>viral process</w:t>
            </w:r>
          </w:p>
        </w:tc>
        <w:tc>
          <w:tcPr>
            <w:tcW w:w="81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C0BAD4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7.09E-67</w:t>
            </w:r>
          </w:p>
        </w:tc>
      </w:tr>
      <w:tr w:rsidR="00F30C4C" w:rsidRPr="00B53FB8" w14:paraId="5B1DA2F3" w14:textId="77777777" w:rsidTr="007508C7">
        <w:trPr>
          <w:trHeight w:val="305"/>
        </w:trPr>
        <w:tc>
          <w:tcPr>
            <w:tcW w:w="115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8F8959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color w:val="00B050"/>
                <w:szCs w:val="20"/>
              </w:rPr>
            </w:pPr>
          </w:p>
        </w:tc>
        <w:tc>
          <w:tcPr>
            <w:tcW w:w="840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594DC99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color w:val="00B050"/>
                <w:szCs w:val="20"/>
              </w:rPr>
            </w:pPr>
            <w:r w:rsidRPr="00B53FB8">
              <w:rPr>
                <w:rFonts w:ascii="Times New Roman" w:hAnsi="Times New Roman"/>
                <w:szCs w:val="20"/>
              </w:rPr>
              <w:t>GO:0016071</w:t>
            </w:r>
          </w:p>
        </w:tc>
        <w:tc>
          <w:tcPr>
            <w:tcW w:w="21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DF9513" w14:textId="77777777" w:rsidR="00F30C4C" w:rsidRPr="00B53FB8" w:rsidRDefault="00F30C4C" w:rsidP="007508C7">
            <w:pPr>
              <w:pStyle w:val="NoSpacing"/>
              <w:spacing w:line="480" w:lineRule="auto"/>
              <w:jc w:val="left"/>
              <w:rPr>
                <w:rFonts w:ascii="Times New Roman" w:hAnsi="Times New Roman"/>
                <w:color w:val="00B050"/>
                <w:szCs w:val="20"/>
              </w:rPr>
            </w:pPr>
            <w:r w:rsidRPr="00B53FB8">
              <w:rPr>
                <w:rFonts w:ascii="Times New Roman" w:hAnsi="Times New Roman"/>
                <w:szCs w:val="20"/>
              </w:rPr>
              <w:t>mRNA metabolic process</w:t>
            </w:r>
          </w:p>
        </w:tc>
        <w:tc>
          <w:tcPr>
            <w:tcW w:w="81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66DC48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2.41E-54</w:t>
            </w:r>
          </w:p>
        </w:tc>
      </w:tr>
      <w:tr w:rsidR="00F30C4C" w:rsidRPr="00B53FB8" w14:paraId="18DBA769" w14:textId="77777777" w:rsidTr="007508C7">
        <w:trPr>
          <w:trHeight w:val="305"/>
        </w:trPr>
        <w:tc>
          <w:tcPr>
            <w:tcW w:w="115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013A97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color w:val="00B050"/>
                <w:szCs w:val="20"/>
              </w:rPr>
            </w:pPr>
          </w:p>
        </w:tc>
        <w:tc>
          <w:tcPr>
            <w:tcW w:w="840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31856E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color w:val="00B050"/>
                <w:szCs w:val="20"/>
              </w:rPr>
            </w:pPr>
            <w:r w:rsidRPr="00B53FB8">
              <w:rPr>
                <w:rFonts w:ascii="Times New Roman" w:hAnsi="Times New Roman"/>
                <w:szCs w:val="20"/>
              </w:rPr>
              <w:t>GO:0006402</w:t>
            </w:r>
          </w:p>
        </w:tc>
        <w:tc>
          <w:tcPr>
            <w:tcW w:w="21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D886E2" w14:textId="77777777" w:rsidR="00F30C4C" w:rsidRPr="00B53FB8" w:rsidRDefault="00F30C4C" w:rsidP="007508C7">
            <w:pPr>
              <w:pStyle w:val="NoSpacing"/>
              <w:spacing w:line="480" w:lineRule="auto"/>
              <w:jc w:val="left"/>
              <w:rPr>
                <w:rFonts w:ascii="Times New Roman" w:hAnsi="Times New Roman"/>
                <w:color w:val="00B050"/>
                <w:szCs w:val="20"/>
              </w:rPr>
            </w:pPr>
            <w:r w:rsidRPr="00B53FB8">
              <w:rPr>
                <w:rFonts w:ascii="Times New Roman" w:hAnsi="Times New Roman"/>
                <w:szCs w:val="20"/>
              </w:rPr>
              <w:t>mRNA catabolic process</w:t>
            </w:r>
          </w:p>
        </w:tc>
        <w:tc>
          <w:tcPr>
            <w:tcW w:w="81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BB4F3C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5.32E-49</w:t>
            </w:r>
          </w:p>
        </w:tc>
      </w:tr>
      <w:tr w:rsidR="00F30C4C" w:rsidRPr="00B53FB8" w14:paraId="51995DFB" w14:textId="77777777" w:rsidTr="007508C7">
        <w:trPr>
          <w:trHeight w:val="305"/>
        </w:trPr>
        <w:tc>
          <w:tcPr>
            <w:tcW w:w="115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B22F3A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color w:val="00B050"/>
                <w:szCs w:val="20"/>
              </w:rPr>
            </w:pPr>
          </w:p>
        </w:tc>
        <w:tc>
          <w:tcPr>
            <w:tcW w:w="840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CA93DE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color w:val="00B050"/>
                <w:szCs w:val="20"/>
              </w:rPr>
            </w:pPr>
            <w:r w:rsidRPr="00B53FB8">
              <w:rPr>
                <w:rFonts w:ascii="Times New Roman" w:hAnsi="Times New Roman"/>
                <w:szCs w:val="20"/>
              </w:rPr>
              <w:t>GO:0045055</w:t>
            </w:r>
          </w:p>
        </w:tc>
        <w:tc>
          <w:tcPr>
            <w:tcW w:w="21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9796A6" w14:textId="77777777" w:rsidR="00F30C4C" w:rsidRPr="00B53FB8" w:rsidRDefault="00F30C4C" w:rsidP="007508C7">
            <w:pPr>
              <w:pStyle w:val="NoSpacing"/>
              <w:spacing w:line="480" w:lineRule="auto"/>
              <w:jc w:val="left"/>
              <w:rPr>
                <w:rFonts w:ascii="Times New Roman" w:hAnsi="Times New Roman"/>
                <w:color w:val="00B050"/>
                <w:szCs w:val="20"/>
              </w:rPr>
            </w:pPr>
            <w:r w:rsidRPr="00B53FB8">
              <w:rPr>
                <w:rFonts w:ascii="Times New Roman" w:hAnsi="Times New Roman"/>
                <w:szCs w:val="20"/>
              </w:rPr>
              <w:t>regulated exocytosis</w:t>
            </w:r>
          </w:p>
        </w:tc>
        <w:tc>
          <w:tcPr>
            <w:tcW w:w="81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7B2078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4.96E-47</w:t>
            </w:r>
          </w:p>
        </w:tc>
      </w:tr>
      <w:tr w:rsidR="00F30C4C" w:rsidRPr="00B53FB8" w14:paraId="1615630E" w14:textId="77777777" w:rsidTr="007508C7">
        <w:trPr>
          <w:trHeight w:val="305"/>
        </w:trPr>
        <w:tc>
          <w:tcPr>
            <w:tcW w:w="115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B73D7B" w14:textId="77777777" w:rsidR="00F30C4C" w:rsidRPr="00B53FB8" w:rsidRDefault="00F30C4C" w:rsidP="007508C7">
            <w:pPr>
              <w:pStyle w:val="NoSpacing"/>
              <w:spacing w:line="480" w:lineRule="auto"/>
              <w:ind w:leftChars="71" w:left="142"/>
              <w:rPr>
                <w:rFonts w:ascii="Times New Roman" w:hAnsi="Times New Roman"/>
                <w:szCs w:val="20"/>
              </w:rPr>
            </w:pPr>
            <w:r w:rsidRPr="00B53FB8">
              <w:rPr>
                <w:rFonts w:ascii="Times New Roman" w:hAnsi="Times New Roman"/>
                <w:szCs w:val="20"/>
              </w:rPr>
              <w:t>Pathway</w:t>
            </w:r>
          </w:p>
        </w:tc>
        <w:tc>
          <w:tcPr>
            <w:tcW w:w="840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BE3C40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szCs w:val="20"/>
              </w:rPr>
            </w:pPr>
            <w:r w:rsidRPr="00B53FB8">
              <w:rPr>
                <w:rFonts w:ascii="Times New Roman" w:hAnsi="Times New Roman"/>
                <w:szCs w:val="20"/>
              </w:rPr>
              <w:t>1268678</w:t>
            </w:r>
          </w:p>
        </w:tc>
        <w:tc>
          <w:tcPr>
            <w:tcW w:w="21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1A2F4D" w14:textId="77777777" w:rsidR="00F30C4C" w:rsidRPr="00B53FB8" w:rsidRDefault="00F30C4C" w:rsidP="007508C7">
            <w:pPr>
              <w:pStyle w:val="NoSpacing"/>
              <w:spacing w:line="480" w:lineRule="auto"/>
              <w:jc w:val="left"/>
              <w:rPr>
                <w:rFonts w:ascii="Times New Roman" w:hAnsi="Times New Roman"/>
                <w:szCs w:val="20"/>
              </w:rPr>
            </w:pPr>
            <w:r w:rsidRPr="00B53FB8">
              <w:rPr>
                <w:rFonts w:ascii="Times New Roman" w:hAnsi="Times New Roman"/>
                <w:szCs w:val="20"/>
              </w:rPr>
              <w:t>Translation</w:t>
            </w:r>
          </w:p>
        </w:tc>
        <w:tc>
          <w:tcPr>
            <w:tcW w:w="81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9584D3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1.16E-42</w:t>
            </w:r>
          </w:p>
        </w:tc>
      </w:tr>
      <w:tr w:rsidR="00F30C4C" w:rsidRPr="00B53FB8" w14:paraId="242CFF72" w14:textId="77777777" w:rsidTr="007508C7">
        <w:trPr>
          <w:trHeight w:val="305"/>
        </w:trPr>
        <w:tc>
          <w:tcPr>
            <w:tcW w:w="115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85BFBD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0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19A395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szCs w:val="20"/>
              </w:rPr>
            </w:pPr>
            <w:r w:rsidRPr="00B53FB8">
              <w:rPr>
                <w:rFonts w:ascii="Times New Roman" w:hAnsi="Times New Roman"/>
                <w:szCs w:val="20"/>
              </w:rPr>
              <w:t>1268686</w:t>
            </w:r>
          </w:p>
        </w:tc>
        <w:tc>
          <w:tcPr>
            <w:tcW w:w="21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5A55083" w14:textId="77777777" w:rsidR="00F30C4C" w:rsidRPr="00B53FB8" w:rsidRDefault="00F30C4C" w:rsidP="007508C7">
            <w:pPr>
              <w:pStyle w:val="NoSpacing"/>
              <w:spacing w:line="480" w:lineRule="auto"/>
              <w:jc w:val="left"/>
              <w:rPr>
                <w:rFonts w:ascii="Times New Roman" w:hAnsi="Times New Roman"/>
                <w:szCs w:val="20"/>
              </w:rPr>
            </w:pPr>
            <w:r w:rsidRPr="00B53FB8">
              <w:rPr>
                <w:rFonts w:ascii="Times New Roman" w:hAnsi="Times New Roman"/>
                <w:szCs w:val="20"/>
              </w:rPr>
              <w:t>GTP hydrolysis and joining of the 60S ribosomal subunit</w:t>
            </w:r>
          </w:p>
        </w:tc>
        <w:tc>
          <w:tcPr>
            <w:tcW w:w="81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0E9313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5.46E-40</w:t>
            </w:r>
          </w:p>
        </w:tc>
      </w:tr>
      <w:tr w:rsidR="00F30C4C" w:rsidRPr="00B53FB8" w14:paraId="4F7F6986" w14:textId="77777777" w:rsidTr="007508C7">
        <w:trPr>
          <w:trHeight w:val="305"/>
        </w:trPr>
        <w:tc>
          <w:tcPr>
            <w:tcW w:w="115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506D16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75D96E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szCs w:val="20"/>
              </w:rPr>
            </w:pPr>
            <w:r w:rsidRPr="00B53FB8">
              <w:rPr>
                <w:rFonts w:ascii="Times New Roman" w:hAnsi="Times New Roman"/>
                <w:szCs w:val="20"/>
              </w:rPr>
              <w:t>1268688</w:t>
            </w:r>
          </w:p>
        </w:tc>
        <w:tc>
          <w:tcPr>
            <w:tcW w:w="218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23354A" w14:textId="77777777" w:rsidR="00F30C4C" w:rsidRPr="00B53FB8" w:rsidRDefault="00F30C4C" w:rsidP="007508C7">
            <w:pPr>
              <w:pStyle w:val="NoSpacing"/>
              <w:spacing w:line="480" w:lineRule="auto"/>
              <w:jc w:val="left"/>
              <w:rPr>
                <w:rFonts w:ascii="Times New Roman" w:hAnsi="Times New Roman"/>
                <w:szCs w:val="20"/>
              </w:rPr>
            </w:pPr>
            <w:r w:rsidRPr="00B53FB8">
              <w:rPr>
                <w:rFonts w:ascii="Times New Roman" w:hAnsi="Times New Roman"/>
                <w:szCs w:val="20"/>
              </w:rPr>
              <w:t>L13a-mediated translational silencing of Ceruloplasmin expression</w:t>
            </w:r>
          </w:p>
        </w:tc>
        <w:tc>
          <w:tcPr>
            <w:tcW w:w="8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C03A0B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5.46E-40</w:t>
            </w:r>
          </w:p>
        </w:tc>
      </w:tr>
      <w:tr w:rsidR="00F30C4C" w:rsidRPr="00B53FB8" w14:paraId="741A8474" w14:textId="77777777" w:rsidTr="007508C7">
        <w:trPr>
          <w:trHeight w:val="305"/>
        </w:trPr>
        <w:tc>
          <w:tcPr>
            <w:tcW w:w="115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0015FD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5882B9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szCs w:val="20"/>
              </w:rPr>
            </w:pPr>
            <w:r w:rsidRPr="00B53FB8">
              <w:rPr>
                <w:rFonts w:ascii="Times New Roman" w:hAnsi="Times New Roman"/>
                <w:szCs w:val="20"/>
              </w:rPr>
              <w:t>1268680</w:t>
            </w:r>
          </w:p>
        </w:tc>
        <w:tc>
          <w:tcPr>
            <w:tcW w:w="218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9BB7B1" w14:textId="77777777" w:rsidR="00F30C4C" w:rsidRPr="00B53FB8" w:rsidRDefault="00F30C4C" w:rsidP="007508C7">
            <w:pPr>
              <w:pStyle w:val="NoSpacing"/>
              <w:spacing w:line="480" w:lineRule="auto"/>
              <w:jc w:val="left"/>
              <w:rPr>
                <w:rFonts w:ascii="Times New Roman" w:hAnsi="Times New Roman"/>
                <w:szCs w:val="20"/>
              </w:rPr>
            </w:pPr>
            <w:r w:rsidRPr="00B53FB8">
              <w:rPr>
                <w:rFonts w:ascii="Times New Roman" w:hAnsi="Times New Roman"/>
                <w:szCs w:val="20"/>
              </w:rPr>
              <w:t>Cap-dependent Translation Initiation</w:t>
            </w:r>
          </w:p>
        </w:tc>
        <w:tc>
          <w:tcPr>
            <w:tcW w:w="8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E2DBE4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5.03E-39</w:t>
            </w:r>
          </w:p>
        </w:tc>
      </w:tr>
      <w:tr w:rsidR="00F30C4C" w:rsidRPr="00B53FB8" w14:paraId="41D78095" w14:textId="77777777" w:rsidTr="007508C7">
        <w:trPr>
          <w:trHeight w:val="305"/>
        </w:trPr>
        <w:tc>
          <w:tcPr>
            <w:tcW w:w="115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58530C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szCs w:val="20"/>
              </w:rPr>
            </w:pPr>
            <w:r w:rsidRPr="00B53FB8">
              <w:rPr>
                <w:rFonts w:ascii="Times New Roman" w:hAnsi="Times New Roman"/>
                <w:szCs w:val="20"/>
              </w:rPr>
              <w:t>Verified data</w:t>
            </w:r>
          </w:p>
        </w:tc>
        <w:tc>
          <w:tcPr>
            <w:tcW w:w="8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76C568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8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7FFCA5" w14:textId="77777777" w:rsidR="00F30C4C" w:rsidRPr="00B53FB8" w:rsidRDefault="00F30C4C" w:rsidP="007508C7">
            <w:pPr>
              <w:pStyle w:val="NoSpacing"/>
              <w:spacing w:line="480" w:lineRule="auto"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8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0C4C4A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F30C4C" w:rsidRPr="00B53FB8" w14:paraId="6B4E812B" w14:textId="77777777" w:rsidTr="007508C7">
        <w:trPr>
          <w:trHeight w:val="305"/>
        </w:trPr>
        <w:tc>
          <w:tcPr>
            <w:tcW w:w="115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6CBBD5" w14:textId="77777777" w:rsidR="00F30C4C" w:rsidRPr="00B53FB8" w:rsidRDefault="00F30C4C" w:rsidP="007508C7">
            <w:pPr>
              <w:pStyle w:val="NoSpacing"/>
              <w:spacing w:line="480" w:lineRule="auto"/>
              <w:ind w:firstLineChars="50" w:firstLine="100"/>
              <w:rPr>
                <w:rFonts w:ascii="Times New Roman" w:hAnsi="Times New Roman"/>
                <w:szCs w:val="20"/>
              </w:rPr>
            </w:pPr>
            <w:r w:rsidRPr="00B53FB8">
              <w:rPr>
                <w:rFonts w:ascii="Times New Roman" w:hAnsi="Times New Roman"/>
                <w:szCs w:val="20"/>
              </w:rPr>
              <w:t>Biological Process</w:t>
            </w:r>
          </w:p>
        </w:tc>
        <w:tc>
          <w:tcPr>
            <w:tcW w:w="8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6E9CD6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GO:0044403</w:t>
            </w:r>
          </w:p>
        </w:tc>
        <w:tc>
          <w:tcPr>
            <w:tcW w:w="218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83C25E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The biological process involved in the symbiotic interaction</w:t>
            </w:r>
          </w:p>
        </w:tc>
        <w:tc>
          <w:tcPr>
            <w:tcW w:w="8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C4571B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9.6E-123</w:t>
            </w:r>
          </w:p>
        </w:tc>
      </w:tr>
      <w:tr w:rsidR="00F30C4C" w:rsidRPr="00B53FB8" w14:paraId="706F1B3B" w14:textId="77777777" w:rsidTr="007508C7">
        <w:trPr>
          <w:trHeight w:val="305"/>
        </w:trPr>
        <w:tc>
          <w:tcPr>
            <w:tcW w:w="115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BE5112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390285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GO:0016032</w:t>
            </w:r>
          </w:p>
        </w:tc>
        <w:tc>
          <w:tcPr>
            <w:tcW w:w="218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228022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viral process</w:t>
            </w:r>
          </w:p>
        </w:tc>
        <w:tc>
          <w:tcPr>
            <w:tcW w:w="8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9A6DB1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1.2E-121</w:t>
            </w:r>
          </w:p>
        </w:tc>
      </w:tr>
      <w:tr w:rsidR="00F30C4C" w:rsidRPr="00B53FB8" w14:paraId="0CDAAFDC" w14:textId="77777777" w:rsidTr="007508C7">
        <w:trPr>
          <w:trHeight w:val="305"/>
        </w:trPr>
        <w:tc>
          <w:tcPr>
            <w:tcW w:w="115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7490E7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E7F278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GO:0016071</w:t>
            </w:r>
          </w:p>
        </w:tc>
        <w:tc>
          <w:tcPr>
            <w:tcW w:w="218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4DA583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mRNA metabolic process</w:t>
            </w:r>
          </w:p>
        </w:tc>
        <w:tc>
          <w:tcPr>
            <w:tcW w:w="8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D343BE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2.7E-112</w:t>
            </w:r>
          </w:p>
        </w:tc>
      </w:tr>
      <w:tr w:rsidR="00F30C4C" w:rsidRPr="00B53FB8" w14:paraId="09B46B1F" w14:textId="77777777" w:rsidTr="007508C7">
        <w:trPr>
          <w:trHeight w:val="305"/>
        </w:trPr>
        <w:tc>
          <w:tcPr>
            <w:tcW w:w="115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994A9D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FD02BA5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GO:0016050</w:t>
            </w:r>
          </w:p>
        </w:tc>
        <w:tc>
          <w:tcPr>
            <w:tcW w:w="218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274523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vesicle organi</w:t>
            </w:r>
            <w:r>
              <w:rPr>
                <w:rFonts w:ascii="Times New Roman" w:hAnsi="Times New Roman"/>
                <w:color w:val="000000"/>
                <w:szCs w:val="20"/>
              </w:rPr>
              <w:t>z</w:t>
            </w:r>
            <w:r w:rsidRPr="00B53FB8">
              <w:rPr>
                <w:rFonts w:ascii="Times New Roman" w:hAnsi="Times New Roman"/>
                <w:color w:val="000000"/>
                <w:szCs w:val="20"/>
              </w:rPr>
              <w:t>ation</w:t>
            </w:r>
          </w:p>
        </w:tc>
        <w:tc>
          <w:tcPr>
            <w:tcW w:w="8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9434A6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9.9E-100</w:t>
            </w:r>
          </w:p>
        </w:tc>
      </w:tr>
      <w:tr w:rsidR="00F30C4C" w:rsidRPr="00B53FB8" w14:paraId="47D38E1F" w14:textId="77777777" w:rsidTr="007508C7">
        <w:trPr>
          <w:trHeight w:val="305"/>
        </w:trPr>
        <w:tc>
          <w:tcPr>
            <w:tcW w:w="115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7E3B2F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B15962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GO:0048284</w:t>
            </w:r>
          </w:p>
        </w:tc>
        <w:tc>
          <w:tcPr>
            <w:tcW w:w="218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BEE03C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organelle fusion</w:t>
            </w:r>
          </w:p>
        </w:tc>
        <w:tc>
          <w:tcPr>
            <w:tcW w:w="8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AD639E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4.9E-99</w:t>
            </w:r>
          </w:p>
        </w:tc>
      </w:tr>
      <w:tr w:rsidR="00F30C4C" w:rsidRPr="00B53FB8" w14:paraId="6C0207A4" w14:textId="77777777" w:rsidTr="007508C7">
        <w:trPr>
          <w:trHeight w:val="305"/>
        </w:trPr>
        <w:tc>
          <w:tcPr>
            <w:tcW w:w="115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00206B" w14:textId="77777777" w:rsidR="00F30C4C" w:rsidRPr="00B53FB8" w:rsidRDefault="00F30C4C" w:rsidP="007508C7">
            <w:pPr>
              <w:pStyle w:val="NoSpacing"/>
              <w:spacing w:line="480" w:lineRule="auto"/>
              <w:ind w:firstLineChars="50" w:firstLine="100"/>
              <w:rPr>
                <w:rFonts w:ascii="Times New Roman" w:hAnsi="Times New Roman"/>
                <w:szCs w:val="20"/>
              </w:rPr>
            </w:pPr>
            <w:r w:rsidRPr="00B53FB8">
              <w:rPr>
                <w:rFonts w:ascii="Times New Roman" w:hAnsi="Times New Roman"/>
                <w:szCs w:val="20"/>
              </w:rPr>
              <w:t>Pathway</w:t>
            </w:r>
          </w:p>
        </w:tc>
        <w:tc>
          <w:tcPr>
            <w:tcW w:w="8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E86498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1457780</w:t>
            </w:r>
          </w:p>
        </w:tc>
        <w:tc>
          <w:tcPr>
            <w:tcW w:w="218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67C5C8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Neutrophil degranulation</w:t>
            </w:r>
          </w:p>
        </w:tc>
        <w:tc>
          <w:tcPr>
            <w:tcW w:w="8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1B43B9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3.72E-56</w:t>
            </w:r>
          </w:p>
        </w:tc>
      </w:tr>
      <w:tr w:rsidR="00F30C4C" w:rsidRPr="00B53FB8" w14:paraId="2981AD1A" w14:textId="77777777" w:rsidTr="007508C7">
        <w:trPr>
          <w:trHeight w:val="305"/>
        </w:trPr>
        <w:tc>
          <w:tcPr>
            <w:tcW w:w="115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EC0D19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BF4EED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1269056</w:t>
            </w:r>
          </w:p>
        </w:tc>
        <w:tc>
          <w:tcPr>
            <w:tcW w:w="218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43A194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Infectious disease</w:t>
            </w:r>
          </w:p>
        </w:tc>
        <w:tc>
          <w:tcPr>
            <w:tcW w:w="8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9A8F8C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9.05E-51</w:t>
            </w:r>
          </w:p>
        </w:tc>
      </w:tr>
      <w:tr w:rsidR="00F30C4C" w:rsidRPr="00B53FB8" w14:paraId="3E9155DD" w14:textId="77777777" w:rsidTr="007508C7">
        <w:trPr>
          <w:trHeight w:val="305"/>
        </w:trPr>
        <w:tc>
          <w:tcPr>
            <w:tcW w:w="115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DA7D9B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11A83B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1269688</w:t>
            </w:r>
          </w:p>
        </w:tc>
        <w:tc>
          <w:tcPr>
            <w:tcW w:w="218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6FC243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Processing of Capped Intron-Containing Pre-mRNA</w:t>
            </w:r>
          </w:p>
        </w:tc>
        <w:tc>
          <w:tcPr>
            <w:tcW w:w="8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7C7496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7.05E-45</w:t>
            </w:r>
          </w:p>
        </w:tc>
      </w:tr>
      <w:tr w:rsidR="00F30C4C" w:rsidRPr="00B53FB8" w14:paraId="656C8ECE" w14:textId="77777777" w:rsidTr="007508C7">
        <w:trPr>
          <w:trHeight w:val="305"/>
        </w:trPr>
        <w:tc>
          <w:tcPr>
            <w:tcW w:w="115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97E20A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5C782E9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1268678</w:t>
            </w:r>
          </w:p>
        </w:tc>
        <w:tc>
          <w:tcPr>
            <w:tcW w:w="218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F5DFFC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Translation</w:t>
            </w:r>
          </w:p>
        </w:tc>
        <w:tc>
          <w:tcPr>
            <w:tcW w:w="8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9EC15C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5.49E-44</w:t>
            </w:r>
          </w:p>
        </w:tc>
      </w:tr>
      <w:tr w:rsidR="00F30C4C" w:rsidRPr="00B53FB8" w14:paraId="21BC97CE" w14:textId="77777777" w:rsidTr="007508C7">
        <w:trPr>
          <w:trHeight w:val="305"/>
        </w:trPr>
        <w:tc>
          <w:tcPr>
            <w:tcW w:w="115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AF715F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59D041B" w14:textId="77777777" w:rsidR="00F30C4C" w:rsidRPr="00B53FB8" w:rsidRDefault="00F30C4C" w:rsidP="007508C7">
            <w:pPr>
              <w:pStyle w:val="NoSpacing"/>
              <w:spacing w:line="480" w:lineRule="auto"/>
              <w:rPr>
                <w:rFonts w:ascii="Times New Roman" w:hAnsi="Times New Roman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1269108</w:t>
            </w:r>
          </w:p>
        </w:tc>
        <w:tc>
          <w:tcPr>
            <w:tcW w:w="218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B35B4B" w14:textId="77777777" w:rsidR="00F30C4C" w:rsidRPr="00B53FB8" w:rsidRDefault="00F30C4C" w:rsidP="007508C7">
            <w:pPr>
              <w:pStyle w:val="NoSpacing"/>
              <w:spacing w:line="480" w:lineRule="auto"/>
              <w:jc w:val="left"/>
              <w:rPr>
                <w:rFonts w:ascii="Times New Roman" w:hAnsi="Times New Roman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Influenza Infection</w:t>
            </w:r>
          </w:p>
        </w:tc>
        <w:tc>
          <w:tcPr>
            <w:tcW w:w="8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C24421" w14:textId="77777777" w:rsidR="00F30C4C" w:rsidRPr="00B53FB8" w:rsidRDefault="00F30C4C" w:rsidP="007508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B53FB8">
              <w:rPr>
                <w:rFonts w:ascii="Times New Roman" w:hAnsi="Times New Roman"/>
                <w:color w:val="000000"/>
                <w:szCs w:val="20"/>
              </w:rPr>
              <w:t>9.14E-41</w:t>
            </w:r>
          </w:p>
        </w:tc>
      </w:tr>
    </w:tbl>
    <w:p w14:paraId="7C29C448" w14:textId="3AD328BF" w:rsidR="000B45CC" w:rsidRPr="00F30C4C" w:rsidRDefault="00F30C4C" w:rsidP="00F30C4C">
      <w:pPr>
        <w:widowControl/>
        <w:wordWrap/>
        <w:autoSpaceDE/>
        <w:autoSpaceDN/>
        <w:spacing w:line="480" w:lineRule="auto"/>
        <w:rPr>
          <w:rFonts w:ascii="Times New Roman" w:hAnsi="Times New Roman"/>
          <w:szCs w:val="20"/>
        </w:rPr>
      </w:pPr>
      <w:r w:rsidRPr="00E52DF6">
        <w:rPr>
          <w:rFonts w:ascii="Times New Roman" w:hAnsi="Times New Roman"/>
          <w:i/>
          <w:iCs/>
          <w:szCs w:val="20"/>
        </w:rPr>
        <w:t>GO</w:t>
      </w:r>
      <w:r w:rsidRPr="00B53FB8">
        <w:rPr>
          <w:rFonts w:ascii="Times New Roman" w:hAnsi="Times New Roman"/>
          <w:szCs w:val="20"/>
        </w:rPr>
        <w:t xml:space="preserve"> Gene Ontology</w:t>
      </w:r>
    </w:p>
    <w:sectPr w:rsidR="000B45CC" w:rsidRPr="00F30C4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9B07B4" w14:textId="77777777" w:rsidR="007F767D" w:rsidRDefault="007F767D" w:rsidP="004A326F">
      <w:pPr>
        <w:spacing w:after="0" w:line="240" w:lineRule="auto"/>
      </w:pPr>
      <w:r>
        <w:separator/>
      </w:r>
    </w:p>
  </w:endnote>
  <w:endnote w:type="continuationSeparator" w:id="0">
    <w:p w14:paraId="23A6676C" w14:textId="77777777" w:rsidR="007F767D" w:rsidRDefault="007F767D" w:rsidP="004A3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43537" w14:textId="77777777" w:rsidR="007F767D" w:rsidRDefault="007F767D" w:rsidP="004A326F">
      <w:pPr>
        <w:spacing w:after="0" w:line="240" w:lineRule="auto"/>
      </w:pPr>
      <w:r>
        <w:separator/>
      </w:r>
    </w:p>
  </w:footnote>
  <w:footnote w:type="continuationSeparator" w:id="0">
    <w:p w14:paraId="5EBE41F6" w14:textId="77777777" w:rsidR="007F767D" w:rsidRDefault="007F767D" w:rsidP="004A32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4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C4C"/>
    <w:rsid w:val="000B1D36"/>
    <w:rsid w:val="000B45CC"/>
    <w:rsid w:val="004A326F"/>
    <w:rsid w:val="007F767D"/>
    <w:rsid w:val="00F3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A467E6"/>
  <w15:chartTrackingRefBased/>
  <w15:docId w15:val="{4F2DAF0B-CF95-4F90-8BC0-11413F07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C4C"/>
    <w:pPr>
      <w:widowControl w:val="0"/>
      <w:wordWrap w:val="0"/>
      <w:autoSpaceDE w:val="0"/>
      <w:autoSpaceDN w:val="0"/>
    </w:pPr>
    <w:rPr>
      <w:rFonts w:ascii="Malgun Gothic" w:eastAsia="Malgun Gothic" w:hAnsi="Malgun Gothic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30C4C"/>
    <w:pPr>
      <w:widowControl w:val="0"/>
      <w:wordWrap w:val="0"/>
      <w:autoSpaceDE w:val="0"/>
      <w:autoSpaceDN w:val="0"/>
      <w:spacing w:after="0" w:line="240" w:lineRule="auto"/>
    </w:pPr>
    <w:rPr>
      <w:rFonts w:ascii="Malgun Gothic" w:eastAsia="Malgun Gothic" w:hAnsi="Malgun Gothic" w:cs="Times New Roman"/>
    </w:rPr>
  </w:style>
  <w:style w:type="character" w:customStyle="1" w:styleId="NoSpacingChar">
    <w:name w:val="No Spacing Char"/>
    <w:link w:val="NoSpacing"/>
    <w:uiPriority w:val="1"/>
    <w:rsid w:val="00F30C4C"/>
    <w:rPr>
      <w:rFonts w:ascii="Malgun Gothic" w:eastAsia="Malgun Gothic" w:hAnsi="Malgun Gothic" w:cs="Times New Roman"/>
    </w:rPr>
  </w:style>
  <w:style w:type="paragraph" w:styleId="Header">
    <w:name w:val="header"/>
    <w:basedOn w:val="Normal"/>
    <w:link w:val="HeaderChar"/>
    <w:uiPriority w:val="99"/>
    <w:unhideWhenUsed/>
    <w:rsid w:val="004A326F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A326F"/>
    <w:rPr>
      <w:rFonts w:ascii="Malgun Gothic" w:eastAsia="Malgun Gothic" w:hAnsi="Malgun Gothic" w:cs="Times New Roman"/>
    </w:rPr>
  </w:style>
  <w:style w:type="paragraph" w:styleId="Footer">
    <w:name w:val="footer"/>
    <w:basedOn w:val="Normal"/>
    <w:link w:val="FooterChar"/>
    <w:uiPriority w:val="99"/>
    <w:unhideWhenUsed/>
    <w:rsid w:val="004A326F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A326F"/>
    <w:rPr>
      <w:rFonts w:ascii="Malgun Gothic" w:eastAsia="Malgun Gothic" w:hAnsi="Malgun Gothic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yj</dc:creator>
  <cp:keywords/>
  <dc:description/>
  <cp:lastModifiedBy>Jasmine Mohammed Hidayath</cp:lastModifiedBy>
  <cp:revision>3</cp:revision>
  <dcterms:created xsi:type="dcterms:W3CDTF">2022-10-14T01:35:00Z</dcterms:created>
  <dcterms:modified xsi:type="dcterms:W3CDTF">2024-02-12T10:17:00Z</dcterms:modified>
</cp:coreProperties>
</file>