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BA6" w:rsidRDefault="00DB5BA6">
      <w:pPr>
        <w:pStyle w:val="Heading4"/>
        <w:spacing w:before="360" w:after="120" w:line="360" w:lineRule="auto"/>
        <w:jc w:val="both"/>
        <w:rPr>
          <w:b/>
          <w:bCs/>
          <w:color w:val="000000"/>
          <w:lang w:val="en-US" w:eastAsia="en-US"/>
        </w:rPr>
      </w:pPr>
      <w:bookmarkStart w:id="0" w:name="h.jjkcl85x5mrp"/>
      <w:bookmarkEnd w:id="0"/>
      <w:r>
        <w:rPr>
          <w:b/>
          <w:bCs/>
          <w:color w:val="000000"/>
          <w:lang w:val="en-US" w:eastAsia="en-US"/>
        </w:rPr>
        <w:t>Supporting Information</w:t>
      </w:r>
    </w:p>
    <w:p w:rsidR="00A77B3E" w:rsidRDefault="00DB5BA6">
      <w:pPr>
        <w:pStyle w:val="Heading4"/>
        <w:spacing w:before="360" w:after="120" w:line="360" w:lineRule="auto"/>
        <w:jc w:val="both"/>
        <w:rPr>
          <w:lang w:val="en-US"/>
        </w:rPr>
      </w:pPr>
      <w:r>
        <w:rPr>
          <w:b/>
          <w:bCs/>
          <w:color w:val="000000"/>
          <w:lang w:val="en-US" w:eastAsia="en-US"/>
        </w:rPr>
        <w:t>Supplementary</w:t>
      </w:r>
      <w:r w:rsidR="008E6068">
        <w:rPr>
          <w:b/>
          <w:bCs/>
          <w:color w:val="000000"/>
          <w:lang w:val="en-US" w:eastAsia="en-US"/>
        </w:rPr>
        <w:t xml:space="preserve"> Methods</w:t>
      </w:r>
    </w:p>
    <w:p w:rsidR="00A77B3E" w:rsidRDefault="008E6068">
      <w:pPr>
        <w:pStyle w:val="Heading4"/>
        <w:spacing w:before="360" w:after="120" w:line="360" w:lineRule="auto"/>
        <w:jc w:val="both"/>
        <w:rPr>
          <w:b/>
          <w:bCs/>
          <w:color w:val="000000"/>
          <w:lang w:val="en-US"/>
        </w:rPr>
      </w:pPr>
      <w:bookmarkStart w:id="1" w:name="h.o0l26gl4vhl4"/>
      <w:bookmarkEnd w:id="1"/>
      <w:r>
        <w:rPr>
          <w:b/>
          <w:bCs/>
          <w:color w:val="000000"/>
          <w:lang w:val="en-US" w:eastAsia="en-US"/>
        </w:rPr>
        <w:t xml:space="preserve">DIA measurement and data analysis scheme for </w:t>
      </w:r>
      <w:r w:rsidR="0004091F">
        <w:rPr>
          <w:b/>
          <w:bCs/>
          <w:color w:val="000000"/>
          <w:lang w:val="en-US" w:eastAsia="en-US"/>
        </w:rPr>
        <w:t xml:space="preserve">95 sample cohort </w:t>
      </w:r>
      <w:proofErr w:type="spellStart"/>
      <w:r w:rsidR="0004091F">
        <w:rPr>
          <w:b/>
          <w:bCs/>
          <w:color w:val="000000"/>
          <w:lang w:val="en-US" w:eastAsia="en-US"/>
        </w:rPr>
        <w:t>proteotpying</w:t>
      </w:r>
      <w:proofErr w:type="spellEnd"/>
      <w:r w:rsidR="0004091F">
        <w:rPr>
          <w:b/>
          <w:bCs/>
          <w:color w:val="000000"/>
          <w:lang w:val="en-US" w:eastAsia="en-US"/>
        </w:rPr>
        <w:t xml:space="preserve"> (</w:t>
      </w:r>
      <w:r>
        <w:rPr>
          <w:b/>
          <w:bCs/>
          <w:color w:val="000000"/>
          <w:lang w:val="en-US" w:eastAsia="en-US"/>
        </w:rPr>
        <w:t>Fig.</w:t>
      </w:r>
      <w:r w:rsidR="0004091F">
        <w:rPr>
          <w:b/>
          <w:bCs/>
          <w:color w:val="000000"/>
          <w:lang w:val="en-US" w:eastAsia="en-US"/>
        </w:rPr>
        <w:t xml:space="preserve"> </w:t>
      </w:r>
      <w:r>
        <w:rPr>
          <w:b/>
          <w:bCs/>
          <w:color w:val="000000"/>
          <w:lang w:val="en-US" w:eastAsia="en-US"/>
        </w:rPr>
        <w:t>S4</w:t>
      </w:r>
      <w:r w:rsidR="0004091F">
        <w:rPr>
          <w:b/>
          <w:bCs/>
          <w:color w:val="000000"/>
          <w:lang w:val="en-US" w:eastAsia="en-US"/>
        </w:rPr>
        <w:t>)</w:t>
      </w:r>
    </w:p>
    <w:p w:rsidR="00A77B3E" w:rsidRDefault="008E6068">
      <w:pPr>
        <w:spacing w:before="360" w:after="120" w:line="480" w:lineRule="auto"/>
        <w:jc w:val="both"/>
        <w:rPr>
          <w:lang w:val="en-US"/>
        </w:rPr>
      </w:pPr>
      <w:r>
        <w:rPr>
          <w:lang w:val="en-US" w:eastAsia="en-US"/>
        </w:rPr>
        <w:t xml:space="preserve">Samples </w:t>
      </w:r>
      <w:proofErr w:type="gramStart"/>
      <w:r>
        <w:rPr>
          <w:lang w:val="en-US" w:eastAsia="en-US"/>
        </w:rPr>
        <w:t>were analyzed</w:t>
      </w:r>
      <w:proofErr w:type="gramEnd"/>
      <w:r>
        <w:rPr>
          <w:lang w:val="en-US" w:eastAsia="en-US"/>
        </w:rPr>
        <w:t xml:space="preserve"> on a Q </w:t>
      </w:r>
      <w:proofErr w:type="spellStart"/>
      <w:r>
        <w:rPr>
          <w:lang w:val="en-US" w:eastAsia="en-US"/>
        </w:rPr>
        <w:t>Exactive</w:t>
      </w:r>
      <w:proofErr w:type="spellEnd"/>
      <w:r>
        <w:rPr>
          <w:lang w:val="en-US" w:eastAsia="en-US"/>
        </w:rPr>
        <w:t xml:space="preserve"> HFX mass spectrometer (</w:t>
      </w:r>
      <w:proofErr w:type="spellStart"/>
      <w:r>
        <w:rPr>
          <w:lang w:val="en-US" w:eastAsia="en-US"/>
        </w:rPr>
        <w:t>Thermo</w:t>
      </w:r>
      <w:proofErr w:type="spellEnd"/>
      <w:r>
        <w:rPr>
          <w:lang w:val="en-US" w:eastAsia="en-US"/>
        </w:rPr>
        <w:t xml:space="preserve"> Fisher Scientific) equipped with an Easy-</w:t>
      </w:r>
      <w:proofErr w:type="spellStart"/>
      <w:r>
        <w:rPr>
          <w:lang w:val="en-US" w:eastAsia="en-US"/>
        </w:rPr>
        <w:t>nLC</w:t>
      </w:r>
      <w:proofErr w:type="spellEnd"/>
      <w:r>
        <w:rPr>
          <w:lang w:val="en-US" w:eastAsia="en-US"/>
        </w:rPr>
        <w:t xml:space="preserve"> 1200 (</w:t>
      </w:r>
      <w:proofErr w:type="spellStart"/>
      <w:r>
        <w:rPr>
          <w:lang w:val="en-US" w:eastAsia="en-US"/>
        </w:rPr>
        <w:t>Thermo</w:t>
      </w:r>
      <w:proofErr w:type="spellEnd"/>
      <w:r>
        <w:rPr>
          <w:lang w:val="en-US" w:eastAsia="en-US"/>
        </w:rPr>
        <w:t xml:space="preserve"> Fisher Scientific). Peptides were separated on an Acclaim </w:t>
      </w:r>
      <w:proofErr w:type="spellStart"/>
      <w:r>
        <w:rPr>
          <w:lang w:val="en-US" w:eastAsia="en-US"/>
        </w:rPr>
        <w:t>PepMap</w:t>
      </w:r>
      <w:proofErr w:type="spellEnd"/>
      <w:r>
        <w:rPr>
          <w:lang w:val="en-US" w:eastAsia="en-US"/>
        </w:rPr>
        <w:t xml:space="preserve"> RSLC C18, 2 µm, 100 Å, </w:t>
      </w:r>
      <w:proofErr w:type="gramStart"/>
      <w:r>
        <w:rPr>
          <w:lang w:val="en-US" w:eastAsia="en-US"/>
        </w:rPr>
        <w:t>150 µm</w:t>
      </w:r>
      <w:proofErr w:type="gram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i.d.</w:t>
      </w:r>
      <w:proofErr w:type="spellEnd"/>
      <w:r>
        <w:rPr>
          <w:lang w:val="en-US" w:eastAsia="en-US"/>
        </w:rPr>
        <w:t xml:space="preserve"> x 150 mm, </w:t>
      </w:r>
      <w:proofErr w:type="spellStart"/>
      <w:r>
        <w:rPr>
          <w:lang w:val="en-US" w:eastAsia="en-US"/>
        </w:rPr>
        <w:t>nanoViper</w:t>
      </w:r>
      <w:proofErr w:type="spellEnd"/>
      <w:r>
        <w:rPr>
          <w:lang w:val="en-US" w:eastAsia="en-US"/>
        </w:rPr>
        <w:t xml:space="preserve"> EASY-Spray column (</w:t>
      </w:r>
      <w:r w:rsidR="0004091F">
        <w:rPr>
          <w:lang w:val="en-US" w:eastAsia="en-US"/>
        </w:rPr>
        <w:t xml:space="preserve">ES806, </w:t>
      </w:r>
      <w:proofErr w:type="spellStart"/>
      <w:r>
        <w:rPr>
          <w:lang w:val="en-US" w:eastAsia="en-US"/>
        </w:rPr>
        <w:t>Thermo</w:t>
      </w:r>
      <w:proofErr w:type="spellEnd"/>
      <w:r>
        <w:rPr>
          <w:lang w:val="en-US" w:eastAsia="en-US"/>
        </w:rPr>
        <w:t xml:space="preserve"> Fisher Scientific). Mobile phase A consisted of HPLC-grade water with 0.1% formic acid, and mobile phase B consisted of HPLC-grade ACN (80%) with HPLC-grade water and 0.1% (v/v) formic acid. </w:t>
      </w:r>
      <w:proofErr w:type="gramStart"/>
      <w:r>
        <w:rPr>
          <w:lang w:val="en-US" w:eastAsia="en-US"/>
        </w:rPr>
        <w:t xml:space="preserve">Peptides were eluted at a flow rate of 1200 </w:t>
      </w:r>
      <w:proofErr w:type="spellStart"/>
      <w:r>
        <w:rPr>
          <w:lang w:val="en-US" w:eastAsia="en-US"/>
        </w:rPr>
        <w:t>nl</w:t>
      </w:r>
      <w:proofErr w:type="spellEnd"/>
      <w:r>
        <w:rPr>
          <w:lang w:val="en-US" w:eastAsia="en-US"/>
        </w:rPr>
        <w:t xml:space="preserve">/min using a stepped gradient from 2% to 8% mobile phase B in 4 min, 8% to 32% in 49 min and 32% to 60 % in 1 min. MS1 in DIA covered a mass range of m/z 400-1210, MS1 was recorded at a resolution of 120,000 with an AGC target of 3e6 and a maximum injection time of 50 </w:t>
      </w:r>
      <w:proofErr w:type="spellStart"/>
      <w:r>
        <w:rPr>
          <w:lang w:val="en-US" w:eastAsia="en-US"/>
        </w:rPr>
        <w:t>ms.</w:t>
      </w:r>
      <w:proofErr w:type="spellEnd"/>
      <w:r>
        <w:rPr>
          <w:lang w:val="en-US" w:eastAsia="en-US"/>
        </w:rPr>
        <w:t xml:space="preserve"> The DIA isolation window size was set to 15 m/z and a total of 54 DIA scan windows were recorded at 30,000 resolution with an AGC target value of 1e6 and a loop count of 18 </w:t>
      </w:r>
      <w:hyperlink r:id="rId7" w:history="1">
        <w:r>
          <w:rPr>
            <w:lang w:val="en-US" w:eastAsia="en-US"/>
          </w:rPr>
          <w:t>[2]</w:t>
        </w:r>
      </w:hyperlink>
      <w:r>
        <w:rPr>
          <w:lang w:val="en-US" w:eastAsia="en-US"/>
        </w:rPr>
        <w:t>.</w:t>
      </w:r>
      <w:proofErr w:type="gramEnd"/>
      <w:r>
        <w:rPr>
          <w:lang w:val="en-US" w:eastAsia="en-US"/>
        </w:rPr>
        <w:t xml:space="preserve"> HCD fragmentation was set to 28 normalized collision and default charge state 3 with a starting m/z of 200. </w:t>
      </w:r>
    </w:p>
    <w:p w:rsidR="000D6BF7" w:rsidRDefault="008E6068" w:rsidP="000D6BF7">
      <w:pPr>
        <w:spacing w:before="360" w:after="120" w:line="480" w:lineRule="auto"/>
        <w:jc w:val="both"/>
        <w:rPr>
          <w:lang w:val="en-US" w:eastAsia="en-US"/>
        </w:rPr>
      </w:pPr>
      <w:r>
        <w:rPr>
          <w:lang w:val="en-US" w:eastAsia="en-US"/>
        </w:rPr>
        <w:t xml:space="preserve">DIA data were analyzed using </w:t>
      </w:r>
      <w:proofErr w:type="spellStart"/>
      <w:r>
        <w:rPr>
          <w:lang w:val="en-US" w:eastAsia="en-US"/>
        </w:rPr>
        <w:t>Spectronaut</w:t>
      </w:r>
      <w:proofErr w:type="spellEnd"/>
      <w:r>
        <w:rPr>
          <w:lang w:val="en-US" w:eastAsia="en-US"/>
        </w:rPr>
        <w:t xml:space="preserve"> v12 (</w:t>
      </w:r>
      <w:proofErr w:type="spellStart"/>
      <w:r>
        <w:rPr>
          <w:lang w:val="en-US" w:eastAsia="en-US"/>
        </w:rPr>
        <w:t>Biognosys</w:t>
      </w:r>
      <w:proofErr w:type="spellEnd"/>
      <w:r>
        <w:rPr>
          <w:lang w:val="en-US" w:eastAsia="en-US"/>
        </w:rPr>
        <w:t xml:space="preserve">). MS1 values were used for the </w:t>
      </w:r>
      <w:proofErr w:type="gramStart"/>
      <w:r>
        <w:rPr>
          <w:lang w:val="en-US" w:eastAsia="en-US"/>
        </w:rPr>
        <w:t>quantification,</w:t>
      </w:r>
      <w:proofErr w:type="gramEnd"/>
      <w:r>
        <w:rPr>
          <w:lang w:val="en-US" w:eastAsia="en-US"/>
        </w:rPr>
        <w:t xml:space="preserve"> peptide quantity was set to sum</w:t>
      </w:r>
      <w:r w:rsidR="0004091F">
        <w:rPr>
          <w:lang w:val="en-US" w:eastAsia="en-US"/>
        </w:rPr>
        <w:t>.</w:t>
      </w:r>
      <w:r>
        <w:rPr>
          <w:lang w:val="en-US" w:eastAsia="en-US"/>
        </w:rPr>
        <w:t xml:space="preserve"> Data </w:t>
      </w:r>
      <w:proofErr w:type="gramStart"/>
      <w:r>
        <w:rPr>
          <w:lang w:val="en-US" w:eastAsia="en-US"/>
        </w:rPr>
        <w:t>were filtered</w:t>
      </w:r>
      <w:proofErr w:type="gramEnd"/>
      <w:r>
        <w:rPr>
          <w:lang w:val="en-US" w:eastAsia="en-US"/>
        </w:rPr>
        <w:t xml:space="preserve"> using </w:t>
      </w:r>
      <w:proofErr w:type="spellStart"/>
      <w:r>
        <w:rPr>
          <w:lang w:val="en-US" w:eastAsia="en-US"/>
        </w:rPr>
        <w:t>Qvalue</w:t>
      </w:r>
      <w:proofErr w:type="spellEnd"/>
      <w:r>
        <w:rPr>
          <w:lang w:val="en-US" w:eastAsia="en-US"/>
        </w:rPr>
        <w:t xml:space="preserve"> (identified) with a precursor and a protein </w:t>
      </w:r>
      <w:proofErr w:type="spellStart"/>
      <w:r>
        <w:rPr>
          <w:lang w:val="en-US" w:eastAsia="en-US"/>
        </w:rPr>
        <w:t>Qvalue</w:t>
      </w:r>
      <w:proofErr w:type="spellEnd"/>
      <w:r>
        <w:rPr>
          <w:lang w:val="en-US" w:eastAsia="en-US"/>
        </w:rPr>
        <w:t xml:space="preserve"> cut-off of 0.01 FDR. Interference correction as well as local cross-run normalization </w:t>
      </w:r>
      <w:proofErr w:type="gramStart"/>
      <w:r>
        <w:rPr>
          <w:lang w:val="en-US" w:eastAsia="en-US"/>
        </w:rPr>
        <w:t>was performed</w:t>
      </w:r>
      <w:proofErr w:type="gramEnd"/>
      <w:r>
        <w:rPr>
          <w:lang w:val="en-US" w:eastAsia="en-US"/>
        </w:rPr>
        <w:t xml:space="preserve">. </w:t>
      </w:r>
      <w:bookmarkStart w:id="2" w:name="h.a7d0lz7altoi"/>
      <w:bookmarkStart w:id="3" w:name="h.fuo50n8x54aj"/>
      <w:bookmarkEnd w:id="2"/>
      <w:bookmarkEnd w:id="3"/>
    </w:p>
    <w:p w:rsidR="000D6BF7" w:rsidRDefault="000D6BF7" w:rsidP="000D6BF7">
      <w:pPr>
        <w:spacing w:before="360" w:after="120" w:line="480" w:lineRule="auto"/>
        <w:jc w:val="both"/>
        <w:rPr>
          <w:lang w:val="en-US" w:eastAsia="en-US"/>
        </w:rPr>
      </w:pPr>
    </w:p>
    <w:p w:rsidR="00A77B3E" w:rsidRPr="000D6BF7" w:rsidRDefault="008E6068" w:rsidP="000D6BF7">
      <w:pPr>
        <w:spacing w:before="360" w:after="120" w:line="480" w:lineRule="auto"/>
        <w:jc w:val="both"/>
        <w:rPr>
          <w:lang w:val="en-US"/>
        </w:rPr>
      </w:pPr>
      <w:r>
        <w:rPr>
          <w:b/>
          <w:bCs/>
          <w:lang w:val="en-US" w:eastAsia="en-US"/>
        </w:rPr>
        <w:lastRenderedPageBreak/>
        <w:t>Supplemental Tables</w:t>
      </w:r>
    </w:p>
    <w:p w:rsidR="007B4D03" w:rsidRDefault="007B4D03" w:rsidP="007B4D03">
      <w:pPr>
        <w:rPr>
          <w:lang w:val="en-US" w:eastAsia="en-US"/>
        </w:rPr>
      </w:pPr>
      <w:r w:rsidRPr="007B4D03">
        <w:rPr>
          <w:lang w:val="en-US" w:eastAsia="en-US"/>
        </w:rPr>
        <w:t xml:space="preserve">Datasheets table S1-S12 </w:t>
      </w:r>
      <w:proofErr w:type="gramStart"/>
      <w:r w:rsidRPr="007B4D03">
        <w:rPr>
          <w:lang w:val="en-US" w:eastAsia="en-US"/>
        </w:rPr>
        <w:t>are merged</w:t>
      </w:r>
      <w:proofErr w:type="gramEnd"/>
      <w:r w:rsidRPr="007B4D03">
        <w:rPr>
          <w:lang w:val="en-US" w:eastAsia="en-US"/>
        </w:rPr>
        <w:t xml:space="preserve"> in a combined excel file.</w:t>
      </w:r>
    </w:p>
    <w:p w:rsidR="007B4D03" w:rsidRDefault="007B4D03" w:rsidP="007B4D03">
      <w:pPr>
        <w:rPr>
          <w:lang w:val="en-US" w:eastAsia="en-US"/>
        </w:rPr>
      </w:pPr>
    </w:p>
    <w:p w:rsidR="007B4D03" w:rsidRPr="007B4D03" w:rsidRDefault="007B4D03" w:rsidP="007B4D03">
      <w:pPr>
        <w:spacing w:line="480" w:lineRule="auto"/>
        <w:rPr>
          <w:lang w:val="en-US" w:eastAsia="en-US"/>
        </w:rPr>
      </w:pPr>
      <w:r w:rsidRPr="007B4D03">
        <w:rPr>
          <w:b/>
          <w:lang w:val="en-US" w:eastAsia="en-US"/>
        </w:rPr>
        <w:t>Table S1.</w:t>
      </w:r>
      <w:r w:rsidRPr="007B4D03">
        <w:rPr>
          <w:lang w:val="en-US" w:eastAsia="en-US"/>
        </w:rPr>
        <w:t xml:space="preserve"> List of </w:t>
      </w:r>
      <w:proofErr w:type="spellStart"/>
      <w:proofErr w:type="gramStart"/>
      <w:r w:rsidRPr="007B4D03">
        <w:rPr>
          <w:lang w:val="en-US" w:eastAsia="en-US"/>
        </w:rPr>
        <w:t>biobanked</w:t>
      </w:r>
      <w:proofErr w:type="spellEnd"/>
      <w:r w:rsidRPr="007B4D03">
        <w:rPr>
          <w:lang w:val="en-US" w:eastAsia="en-US"/>
        </w:rPr>
        <w:t xml:space="preserve"> melanoma patient samples</w:t>
      </w:r>
      <w:proofErr w:type="gramEnd"/>
      <w:r w:rsidRPr="007B4D03">
        <w:rPr>
          <w:lang w:val="en-US" w:eastAsia="en-US"/>
        </w:rPr>
        <w:t xml:space="preserve"> monitored with hybrid-PRM/DIA and DIA.</w:t>
      </w:r>
    </w:p>
    <w:p w:rsidR="007B4D03" w:rsidRPr="007B4D03" w:rsidRDefault="007B4D03" w:rsidP="007B4D03">
      <w:pPr>
        <w:spacing w:line="480" w:lineRule="auto"/>
        <w:rPr>
          <w:lang w:val="en-US" w:eastAsia="en-US"/>
        </w:rPr>
      </w:pPr>
      <w:r w:rsidRPr="007B4D03">
        <w:rPr>
          <w:b/>
          <w:lang w:val="en-US" w:eastAsia="en-US"/>
        </w:rPr>
        <w:t>Table S2.</w:t>
      </w:r>
      <w:r w:rsidRPr="007B4D03">
        <w:rPr>
          <w:lang w:val="en-US" w:eastAsia="en-US"/>
        </w:rPr>
        <w:t xml:space="preserve"> Overview of </w:t>
      </w:r>
      <w:proofErr w:type="spellStart"/>
      <w:r w:rsidRPr="007B4D03">
        <w:rPr>
          <w:lang w:val="en-US" w:eastAsia="en-US"/>
        </w:rPr>
        <w:t>jpt</w:t>
      </w:r>
      <w:proofErr w:type="spellEnd"/>
      <w:r w:rsidRPr="007B4D03">
        <w:rPr>
          <w:lang w:val="en-US" w:eastAsia="en-US"/>
        </w:rPr>
        <w:t xml:space="preserve"> TAA peptide panel (heavy and light).</w:t>
      </w:r>
    </w:p>
    <w:p w:rsidR="007B4D03" w:rsidRPr="007B4D03" w:rsidRDefault="007B4D03" w:rsidP="007B4D03">
      <w:pPr>
        <w:spacing w:line="480" w:lineRule="auto"/>
        <w:rPr>
          <w:lang w:val="en-US" w:eastAsia="en-US"/>
        </w:rPr>
      </w:pPr>
      <w:bookmarkStart w:id="4" w:name="OLE_LINK32"/>
      <w:r w:rsidRPr="007B4D03">
        <w:rPr>
          <w:b/>
          <w:lang w:val="en-US" w:eastAsia="en-US"/>
        </w:rPr>
        <w:t>Table S3.</w:t>
      </w:r>
      <w:r w:rsidRPr="007B4D03">
        <w:rPr>
          <w:lang w:val="en-US" w:eastAsia="en-US"/>
        </w:rPr>
        <w:t xml:space="preserve"> List of 30 AQUA </w:t>
      </w:r>
      <w:r w:rsidR="0004091F">
        <w:rPr>
          <w:lang w:val="en-US" w:eastAsia="en-US"/>
        </w:rPr>
        <w:t>peptides used as melanoma level-</w:t>
      </w:r>
      <w:r w:rsidRPr="007B4D03">
        <w:rPr>
          <w:lang w:val="en-US" w:eastAsia="en-US"/>
        </w:rPr>
        <w:t>1/2 diagnostic markers.</w:t>
      </w:r>
      <w:bookmarkEnd w:id="4"/>
    </w:p>
    <w:p w:rsidR="007B4D03" w:rsidRPr="007B4D03" w:rsidRDefault="007B4D03" w:rsidP="007B4D03">
      <w:pPr>
        <w:spacing w:line="480" w:lineRule="auto"/>
        <w:rPr>
          <w:lang w:val="en-US" w:eastAsia="en-US"/>
        </w:rPr>
      </w:pPr>
      <w:r w:rsidRPr="007B4D03">
        <w:rPr>
          <w:b/>
          <w:lang w:val="en-US" w:eastAsia="en-US"/>
        </w:rPr>
        <w:t>Table S4.</w:t>
      </w:r>
      <w:r w:rsidRPr="007B4D03">
        <w:rPr>
          <w:lang w:val="en-US" w:eastAsia="en-US"/>
        </w:rPr>
        <w:t xml:space="preserve"> PRM scheduling list of the 185 TAA peptides plus 11 retention time peptides.</w:t>
      </w:r>
    </w:p>
    <w:p w:rsidR="007B4D03" w:rsidRPr="007B4D03" w:rsidRDefault="007B4D03" w:rsidP="007B4D03">
      <w:pPr>
        <w:spacing w:line="480" w:lineRule="auto"/>
        <w:rPr>
          <w:lang w:val="en-US" w:eastAsia="en-US"/>
        </w:rPr>
      </w:pPr>
      <w:r w:rsidRPr="007B4D03">
        <w:rPr>
          <w:b/>
          <w:lang w:val="en-US" w:eastAsia="en-US"/>
        </w:rPr>
        <w:t>Table S5.</w:t>
      </w:r>
      <w:r w:rsidRPr="007B4D03">
        <w:rPr>
          <w:lang w:val="en-US" w:eastAsia="en-US"/>
        </w:rPr>
        <w:t xml:space="preserve"> Hybrid-PRM/DIA API input list for triggering of </w:t>
      </w:r>
      <w:proofErr w:type="spellStart"/>
      <w:r w:rsidRPr="007B4D03">
        <w:rPr>
          <w:lang w:val="en-US" w:eastAsia="en-US"/>
        </w:rPr>
        <w:t>MSxPRM</w:t>
      </w:r>
      <w:proofErr w:type="spellEnd"/>
      <w:r w:rsidRPr="007B4D03">
        <w:rPr>
          <w:lang w:val="en-US" w:eastAsia="en-US"/>
        </w:rPr>
        <w:t xml:space="preserve"> scans of the 185 TAA </w:t>
      </w:r>
      <w:proofErr w:type="gramStart"/>
      <w:r w:rsidRPr="007B4D03">
        <w:rPr>
          <w:lang w:val="en-US" w:eastAsia="en-US"/>
        </w:rPr>
        <w:t>peptides</w:t>
      </w:r>
      <w:proofErr w:type="gramEnd"/>
      <w:r w:rsidRPr="007B4D03">
        <w:rPr>
          <w:lang w:val="en-US" w:eastAsia="en-US"/>
        </w:rPr>
        <w:t>.</w:t>
      </w:r>
    </w:p>
    <w:p w:rsidR="007B4D03" w:rsidRPr="007B4D03" w:rsidRDefault="007B4D03" w:rsidP="007B4D03">
      <w:pPr>
        <w:spacing w:line="480" w:lineRule="auto"/>
        <w:rPr>
          <w:lang w:val="en-US" w:eastAsia="en-US"/>
        </w:rPr>
      </w:pPr>
      <w:r w:rsidRPr="007B4D03">
        <w:rPr>
          <w:b/>
          <w:lang w:val="en-US" w:eastAsia="en-US"/>
        </w:rPr>
        <w:t xml:space="preserve">Table S6. </w:t>
      </w:r>
      <w:r w:rsidRPr="007B4D03">
        <w:rPr>
          <w:lang w:val="en-US" w:eastAsia="en-US"/>
        </w:rPr>
        <w:t xml:space="preserve">Hybrid-PRM/DIA API input list for triggering of </w:t>
      </w:r>
      <w:proofErr w:type="spellStart"/>
      <w:r w:rsidRPr="007B4D03">
        <w:rPr>
          <w:lang w:val="en-US" w:eastAsia="en-US"/>
        </w:rPr>
        <w:t>MSxPRM</w:t>
      </w:r>
      <w:proofErr w:type="spellEnd"/>
      <w:r w:rsidRPr="007B4D03">
        <w:rPr>
          <w:lang w:val="en-US" w:eastAsia="en-US"/>
        </w:rPr>
        <w:t xml:space="preserve"> scans of the 179 TAA peptides.</w:t>
      </w:r>
    </w:p>
    <w:p w:rsidR="007B4D03" w:rsidRPr="007B4D03" w:rsidRDefault="007B4D03" w:rsidP="007B4D03">
      <w:pPr>
        <w:spacing w:line="480" w:lineRule="auto"/>
        <w:rPr>
          <w:lang w:val="en-US" w:eastAsia="en-US"/>
        </w:rPr>
      </w:pPr>
      <w:r w:rsidRPr="007B4D03">
        <w:rPr>
          <w:b/>
          <w:lang w:val="en-US" w:eastAsia="en-US"/>
        </w:rPr>
        <w:t>Table S7.</w:t>
      </w:r>
      <w:r w:rsidRPr="007B4D03">
        <w:rPr>
          <w:lang w:val="en-US" w:eastAsia="en-US"/>
        </w:rPr>
        <w:t xml:space="preserve"> Hybrid-PRM/DIA API input list for triggering of </w:t>
      </w:r>
      <w:proofErr w:type="spellStart"/>
      <w:r w:rsidRPr="007B4D03">
        <w:rPr>
          <w:lang w:val="en-US" w:eastAsia="en-US"/>
        </w:rPr>
        <w:t>MSxPRM</w:t>
      </w:r>
      <w:proofErr w:type="spellEnd"/>
      <w:r w:rsidRPr="007B4D03">
        <w:rPr>
          <w:lang w:val="en-US" w:eastAsia="en-US"/>
        </w:rPr>
        <w:t xml:space="preserve"> scans of the 120 TAA peptides.</w:t>
      </w:r>
    </w:p>
    <w:p w:rsidR="007B4D03" w:rsidRPr="007B4D03" w:rsidRDefault="007B4D03" w:rsidP="007B4D03">
      <w:pPr>
        <w:spacing w:line="480" w:lineRule="auto"/>
        <w:rPr>
          <w:lang w:val="en-US" w:eastAsia="en-US"/>
        </w:rPr>
      </w:pPr>
      <w:r w:rsidRPr="007B4D03">
        <w:rPr>
          <w:b/>
          <w:lang w:val="en-US" w:eastAsia="en-US"/>
        </w:rPr>
        <w:t>Table S8.</w:t>
      </w:r>
      <w:r w:rsidRPr="007B4D03">
        <w:rPr>
          <w:lang w:val="en-US" w:eastAsia="en-US"/>
        </w:rPr>
        <w:t xml:space="preserve"> Hybrid-PRM/DIA API input list for triggering of </w:t>
      </w:r>
      <w:proofErr w:type="spellStart"/>
      <w:r w:rsidRPr="007B4D03">
        <w:rPr>
          <w:lang w:val="en-US" w:eastAsia="en-US"/>
        </w:rPr>
        <w:t>MSxPRM</w:t>
      </w:r>
      <w:proofErr w:type="spellEnd"/>
      <w:r w:rsidRPr="007B4D03">
        <w:rPr>
          <w:lang w:val="en-US" w:eastAsia="en-US"/>
        </w:rPr>
        <w:t xml:space="preserve"> scans of the 60 TAA peptides.</w:t>
      </w:r>
    </w:p>
    <w:p w:rsidR="007B4D03" w:rsidRPr="007B4D03" w:rsidRDefault="007B4D03" w:rsidP="007B4D03">
      <w:pPr>
        <w:spacing w:line="480" w:lineRule="auto"/>
        <w:rPr>
          <w:lang w:val="en-US" w:eastAsia="en-US"/>
        </w:rPr>
      </w:pPr>
      <w:r w:rsidRPr="007B4D03">
        <w:rPr>
          <w:b/>
          <w:lang w:val="en-US" w:eastAsia="en-US"/>
        </w:rPr>
        <w:t>Table S9.</w:t>
      </w:r>
      <w:r w:rsidRPr="007B4D03">
        <w:rPr>
          <w:lang w:val="en-US" w:eastAsia="en-US"/>
        </w:rPr>
        <w:t xml:space="preserve"> Hybrid-PRM/DIA API input list for triggering of </w:t>
      </w:r>
      <w:proofErr w:type="spellStart"/>
      <w:r w:rsidRPr="007B4D03">
        <w:rPr>
          <w:lang w:val="en-US" w:eastAsia="en-US"/>
        </w:rPr>
        <w:t>MSxPRM</w:t>
      </w:r>
      <w:proofErr w:type="spellEnd"/>
      <w:r w:rsidRPr="007B4D03">
        <w:rPr>
          <w:lang w:val="en-US" w:eastAsia="en-US"/>
        </w:rPr>
        <w:t xml:space="preserve"> scans of the 30 melanoma AQUA peptides.</w:t>
      </w:r>
    </w:p>
    <w:p w:rsidR="007B4D03" w:rsidRPr="007B4D03" w:rsidRDefault="007B4D03" w:rsidP="007B4D03">
      <w:pPr>
        <w:spacing w:line="480" w:lineRule="auto"/>
        <w:rPr>
          <w:lang w:val="en-US" w:eastAsia="en-US"/>
        </w:rPr>
      </w:pPr>
      <w:r w:rsidRPr="007B4D03">
        <w:rPr>
          <w:b/>
          <w:lang w:val="en-US" w:eastAsia="en-US"/>
        </w:rPr>
        <w:t xml:space="preserve">Table S10. </w:t>
      </w:r>
      <w:r w:rsidRPr="007B4D03">
        <w:rPr>
          <w:lang w:val="en-US" w:eastAsia="en-US"/>
        </w:rPr>
        <w:t xml:space="preserve">PRM scheduling list of the 30 melanoma AQUA peptides plus 11 </w:t>
      </w:r>
      <w:proofErr w:type="spellStart"/>
      <w:r w:rsidRPr="007B4D03">
        <w:rPr>
          <w:lang w:val="en-US" w:eastAsia="en-US"/>
        </w:rPr>
        <w:t>iRT</w:t>
      </w:r>
      <w:proofErr w:type="spellEnd"/>
      <w:r w:rsidRPr="007B4D03">
        <w:rPr>
          <w:lang w:val="en-US" w:eastAsia="en-US"/>
        </w:rPr>
        <w:t xml:space="preserve"> peptides.</w:t>
      </w:r>
    </w:p>
    <w:p w:rsidR="007B4D03" w:rsidRPr="007B4D03" w:rsidRDefault="007B4D03" w:rsidP="007B4D03">
      <w:pPr>
        <w:spacing w:line="480" w:lineRule="auto"/>
        <w:rPr>
          <w:lang w:val="en-US" w:eastAsia="en-US"/>
        </w:rPr>
      </w:pPr>
      <w:r w:rsidRPr="007B4D03">
        <w:rPr>
          <w:b/>
          <w:lang w:val="en-US" w:eastAsia="en-US"/>
        </w:rPr>
        <w:t xml:space="preserve">Table S11. </w:t>
      </w:r>
      <w:r w:rsidRPr="007B4D03">
        <w:rPr>
          <w:lang w:val="en-US" w:eastAsia="en-US"/>
        </w:rPr>
        <w:t>List of the 65 level-1 and level-2 melanoma marker protein</w:t>
      </w:r>
      <w:r w:rsidR="0004091F">
        <w:rPr>
          <w:lang w:val="en-US" w:eastAsia="en-US"/>
        </w:rPr>
        <w:t>s</w:t>
      </w:r>
      <w:r w:rsidRPr="007B4D03">
        <w:rPr>
          <w:lang w:val="en-US" w:eastAsia="en-US"/>
        </w:rPr>
        <w:t>/protein groups.</w:t>
      </w:r>
    </w:p>
    <w:p w:rsidR="00A77B3E" w:rsidRDefault="00B24CE2" w:rsidP="00B24CE2">
      <w:pPr>
        <w:spacing w:line="480" w:lineRule="auto"/>
        <w:rPr>
          <w:sz w:val="23"/>
          <w:szCs w:val="23"/>
          <w:lang w:val="en-US"/>
        </w:rPr>
      </w:pPr>
      <w:r w:rsidRPr="00B24CE2">
        <w:rPr>
          <w:b/>
          <w:bCs/>
          <w:sz w:val="23"/>
          <w:szCs w:val="23"/>
          <w:lang w:val="en-US"/>
        </w:rPr>
        <w:t>Table S12.</w:t>
      </w:r>
      <w:r w:rsidRPr="00B24CE2">
        <w:rPr>
          <w:sz w:val="23"/>
          <w:szCs w:val="23"/>
          <w:lang w:val="en-US"/>
        </w:rPr>
        <w:t xml:space="preserve"> Quantitative protein matrix over 43 melanoma marker proteins in 95 patient samples. Value</w:t>
      </w:r>
      <w:r>
        <w:rPr>
          <w:sz w:val="23"/>
          <w:szCs w:val="23"/>
          <w:lang w:val="en-US"/>
        </w:rPr>
        <w:t xml:space="preserve">s are log10-transformed and </w:t>
      </w:r>
      <w:r w:rsidRPr="00B24CE2">
        <w:rPr>
          <w:sz w:val="23"/>
          <w:szCs w:val="23"/>
          <w:lang w:val="en-US"/>
        </w:rPr>
        <w:t xml:space="preserve">the basis of the </w:t>
      </w:r>
      <w:proofErr w:type="spellStart"/>
      <w:r w:rsidRPr="00B24CE2">
        <w:rPr>
          <w:sz w:val="23"/>
          <w:szCs w:val="23"/>
          <w:lang w:val="en-US"/>
        </w:rPr>
        <w:t>heatmap</w:t>
      </w:r>
      <w:proofErr w:type="spellEnd"/>
      <w:r w:rsidRPr="00B24CE2">
        <w:rPr>
          <w:sz w:val="23"/>
          <w:szCs w:val="23"/>
          <w:lang w:val="en-US"/>
        </w:rPr>
        <w:t xml:space="preserve"> in Fig. S4. The proteins discussed in Fig. 5B </w:t>
      </w:r>
      <w:proofErr w:type="gramStart"/>
      <w:r w:rsidRPr="00B24CE2">
        <w:rPr>
          <w:sz w:val="23"/>
          <w:szCs w:val="23"/>
          <w:lang w:val="en-US"/>
        </w:rPr>
        <w:t>are indicated</w:t>
      </w:r>
      <w:proofErr w:type="gramEnd"/>
      <w:r w:rsidRPr="00B24CE2">
        <w:rPr>
          <w:sz w:val="23"/>
          <w:szCs w:val="23"/>
          <w:lang w:val="en-US"/>
        </w:rPr>
        <w:t xml:space="preserve"> in red.</w:t>
      </w:r>
    </w:p>
    <w:p w:rsidR="00B24CE2" w:rsidRPr="00B24CE2" w:rsidRDefault="00B24CE2" w:rsidP="00B24CE2">
      <w:pPr>
        <w:spacing w:line="480" w:lineRule="auto"/>
        <w:rPr>
          <w:lang w:val="en-US"/>
        </w:rPr>
      </w:pPr>
    </w:p>
    <w:p w:rsidR="007B4D03" w:rsidRDefault="007B4D03">
      <w:pPr>
        <w:rPr>
          <w:lang w:val="en-US"/>
        </w:rPr>
      </w:pPr>
    </w:p>
    <w:p w:rsidR="007B4D03" w:rsidRDefault="007B4D03">
      <w:pPr>
        <w:rPr>
          <w:lang w:val="en-US"/>
        </w:rPr>
      </w:pPr>
    </w:p>
    <w:p w:rsidR="00A77B3E" w:rsidRDefault="008E6068">
      <w:pPr>
        <w:pStyle w:val="Heading4"/>
        <w:spacing w:before="360" w:after="120" w:line="360" w:lineRule="auto"/>
        <w:jc w:val="both"/>
        <w:rPr>
          <w:b/>
          <w:bCs/>
          <w:color w:val="000000"/>
          <w:lang w:val="en-US"/>
        </w:rPr>
      </w:pPr>
      <w:bookmarkStart w:id="5" w:name="h.ld3u8luc7s4m"/>
      <w:bookmarkEnd w:id="5"/>
      <w:r>
        <w:rPr>
          <w:b/>
          <w:bCs/>
          <w:color w:val="000000"/>
          <w:lang w:val="en-US" w:eastAsia="en-US"/>
        </w:rPr>
        <w:lastRenderedPageBreak/>
        <w:t>Supplemental Figures</w:t>
      </w:r>
    </w:p>
    <w:p w:rsidR="00A77B3E" w:rsidRDefault="00A77B3E">
      <w:pPr>
        <w:rPr>
          <w:lang w:val="en-US"/>
        </w:rPr>
      </w:pPr>
    </w:p>
    <w:p w:rsidR="00A77B3E" w:rsidRDefault="00331CC2">
      <w:pPr>
        <w:spacing w:after="200" w:line="480" w:lineRule="auto"/>
        <w:rPr>
          <w:lang w:val="en-US"/>
        </w:rPr>
      </w:pPr>
      <w:r>
        <w:rPr>
          <w:noProof/>
        </w:rPr>
        <w:drawing>
          <wp:inline distT="0" distB="0" distL="0" distR="0">
            <wp:extent cx="5731510" cy="7134225"/>
            <wp:effectExtent l="0" t="0" r="254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40328_Fig. S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3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 w:rsidRDefault="008E6068">
      <w:pPr>
        <w:pStyle w:val="Heading5"/>
        <w:rPr>
          <w:lang w:val="en-US"/>
        </w:rPr>
      </w:pPr>
      <w:bookmarkStart w:id="6" w:name="h.6aa3b24hn81n"/>
      <w:bookmarkEnd w:id="6"/>
      <w:r>
        <w:rPr>
          <w:lang w:val="en-US" w:eastAsia="en-US"/>
        </w:rPr>
        <w:t>Fig. S1</w:t>
      </w:r>
      <w:r w:rsidR="0022325A">
        <w:rPr>
          <w:lang w:val="en-US" w:eastAsia="en-US"/>
        </w:rPr>
        <w:t>.</w:t>
      </w:r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MSxPRM</w:t>
      </w:r>
      <w:proofErr w:type="spellEnd"/>
      <w:r>
        <w:rPr>
          <w:lang w:val="en-US" w:eastAsia="en-US"/>
        </w:rPr>
        <w:t xml:space="preserve"> performan</w:t>
      </w:r>
      <w:r w:rsidR="0051123C">
        <w:rPr>
          <w:lang w:val="en-US" w:eastAsia="en-US"/>
        </w:rPr>
        <w:t xml:space="preserve">ce of hybrid-PRM/DIA on </w:t>
      </w:r>
      <w:r>
        <w:rPr>
          <w:lang w:val="en-US" w:eastAsia="en-US"/>
        </w:rPr>
        <w:t xml:space="preserve">tumor-associated </w:t>
      </w:r>
      <w:r w:rsidR="0051123C">
        <w:rPr>
          <w:lang w:val="en-US" w:eastAsia="en-US"/>
        </w:rPr>
        <w:t xml:space="preserve">antigen peptides </w:t>
      </w:r>
      <w:r>
        <w:rPr>
          <w:lang w:val="en-US" w:eastAsia="en-US"/>
        </w:rPr>
        <w:t>without HeLa background matrix</w:t>
      </w:r>
      <w:r w:rsidR="0022325A">
        <w:rPr>
          <w:lang w:val="en-US" w:eastAsia="en-US"/>
        </w:rPr>
        <w:t>.</w:t>
      </w:r>
    </w:p>
    <w:p w:rsidR="00A77B3E" w:rsidRDefault="008E6068">
      <w:pPr>
        <w:spacing w:after="200" w:line="480" w:lineRule="auto"/>
        <w:jc w:val="both"/>
        <w:rPr>
          <w:lang w:val="en-US"/>
        </w:rPr>
      </w:pPr>
      <w:r>
        <w:rPr>
          <w:b/>
          <w:bCs/>
          <w:lang w:val="en-US" w:eastAsia="en-US"/>
        </w:rPr>
        <w:t>(A)</w:t>
      </w:r>
      <w:r>
        <w:rPr>
          <w:lang w:val="en-US" w:eastAsia="en-US"/>
        </w:rPr>
        <w:t xml:space="preserve"> Number of identified protein groups in hybrid-PRM/DIA </w:t>
      </w:r>
      <w:proofErr w:type="spellStart"/>
      <w:r>
        <w:rPr>
          <w:lang w:val="en-US" w:eastAsia="en-US"/>
        </w:rPr>
        <w:t>MSxPRM</w:t>
      </w:r>
      <w:proofErr w:type="spellEnd"/>
      <w:r>
        <w:rPr>
          <w:lang w:val="en-US" w:eastAsia="en-US"/>
        </w:rPr>
        <w:t xml:space="preserve"> mode, DIA, and PRM for four different dilutions (approx. 0.1-100 </w:t>
      </w:r>
      <w:proofErr w:type="spellStart"/>
      <w:r>
        <w:rPr>
          <w:lang w:val="en-US" w:eastAsia="en-US"/>
        </w:rPr>
        <w:t>fmol</w:t>
      </w:r>
      <w:proofErr w:type="spellEnd"/>
      <w:r>
        <w:rPr>
          <w:lang w:val="en-US" w:eastAsia="en-US"/>
        </w:rPr>
        <w:t xml:space="preserve">). Samples </w:t>
      </w:r>
      <w:proofErr w:type="gramStart"/>
      <w:r>
        <w:rPr>
          <w:lang w:val="en-US" w:eastAsia="en-US"/>
        </w:rPr>
        <w:t>were measured</w:t>
      </w:r>
      <w:proofErr w:type="gramEnd"/>
      <w:r>
        <w:rPr>
          <w:lang w:val="en-US" w:eastAsia="en-US"/>
        </w:rPr>
        <w:t xml:space="preserve"> as triplicates. </w:t>
      </w:r>
      <w:r>
        <w:rPr>
          <w:b/>
          <w:bCs/>
          <w:lang w:val="en-US" w:eastAsia="en-US"/>
        </w:rPr>
        <w:t xml:space="preserve">(B) </w:t>
      </w:r>
      <w:r w:rsidR="00FA6209">
        <w:rPr>
          <w:lang w:val="en-US" w:eastAsia="en-US"/>
        </w:rPr>
        <w:t>H</w:t>
      </w:r>
      <w:r w:rsidR="00FA6209">
        <w:rPr>
          <w:lang w:val="en-US" w:eastAsia="en-US"/>
        </w:rPr>
        <w:t>ybrid-PRM/DIA</w:t>
      </w:r>
      <w:r w:rsidR="00FA6209">
        <w:rPr>
          <w:lang w:val="en-US" w:eastAsia="en-US"/>
        </w:rPr>
        <w:t xml:space="preserve"> </w:t>
      </w:r>
      <w:proofErr w:type="spellStart"/>
      <w:r w:rsidR="00FA6209">
        <w:rPr>
          <w:lang w:val="en-US" w:eastAsia="en-US"/>
        </w:rPr>
        <w:t>MSxPRM</w:t>
      </w:r>
      <w:proofErr w:type="spellEnd"/>
      <w:r w:rsidR="00FA6209">
        <w:rPr>
          <w:lang w:val="en-US" w:eastAsia="en-US"/>
        </w:rPr>
        <w:t xml:space="preserve"> and</w:t>
      </w:r>
      <w:r w:rsidR="00FA6209">
        <w:rPr>
          <w:lang w:val="en-US" w:eastAsia="en-US"/>
        </w:rPr>
        <w:t xml:space="preserve"> </w:t>
      </w:r>
      <w:r>
        <w:rPr>
          <w:lang w:val="en-US" w:eastAsia="en-US"/>
        </w:rPr>
        <w:t>DIA measurements of the Melanoma-associated antigen 3 (MAGEA3) peptide ISGGPHISYPPLHEWVLR for 0.1</w:t>
      </w:r>
      <w:r w:rsidR="00097709">
        <w:rPr>
          <w:lang w:val="en-US" w:eastAsia="en-US"/>
        </w:rPr>
        <w:t xml:space="preserve"> </w:t>
      </w:r>
      <w:proofErr w:type="spellStart"/>
      <w:r w:rsidR="00097709">
        <w:rPr>
          <w:lang w:val="en-US" w:eastAsia="en-US"/>
        </w:rPr>
        <w:t>fmol</w:t>
      </w:r>
      <w:proofErr w:type="spellEnd"/>
      <w:r>
        <w:rPr>
          <w:lang w:val="en-US" w:eastAsia="en-US"/>
        </w:rPr>
        <w:t xml:space="preserve"> and 1 </w:t>
      </w:r>
      <w:proofErr w:type="spellStart"/>
      <w:r>
        <w:rPr>
          <w:lang w:val="en-US" w:eastAsia="en-US"/>
        </w:rPr>
        <w:t>fmol</w:t>
      </w:r>
      <w:proofErr w:type="spellEnd"/>
      <w:r>
        <w:rPr>
          <w:lang w:val="en-US" w:eastAsia="en-US"/>
        </w:rPr>
        <w:t xml:space="preserve">. Shown are the heavy and the light transition traces over three technical replicates. </w:t>
      </w:r>
      <w:r>
        <w:rPr>
          <w:b/>
          <w:bCs/>
          <w:lang w:val="en-US" w:eastAsia="en-US"/>
        </w:rPr>
        <w:t xml:space="preserve">(C) </w:t>
      </w:r>
      <w:r>
        <w:rPr>
          <w:lang w:val="en-US" w:eastAsia="en-US"/>
        </w:rPr>
        <w:t xml:space="preserve">The number of identified peptides in red </w:t>
      </w:r>
      <w:proofErr w:type="gramStart"/>
      <w:r>
        <w:rPr>
          <w:lang w:val="en-US" w:eastAsia="en-US"/>
        </w:rPr>
        <w:t>is plotted</w:t>
      </w:r>
      <w:proofErr w:type="gramEnd"/>
      <w:r>
        <w:rPr>
          <w:lang w:val="en-US" w:eastAsia="en-US"/>
        </w:rPr>
        <w:t xml:space="preserve"> against the number of identified peptides at a CV ≤ 20% (dark gray) and at a CV ≤ 10% (light gray)</w:t>
      </w:r>
      <w:r w:rsidR="0022325A">
        <w:rPr>
          <w:lang w:val="en-US" w:eastAsia="en-US"/>
        </w:rPr>
        <w:t>. Shown are averages over three</w:t>
      </w:r>
      <w:r>
        <w:rPr>
          <w:lang w:val="en-US" w:eastAsia="en-US"/>
        </w:rPr>
        <w:t xml:space="preserve"> technical replicates for the range of 0.1 </w:t>
      </w:r>
      <w:proofErr w:type="spellStart"/>
      <w:r>
        <w:rPr>
          <w:lang w:val="en-US" w:eastAsia="en-US"/>
        </w:rPr>
        <w:t>fmol</w:t>
      </w:r>
      <w:proofErr w:type="spellEnd"/>
      <w:r>
        <w:rPr>
          <w:lang w:val="en-US" w:eastAsia="en-US"/>
        </w:rPr>
        <w:t xml:space="preserve"> to 100 </w:t>
      </w:r>
      <w:proofErr w:type="spellStart"/>
      <w:r>
        <w:rPr>
          <w:lang w:val="en-US" w:eastAsia="en-US"/>
        </w:rPr>
        <w:t>fmol</w:t>
      </w:r>
      <w:proofErr w:type="spellEnd"/>
      <w:r>
        <w:rPr>
          <w:lang w:val="en-US" w:eastAsia="en-US"/>
        </w:rPr>
        <w:t xml:space="preserve">. Transitions for one replicate at 0.1 </w:t>
      </w:r>
      <w:proofErr w:type="spellStart"/>
      <w:r>
        <w:rPr>
          <w:lang w:val="en-US" w:eastAsia="en-US"/>
        </w:rPr>
        <w:t>fmol</w:t>
      </w:r>
      <w:proofErr w:type="spellEnd"/>
      <w:r>
        <w:rPr>
          <w:lang w:val="en-US" w:eastAsia="en-US"/>
        </w:rPr>
        <w:t xml:space="preserve"> </w:t>
      </w:r>
      <w:r>
        <w:rPr>
          <w:b/>
          <w:bCs/>
          <w:lang w:val="en-US" w:eastAsia="en-US"/>
        </w:rPr>
        <w:t>(D)</w:t>
      </w:r>
      <w:r>
        <w:rPr>
          <w:lang w:val="en-US" w:eastAsia="en-US"/>
        </w:rPr>
        <w:t xml:space="preserve">, log peak areas </w:t>
      </w:r>
      <w:r>
        <w:rPr>
          <w:b/>
          <w:bCs/>
          <w:lang w:val="en-US" w:eastAsia="en-US"/>
        </w:rPr>
        <w:t>(E)</w:t>
      </w:r>
      <w:r>
        <w:rPr>
          <w:lang w:val="en-US" w:eastAsia="en-US"/>
        </w:rPr>
        <w:t xml:space="preserve">, and peak area CVs over three replicates </w:t>
      </w:r>
      <w:r>
        <w:rPr>
          <w:b/>
          <w:bCs/>
          <w:lang w:val="en-US" w:eastAsia="en-US"/>
        </w:rPr>
        <w:t>(F)</w:t>
      </w:r>
      <w:r>
        <w:rPr>
          <w:lang w:val="en-US" w:eastAsia="en-US"/>
        </w:rPr>
        <w:t xml:space="preserve"> of the dilution series </w:t>
      </w:r>
      <w:proofErr w:type="gramStart"/>
      <w:r>
        <w:rPr>
          <w:lang w:val="en-US" w:eastAsia="en-US"/>
        </w:rPr>
        <w:t>are depicted</w:t>
      </w:r>
      <w:proofErr w:type="gramEnd"/>
      <w:r>
        <w:rPr>
          <w:lang w:val="en-US" w:eastAsia="en-US"/>
        </w:rPr>
        <w:t xml:space="preserve"> for one </w:t>
      </w:r>
      <w:r w:rsidR="0022325A">
        <w:rPr>
          <w:lang w:val="en-US" w:eastAsia="en-US"/>
        </w:rPr>
        <w:t xml:space="preserve">additional </w:t>
      </w:r>
      <w:r>
        <w:rPr>
          <w:lang w:val="en-US" w:eastAsia="en-US"/>
        </w:rPr>
        <w:t>example, i.e. the peptide YEFLWGPR of the Melanoma-associated antigen C1 (MAGC1_HUMAN).</w:t>
      </w:r>
    </w:p>
    <w:p w:rsidR="00A77B3E" w:rsidRDefault="00C7048D">
      <w:pPr>
        <w:spacing w:after="200" w:line="480" w:lineRule="auto"/>
        <w:jc w:val="both"/>
        <w:rPr>
          <w:lang w:val="en-US"/>
        </w:rPr>
      </w:pPr>
      <w:r>
        <w:rPr>
          <w:noProof/>
        </w:rPr>
        <w:drawing>
          <wp:inline distT="0" distB="0" distL="0" distR="0">
            <wp:extent cx="5731510" cy="6220460"/>
            <wp:effectExtent l="0" t="0" r="254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40428_Fig. S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2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7" w:name="_GoBack"/>
      <w:bookmarkEnd w:id="7"/>
    </w:p>
    <w:p w:rsidR="00A77B3E" w:rsidRDefault="008E6068">
      <w:pPr>
        <w:pStyle w:val="Heading5"/>
        <w:rPr>
          <w:lang w:val="en-US"/>
        </w:rPr>
      </w:pPr>
      <w:bookmarkStart w:id="8" w:name="h.9zqzzl1fwv7t"/>
      <w:bookmarkEnd w:id="8"/>
      <w:r>
        <w:rPr>
          <w:lang w:val="en-US" w:eastAsia="en-US"/>
        </w:rPr>
        <w:t>Fig. S2.</w:t>
      </w:r>
      <w:r w:rsidR="00C0431D">
        <w:rPr>
          <w:lang w:val="en-US" w:eastAsia="en-US"/>
        </w:rPr>
        <w:t xml:space="preserve"> Hybrid-PRM/DIA</w:t>
      </w:r>
      <w:r>
        <w:rPr>
          <w:lang w:val="en-US" w:eastAsia="en-US"/>
        </w:rPr>
        <w:t xml:space="preserve"> </w:t>
      </w:r>
      <w:bookmarkStart w:id="9" w:name="OLE_LINK33"/>
      <w:r>
        <w:rPr>
          <w:lang w:val="en-US" w:eastAsia="en-US"/>
        </w:rPr>
        <w:t>per</w:t>
      </w:r>
      <w:r w:rsidR="00C0431D">
        <w:rPr>
          <w:lang w:val="en-US" w:eastAsia="en-US"/>
        </w:rPr>
        <w:t>formance on T</w:t>
      </w:r>
      <w:r>
        <w:rPr>
          <w:lang w:val="en-US" w:eastAsia="en-US"/>
        </w:rPr>
        <w:t>AA</w:t>
      </w:r>
      <w:r w:rsidR="00C0431D">
        <w:rPr>
          <w:lang w:val="en-US" w:eastAsia="en-US"/>
        </w:rPr>
        <w:t xml:space="preserve"> </w:t>
      </w:r>
      <w:r>
        <w:rPr>
          <w:lang w:val="en-US" w:eastAsia="en-US"/>
        </w:rPr>
        <w:t>peptides in ter</w:t>
      </w:r>
      <w:r w:rsidR="00C0431D">
        <w:rPr>
          <w:lang w:val="en-US" w:eastAsia="en-US"/>
        </w:rPr>
        <w:t>ms of CVs</w:t>
      </w:r>
      <w:r>
        <w:rPr>
          <w:lang w:val="en-US" w:eastAsia="en-US"/>
        </w:rPr>
        <w:t xml:space="preserve"> </w:t>
      </w:r>
      <w:r w:rsidR="00554A24">
        <w:rPr>
          <w:lang w:val="en-US" w:eastAsia="en-US"/>
        </w:rPr>
        <w:t>(</w:t>
      </w:r>
      <w:proofErr w:type="spellStart"/>
      <w:r w:rsidR="00554A24">
        <w:rPr>
          <w:lang w:val="en-US" w:eastAsia="en-US"/>
        </w:rPr>
        <w:t>MSxPRM</w:t>
      </w:r>
      <w:proofErr w:type="spellEnd"/>
      <w:r w:rsidR="00554A24">
        <w:rPr>
          <w:lang w:val="en-US" w:eastAsia="en-US"/>
        </w:rPr>
        <w:t>)</w:t>
      </w:r>
      <w:r w:rsidR="00C0431D">
        <w:rPr>
          <w:lang w:val="en-US" w:eastAsia="en-US"/>
        </w:rPr>
        <w:t xml:space="preserve"> </w:t>
      </w:r>
      <w:r>
        <w:rPr>
          <w:lang w:val="en-US" w:eastAsia="en-US"/>
        </w:rPr>
        <w:t>and prot</w:t>
      </w:r>
      <w:r w:rsidR="00C0431D">
        <w:rPr>
          <w:lang w:val="en-US" w:eastAsia="en-US"/>
        </w:rPr>
        <w:t>ein group identifications (DIA)</w:t>
      </w:r>
      <w:r>
        <w:rPr>
          <w:lang w:val="en-US" w:eastAsia="en-US"/>
        </w:rPr>
        <w:t>.</w:t>
      </w:r>
      <w:bookmarkEnd w:id="9"/>
    </w:p>
    <w:p w:rsidR="00A77B3E" w:rsidRDefault="008E6068">
      <w:pPr>
        <w:spacing w:after="200" w:line="480" w:lineRule="auto"/>
        <w:jc w:val="both"/>
        <w:rPr>
          <w:lang w:val="en-US"/>
        </w:rPr>
      </w:pPr>
      <w:r>
        <w:rPr>
          <w:b/>
          <w:bCs/>
          <w:lang w:val="en-US" w:eastAsia="en-US"/>
        </w:rPr>
        <w:t xml:space="preserve">(A) </w:t>
      </w:r>
      <w:r>
        <w:rPr>
          <w:lang w:val="en-US" w:eastAsia="en-US"/>
        </w:rPr>
        <w:t xml:space="preserve">The number of identified peptides in red </w:t>
      </w:r>
      <w:proofErr w:type="gramStart"/>
      <w:r>
        <w:rPr>
          <w:lang w:val="en-US" w:eastAsia="en-US"/>
        </w:rPr>
        <w:t>is plotted</w:t>
      </w:r>
      <w:proofErr w:type="gramEnd"/>
      <w:r>
        <w:rPr>
          <w:lang w:val="en-US" w:eastAsia="en-US"/>
        </w:rPr>
        <w:t xml:space="preserve"> against the number of identified peptides at a CV ≤ 20% (dark gray) and at a CV ≤ 10% (light gray). Shown are averages </w:t>
      </w:r>
      <w:r w:rsidR="0022325A">
        <w:rPr>
          <w:lang w:val="en-US" w:eastAsia="en-US"/>
        </w:rPr>
        <w:t>over three</w:t>
      </w:r>
      <w:r w:rsidR="003561D0">
        <w:rPr>
          <w:lang w:val="en-US" w:eastAsia="en-US"/>
        </w:rPr>
        <w:t xml:space="preserve"> technical replicates for the</w:t>
      </w:r>
      <w:r>
        <w:rPr>
          <w:lang w:val="en-US" w:eastAsia="en-US"/>
        </w:rPr>
        <w:t xml:space="preserve"> range of 0.01</w:t>
      </w:r>
      <w:r w:rsidR="0022325A"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fmol</w:t>
      </w:r>
      <w:proofErr w:type="spellEnd"/>
      <w:r>
        <w:rPr>
          <w:lang w:val="en-US" w:eastAsia="en-US"/>
        </w:rPr>
        <w:t xml:space="preserve"> to 100 </w:t>
      </w:r>
      <w:proofErr w:type="spellStart"/>
      <w:r>
        <w:rPr>
          <w:lang w:val="en-US" w:eastAsia="en-US"/>
        </w:rPr>
        <w:t>fmol</w:t>
      </w:r>
      <w:proofErr w:type="spellEnd"/>
      <w:r>
        <w:rPr>
          <w:lang w:val="en-US" w:eastAsia="en-US"/>
        </w:rPr>
        <w:t xml:space="preserve">. </w:t>
      </w:r>
      <w:r>
        <w:rPr>
          <w:b/>
          <w:bCs/>
          <w:lang w:val="en-US" w:eastAsia="en-US"/>
        </w:rPr>
        <w:t xml:space="preserve">(B) </w:t>
      </w:r>
      <w:r>
        <w:rPr>
          <w:lang w:val="en-US" w:eastAsia="en-US"/>
        </w:rPr>
        <w:t xml:space="preserve">Number of identified protein groups by DIA versus DIA in hybrid-PRM/DIA. All samples </w:t>
      </w:r>
      <w:proofErr w:type="gramStart"/>
      <w:r>
        <w:rPr>
          <w:lang w:val="en-US" w:eastAsia="en-US"/>
        </w:rPr>
        <w:t>were measured</w:t>
      </w:r>
      <w:proofErr w:type="gramEnd"/>
      <w:r>
        <w:rPr>
          <w:lang w:val="en-US" w:eastAsia="en-US"/>
        </w:rPr>
        <w:t xml:space="preserve"> in triplicate.</w:t>
      </w:r>
    </w:p>
    <w:p w:rsidR="00A77B3E" w:rsidRDefault="00A77B3E">
      <w:pPr>
        <w:spacing w:after="200" w:line="480" w:lineRule="auto"/>
        <w:jc w:val="both"/>
        <w:rPr>
          <w:lang w:val="en-US"/>
        </w:rPr>
      </w:pPr>
    </w:p>
    <w:p w:rsidR="00A77B3E" w:rsidRDefault="00A77B3E">
      <w:pPr>
        <w:spacing w:after="200" w:line="480" w:lineRule="auto"/>
        <w:jc w:val="both"/>
        <w:rPr>
          <w:lang w:val="en-US"/>
        </w:rPr>
      </w:pPr>
    </w:p>
    <w:p w:rsidR="00A77B3E" w:rsidRDefault="00A77B3E">
      <w:pPr>
        <w:widowControl w:val="0"/>
        <w:rPr>
          <w:lang w:val="en-US"/>
        </w:rPr>
      </w:pPr>
    </w:p>
    <w:p w:rsidR="00A77B3E" w:rsidRDefault="00CA0C35">
      <w:pPr>
        <w:pStyle w:val="Heading5"/>
        <w:rPr>
          <w:lang w:val="en-US"/>
        </w:rPr>
      </w:pPr>
      <w:bookmarkStart w:id="10" w:name="h.lw86ibmtvujk"/>
      <w:bookmarkEnd w:id="10"/>
      <w:r w:rsidRPr="00C50945">
        <w:rPr>
          <w:noProof/>
        </w:rPr>
        <w:drawing>
          <wp:inline distT="0" distB="0" distL="0" distR="0">
            <wp:extent cx="3654425" cy="6110605"/>
            <wp:effectExtent l="0" t="0" r="0" b="0"/>
            <wp:docPr id="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425" cy="611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B3E" w:rsidRDefault="008E6068">
      <w:pPr>
        <w:pStyle w:val="Heading5"/>
        <w:rPr>
          <w:lang w:val="en-US"/>
        </w:rPr>
      </w:pPr>
      <w:bookmarkStart w:id="11" w:name="h.yooihpu84qsm"/>
      <w:bookmarkEnd w:id="11"/>
      <w:r>
        <w:rPr>
          <w:lang w:val="en-US" w:eastAsia="en-US"/>
        </w:rPr>
        <w:t>Fig. S3</w:t>
      </w:r>
      <w:r w:rsidR="00F71279">
        <w:rPr>
          <w:lang w:val="en-US" w:eastAsia="en-US"/>
        </w:rPr>
        <w:t>.</w:t>
      </w:r>
      <w:r>
        <w:rPr>
          <w:lang w:val="en-US" w:eastAsia="en-US"/>
        </w:rPr>
        <w:t xml:space="preserve"> Scheduling windows for monitoring 60,</w:t>
      </w:r>
      <w:r w:rsidR="00554A24">
        <w:rPr>
          <w:lang w:val="en-US" w:eastAsia="en-US"/>
        </w:rPr>
        <w:t xml:space="preserve"> </w:t>
      </w:r>
      <w:r>
        <w:rPr>
          <w:lang w:val="en-US" w:eastAsia="en-US"/>
        </w:rPr>
        <w:t xml:space="preserve">120 or 179 targets simultaneously in </w:t>
      </w:r>
      <w:proofErr w:type="spellStart"/>
      <w:r>
        <w:rPr>
          <w:lang w:val="en-US" w:eastAsia="en-US"/>
        </w:rPr>
        <w:t>MSxPRM</w:t>
      </w:r>
      <w:proofErr w:type="spellEnd"/>
      <w:r>
        <w:rPr>
          <w:lang w:val="en-US" w:eastAsia="en-US"/>
        </w:rPr>
        <w:t>.</w:t>
      </w:r>
    </w:p>
    <w:p w:rsidR="00A77B3E" w:rsidRDefault="008E6068">
      <w:pPr>
        <w:spacing w:after="200" w:line="480" w:lineRule="auto"/>
        <w:jc w:val="both"/>
        <w:rPr>
          <w:lang w:val="en-US"/>
        </w:rPr>
      </w:pPr>
      <w:r>
        <w:rPr>
          <w:lang w:val="en-US" w:eastAsia="en-US"/>
        </w:rPr>
        <w:t xml:space="preserve">Shown is the number of concurrent </w:t>
      </w:r>
      <w:proofErr w:type="spellStart"/>
      <w:r>
        <w:rPr>
          <w:lang w:val="en-US" w:eastAsia="en-US"/>
        </w:rPr>
        <w:t>MSxPRM</w:t>
      </w:r>
      <w:proofErr w:type="spellEnd"/>
      <w:r>
        <w:rPr>
          <w:lang w:val="en-US" w:eastAsia="en-US"/>
        </w:rPr>
        <w:t xml:space="preserve"> scheduling windows over retention time. For 179 targets, this number can be as high as 36 synchronously monitored peptides.</w:t>
      </w:r>
    </w:p>
    <w:p w:rsidR="00A77B3E" w:rsidRDefault="00CA0C35">
      <w:pPr>
        <w:spacing w:after="200" w:line="480" w:lineRule="auto"/>
        <w:jc w:val="both"/>
        <w:rPr>
          <w:lang w:val="en-US"/>
        </w:rPr>
      </w:pPr>
      <w:r w:rsidRPr="00C50945">
        <w:rPr>
          <w:noProof/>
        </w:rPr>
        <w:drawing>
          <wp:inline distT="0" distB="0" distL="0" distR="0">
            <wp:extent cx="5666105" cy="2623185"/>
            <wp:effectExtent l="0" t="0" r="0" b="0"/>
            <wp:docPr id="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105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B3E" w:rsidRDefault="00A77B3E">
      <w:pPr>
        <w:widowControl w:val="0"/>
        <w:rPr>
          <w:lang w:val="en-US"/>
        </w:rPr>
      </w:pPr>
    </w:p>
    <w:p w:rsidR="00A77B3E" w:rsidRDefault="00A77B3E">
      <w:pPr>
        <w:widowControl w:val="0"/>
        <w:rPr>
          <w:lang w:val="en-US"/>
        </w:rPr>
      </w:pPr>
    </w:p>
    <w:p w:rsidR="00A77B3E" w:rsidRDefault="008E6068">
      <w:pPr>
        <w:pStyle w:val="Heading5"/>
        <w:rPr>
          <w:lang w:val="en-US"/>
        </w:rPr>
      </w:pPr>
      <w:bookmarkStart w:id="12" w:name="h.sxqi415pg74o"/>
      <w:bookmarkEnd w:id="12"/>
      <w:r>
        <w:rPr>
          <w:lang w:val="en-US" w:eastAsia="en-US"/>
        </w:rPr>
        <w:t>Fig. S4</w:t>
      </w:r>
      <w:r w:rsidR="00F71279">
        <w:rPr>
          <w:lang w:val="en-US" w:eastAsia="en-US"/>
        </w:rPr>
        <w:t>.</w:t>
      </w:r>
      <w:r>
        <w:rPr>
          <w:lang w:val="en-US" w:eastAsia="en-US"/>
        </w:rPr>
        <w:t xml:space="preserve"> Extracted level-1/level-2 melanoma markers from a DIA data matrix of 95 melanoma patient samples.</w:t>
      </w:r>
    </w:p>
    <w:p w:rsidR="00A77B3E" w:rsidRDefault="008E6068">
      <w:pPr>
        <w:spacing w:after="200" w:line="480" w:lineRule="auto"/>
        <w:jc w:val="both"/>
        <w:rPr>
          <w:lang w:val="en-US"/>
        </w:rPr>
      </w:pPr>
      <w:r>
        <w:rPr>
          <w:lang w:val="en-US" w:eastAsia="en-US"/>
        </w:rPr>
        <w:t>The</w:t>
      </w:r>
      <w:r>
        <w:rPr>
          <w:b/>
          <w:bCs/>
          <w:lang w:val="en-US" w:eastAsia="en-US"/>
        </w:rPr>
        <w:t xml:space="preserve"> </w:t>
      </w:r>
      <w:proofErr w:type="spellStart"/>
      <w:r>
        <w:rPr>
          <w:lang w:val="en-US" w:eastAsia="en-US"/>
        </w:rPr>
        <w:t>heatmap</w:t>
      </w:r>
      <w:proofErr w:type="spellEnd"/>
      <w:r>
        <w:rPr>
          <w:lang w:val="en-US" w:eastAsia="en-US"/>
        </w:rPr>
        <w:t xml:space="preserve"> shows 43 protein groups that </w:t>
      </w:r>
      <w:proofErr w:type="gramStart"/>
      <w:r>
        <w:rPr>
          <w:lang w:val="en-US" w:eastAsia="en-US"/>
        </w:rPr>
        <w:t>were repetitively detected</w:t>
      </w:r>
      <w:proofErr w:type="gramEnd"/>
      <w:r>
        <w:rPr>
          <w:lang w:val="en-US" w:eastAsia="en-US"/>
        </w:rPr>
        <w:t xml:space="preserve"> in a </w:t>
      </w:r>
      <w:proofErr w:type="spellStart"/>
      <w:r>
        <w:rPr>
          <w:lang w:val="en-US" w:eastAsia="en-US"/>
        </w:rPr>
        <w:t>biobanked</w:t>
      </w:r>
      <w:proofErr w:type="spellEnd"/>
      <w:r>
        <w:rPr>
          <w:lang w:val="en-US" w:eastAsia="en-US"/>
        </w:rPr>
        <w:t xml:space="preserve"> melanoma cohort of 95 patients in standard DIA. The four proteins CDK4, NF1, UFO, and PMEL shown in Fig.</w:t>
      </w:r>
      <w:r w:rsidR="00F71279">
        <w:rPr>
          <w:lang w:val="en-US" w:eastAsia="en-US"/>
        </w:rPr>
        <w:t xml:space="preserve"> </w:t>
      </w:r>
      <w:r>
        <w:rPr>
          <w:lang w:val="en-US" w:eastAsia="en-US"/>
        </w:rPr>
        <w:t>4 as well as TP53</w:t>
      </w:r>
      <w:r w:rsidR="00F71279">
        <w:rPr>
          <w:lang w:val="en-US" w:eastAsia="en-US"/>
        </w:rPr>
        <w:t xml:space="preserve"> and CCND3 discussed in the manuscript</w:t>
      </w:r>
      <w:r>
        <w:rPr>
          <w:lang w:val="en-US" w:eastAsia="en-US"/>
        </w:rPr>
        <w:t xml:space="preserve"> </w:t>
      </w:r>
      <w:proofErr w:type="gramStart"/>
      <w:r>
        <w:rPr>
          <w:lang w:val="en-US" w:eastAsia="en-US"/>
        </w:rPr>
        <w:t>are indicated</w:t>
      </w:r>
      <w:proofErr w:type="gramEnd"/>
      <w:r>
        <w:rPr>
          <w:lang w:val="en-US" w:eastAsia="en-US"/>
        </w:rPr>
        <w:t xml:space="preserve"> with an arrow. Missin</w:t>
      </w:r>
      <w:r w:rsidR="00F71279">
        <w:rPr>
          <w:lang w:val="en-US" w:eastAsia="en-US"/>
        </w:rPr>
        <w:t xml:space="preserve">g values in the data matrix </w:t>
      </w:r>
      <w:proofErr w:type="gramStart"/>
      <w:r w:rsidR="00F71279">
        <w:rPr>
          <w:lang w:val="en-US" w:eastAsia="en-US"/>
        </w:rPr>
        <w:t>are depicted</w:t>
      </w:r>
      <w:proofErr w:type="gramEnd"/>
      <w:r>
        <w:rPr>
          <w:lang w:val="en-US" w:eastAsia="en-US"/>
        </w:rPr>
        <w:t xml:space="preserve"> in gray. </w:t>
      </w:r>
    </w:p>
    <w:p w:rsidR="00A77B3E" w:rsidRDefault="00A77B3E">
      <w:pPr>
        <w:widowControl w:val="0"/>
        <w:rPr>
          <w:lang w:val="en-US"/>
        </w:rPr>
      </w:pPr>
    </w:p>
    <w:p w:rsidR="00A77B3E" w:rsidRDefault="00A77B3E">
      <w:pPr>
        <w:widowControl w:val="0"/>
        <w:rPr>
          <w:lang w:val="en-US"/>
        </w:rPr>
      </w:pPr>
    </w:p>
    <w:p w:rsidR="00A77B3E" w:rsidRDefault="00A77B3E">
      <w:pPr>
        <w:widowControl w:val="0"/>
        <w:rPr>
          <w:lang w:val="en-US"/>
        </w:rPr>
      </w:pPr>
    </w:p>
    <w:p w:rsidR="00A77B3E" w:rsidRDefault="00A77B3E">
      <w:pPr>
        <w:widowControl w:val="0"/>
        <w:rPr>
          <w:lang w:val="en-US"/>
        </w:rPr>
      </w:pPr>
    </w:p>
    <w:p w:rsidR="00A77B3E" w:rsidRDefault="00A77B3E">
      <w:pPr>
        <w:spacing w:after="200" w:line="480" w:lineRule="auto"/>
        <w:jc w:val="both"/>
        <w:rPr>
          <w:lang w:val="en-US"/>
        </w:rPr>
      </w:pPr>
    </w:p>
    <w:p w:rsidR="00A77B3E" w:rsidRDefault="00A77B3E">
      <w:pPr>
        <w:widowControl w:val="0"/>
        <w:rPr>
          <w:lang w:val="en-US"/>
        </w:rPr>
      </w:pPr>
    </w:p>
    <w:p w:rsidR="00A77B3E" w:rsidRDefault="00A77B3E">
      <w:pPr>
        <w:widowControl w:val="0"/>
        <w:rPr>
          <w:lang w:val="en-US"/>
        </w:rPr>
      </w:pPr>
    </w:p>
    <w:p w:rsidR="00A77B3E" w:rsidRDefault="00A77B3E">
      <w:pPr>
        <w:spacing w:after="200" w:line="480" w:lineRule="auto"/>
        <w:jc w:val="both"/>
        <w:rPr>
          <w:lang w:val="en-US"/>
        </w:rPr>
      </w:pPr>
    </w:p>
    <w:p w:rsidR="00A77B3E" w:rsidRDefault="00A77B3E">
      <w:pPr>
        <w:spacing w:after="200" w:line="480" w:lineRule="auto"/>
        <w:jc w:val="both"/>
        <w:rPr>
          <w:lang w:val="en-US"/>
        </w:rPr>
      </w:pPr>
    </w:p>
    <w:p w:rsidR="00A77B3E" w:rsidRDefault="00A77B3E">
      <w:pPr>
        <w:spacing w:after="200" w:line="480" w:lineRule="auto"/>
        <w:jc w:val="both"/>
        <w:rPr>
          <w:lang w:val="en-US"/>
        </w:rPr>
      </w:pPr>
    </w:p>
    <w:p w:rsidR="00A77B3E" w:rsidRDefault="00CA0C35">
      <w:pPr>
        <w:spacing w:after="200" w:line="480" w:lineRule="auto"/>
        <w:jc w:val="both"/>
        <w:rPr>
          <w:lang w:val="en-US"/>
        </w:rPr>
      </w:pPr>
      <w:r w:rsidRPr="00C50945">
        <w:rPr>
          <w:noProof/>
        </w:rPr>
        <w:drawing>
          <wp:inline distT="0" distB="0" distL="0" distR="0">
            <wp:extent cx="3023870" cy="2626360"/>
            <wp:effectExtent l="0" t="0" r="0" b="0"/>
            <wp:docPr id="1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70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B3E" w:rsidRDefault="00A77B3E">
      <w:pPr>
        <w:spacing w:after="200" w:line="480" w:lineRule="auto"/>
        <w:jc w:val="both"/>
        <w:rPr>
          <w:lang w:val="en-US"/>
        </w:rPr>
      </w:pPr>
    </w:p>
    <w:p w:rsidR="00A77B3E" w:rsidRDefault="008E6068">
      <w:pPr>
        <w:pStyle w:val="Heading5"/>
        <w:rPr>
          <w:lang w:val="en-US"/>
        </w:rPr>
      </w:pPr>
      <w:bookmarkStart w:id="13" w:name="h.7tjtliobsk2"/>
      <w:bookmarkEnd w:id="13"/>
      <w:r>
        <w:rPr>
          <w:lang w:val="en-US" w:eastAsia="en-US"/>
        </w:rPr>
        <w:t xml:space="preserve">Fig. S5. Calibration curve of the PMEL peptide NQDWLGVSR </w:t>
      </w:r>
    </w:p>
    <w:p w:rsidR="00A77B3E" w:rsidRDefault="008E6068">
      <w:pPr>
        <w:spacing w:after="200" w:line="480" w:lineRule="auto"/>
        <w:jc w:val="both"/>
        <w:rPr>
          <w:lang w:val="en-US"/>
        </w:rPr>
      </w:pPr>
      <w:r>
        <w:rPr>
          <w:lang w:val="en-US" w:eastAsia="en-US"/>
        </w:rPr>
        <w:t xml:space="preserve">The calibration curve for the peptide NQDWLGVSR includes triplicate measurements of the AQUA peptide at 0.01 </w:t>
      </w:r>
      <w:proofErr w:type="spellStart"/>
      <w:r>
        <w:rPr>
          <w:lang w:val="en-US" w:eastAsia="en-US"/>
        </w:rPr>
        <w:t>fmol</w:t>
      </w:r>
      <w:proofErr w:type="spellEnd"/>
      <w:r>
        <w:rPr>
          <w:lang w:val="en-US" w:eastAsia="en-US"/>
        </w:rPr>
        <w:t xml:space="preserve">, 0.01 </w:t>
      </w:r>
      <w:proofErr w:type="spellStart"/>
      <w:r>
        <w:rPr>
          <w:lang w:val="en-US" w:eastAsia="en-US"/>
        </w:rPr>
        <w:t>fmol</w:t>
      </w:r>
      <w:proofErr w:type="spellEnd"/>
      <w:r>
        <w:rPr>
          <w:lang w:val="en-US" w:eastAsia="en-US"/>
        </w:rPr>
        <w:t xml:space="preserve">, </w:t>
      </w:r>
      <w:proofErr w:type="gramStart"/>
      <w:r>
        <w:rPr>
          <w:lang w:val="en-US" w:eastAsia="en-US"/>
        </w:rPr>
        <w:t>1</w:t>
      </w:r>
      <w:proofErr w:type="gram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fmol</w:t>
      </w:r>
      <w:proofErr w:type="spellEnd"/>
      <w:r>
        <w:rPr>
          <w:lang w:val="en-US" w:eastAsia="en-US"/>
        </w:rPr>
        <w:t xml:space="preserve">, 10 </w:t>
      </w:r>
      <w:proofErr w:type="spellStart"/>
      <w:r>
        <w:rPr>
          <w:lang w:val="en-US" w:eastAsia="en-US"/>
        </w:rPr>
        <w:t>fmol</w:t>
      </w:r>
      <w:proofErr w:type="spellEnd"/>
      <w:r>
        <w:rPr>
          <w:lang w:val="en-US" w:eastAsia="en-US"/>
        </w:rPr>
        <w:t xml:space="preserve">, and 100 </w:t>
      </w:r>
      <w:proofErr w:type="spellStart"/>
      <w:r>
        <w:rPr>
          <w:lang w:val="en-US" w:eastAsia="en-US"/>
        </w:rPr>
        <w:t>fmol</w:t>
      </w:r>
      <w:proofErr w:type="spellEnd"/>
      <w:r>
        <w:rPr>
          <w:lang w:val="en-US" w:eastAsia="en-US"/>
        </w:rPr>
        <w:t xml:space="preserve"> concentration and a blank reference. The calculated LOD of NQDWLGVSR (blank plus 2xSD) is 0.0101 </w:t>
      </w:r>
      <w:proofErr w:type="spellStart"/>
      <w:r>
        <w:rPr>
          <w:lang w:val="en-US" w:eastAsia="en-US"/>
        </w:rPr>
        <w:t>fmol</w:t>
      </w:r>
      <w:proofErr w:type="spellEnd"/>
      <w:r>
        <w:rPr>
          <w:lang w:val="en-US" w:eastAsia="en-US"/>
        </w:rPr>
        <w:t>/</w:t>
      </w:r>
      <w:proofErr w:type="spellStart"/>
      <w:r>
        <w:rPr>
          <w:lang w:val="en-US" w:eastAsia="en-US"/>
        </w:rPr>
        <w:t>μl</w:t>
      </w:r>
      <w:proofErr w:type="spellEnd"/>
      <w:r>
        <w:rPr>
          <w:lang w:val="en-US" w:eastAsia="en-US"/>
        </w:rPr>
        <w:t>.</w:t>
      </w:r>
    </w:p>
    <w:sectPr w:rsidR="00A77B3E" w:rsidSect="000D6BF7">
      <w:headerReference w:type="default" r:id="rId13"/>
      <w:footerReference w:type="default" r:id="rId14"/>
      <w:pgSz w:w="11906" w:h="16838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C35" w:rsidRDefault="00CA0C35">
      <w:pPr>
        <w:spacing w:line="240" w:lineRule="auto"/>
      </w:pPr>
      <w:r>
        <w:separator/>
      </w:r>
    </w:p>
  </w:endnote>
  <w:endnote w:type="continuationSeparator" w:id="0">
    <w:p w:rsidR="00CA0C35" w:rsidRDefault="00CA0C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31D" w:rsidRDefault="00C0431D">
    <w:pPr>
      <w:jc w:val="right"/>
      <w:rPr>
        <w:lang w:val="en-US"/>
      </w:rPr>
    </w:pPr>
    <w:r>
      <w:rPr>
        <w:lang w:val="en-US" w:eastAsia="en-US"/>
      </w:rPr>
      <w:fldChar w:fldCharType="begin"/>
    </w:r>
    <w:r>
      <w:rPr>
        <w:lang w:val="en-US" w:eastAsia="en-US"/>
      </w:rPr>
      <w:instrText>PAGE</w:instrText>
    </w:r>
    <w:r>
      <w:rPr>
        <w:lang w:val="en-US" w:eastAsia="en-US"/>
      </w:rPr>
      <w:fldChar w:fldCharType="separate"/>
    </w:r>
    <w:r w:rsidR="00C7048D">
      <w:rPr>
        <w:noProof/>
        <w:lang w:val="en-US" w:eastAsia="en-US"/>
      </w:rPr>
      <w:t>6</w:t>
    </w:r>
    <w:r>
      <w:rPr>
        <w:lang w:val="en-US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C35" w:rsidRDefault="00CA0C35">
      <w:pPr>
        <w:spacing w:line="240" w:lineRule="auto"/>
      </w:pPr>
      <w:r>
        <w:separator/>
      </w:r>
    </w:p>
  </w:footnote>
  <w:footnote w:type="continuationSeparator" w:id="0">
    <w:p w:rsidR="00CA0C35" w:rsidRDefault="00CA0C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31D" w:rsidRDefault="00C0431D">
    <w:pPr>
      <w:spacing w:before="240" w:line="480" w:lineRule="auto"/>
      <w:jc w:val="both"/>
      <w:rPr>
        <w:b/>
        <w:bCs/>
        <w:lang w:val="en-US"/>
      </w:rPr>
    </w:pPr>
  </w:p>
  <w:p w:rsidR="00C0431D" w:rsidRDefault="00C0431D">
    <w:pPr>
      <w:spacing w:line="480" w:lineRule="auto"/>
      <w:jc w:val="both"/>
      <w:rPr>
        <w:b/>
        <w:bCs/>
        <w:lang w:val="en-US"/>
      </w:rPr>
    </w:pPr>
  </w:p>
  <w:p w:rsidR="00C0431D" w:rsidRDefault="00C0431D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360"/>
        </w:tabs>
        <w:ind w:left="720" w:hanging="360"/>
      </w:pPr>
      <w:rPr>
        <w:rFonts w:cs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  <w:rPr>
        <w:rFonts w:cs="Times New Roman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2160" w:hanging="180"/>
      </w:pPr>
      <w:rPr>
        <w:rFonts w:cs="Times New Roman"/>
        <w:color w:val="00000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rFonts w:cs="Times New Roman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600" w:hanging="360"/>
      </w:pPr>
      <w:rPr>
        <w:rFonts w:cs="Times New Roman"/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320" w:hanging="180"/>
      </w:pPr>
      <w:rPr>
        <w:rFonts w:cs="Times New Roman"/>
        <w:color w:val="00000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rFonts w:cs="Times New Roman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  <w:rPr>
        <w:rFonts w:cs="Times New Roman"/>
        <w:color w:val="000000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480" w:hanging="180"/>
      </w:pPr>
      <w:rPr>
        <w:rFonts w:cs="Times New Roman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4091F"/>
    <w:rsid w:val="00097709"/>
    <w:rsid w:val="000D6BF7"/>
    <w:rsid w:val="00146350"/>
    <w:rsid w:val="001A2D67"/>
    <w:rsid w:val="0022325A"/>
    <w:rsid w:val="00247764"/>
    <w:rsid w:val="00331CC2"/>
    <w:rsid w:val="003370F5"/>
    <w:rsid w:val="003561D0"/>
    <w:rsid w:val="0036550E"/>
    <w:rsid w:val="004D1A7F"/>
    <w:rsid w:val="004F3A9B"/>
    <w:rsid w:val="0051123C"/>
    <w:rsid w:val="00554A24"/>
    <w:rsid w:val="00634B46"/>
    <w:rsid w:val="006E2A6D"/>
    <w:rsid w:val="00794185"/>
    <w:rsid w:val="007B4D03"/>
    <w:rsid w:val="007F3F2F"/>
    <w:rsid w:val="00810C34"/>
    <w:rsid w:val="00833C61"/>
    <w:rsid w:val="00871208"/>
    <w:rsid w:val="008A69B2"/>
    <w:rsid w:val="008C1629"/>
    <w:rsid w:val="008E6068"/>
    <w:rsid w:val="00974B8F"/>
    <w:rsid w:val="009C4450"/>
    <w:rsid w:val="00A0316B"/>
    <w:rsid w:val="00A77B3E"/>
    <w:rsid w:val="00B21163"/>
    <w:rsid w:val="00B24CE2"/>
    <w:rsid w:val="00B467DF"/>
    <w:rsid w:val="00B57F0F"/>
    <w:rsid w:val="00B633B1"/>
    <w:rsid w:val="00C0431D"/>
    <w:rsid w:val="00C50945"/>
    <w:rsid w:val="00C7048D"/>
    <w:rsid w:val="00C70885"/>
    <w:rsid w:val="00C71690"/>
    <w:rsid w:val="00CA0C35"/>
    <w:rsid w:val="00CA2A55"/>
    <w:rsid w:val="00D024AA"/>
    <w:rsid w:val="00D61D9E"/>
    <w:rsid w:val="00D74FEB"/>
    <w:rsid w:val="00D840A6"/>
    <w:rsid w:val="00DB5BA6"/>
    <w:rsid w:val="00E214D2"/>
    <w:rsid w:val="00E440E3"/>
    <w:rsid w:val="00EC472B"/>
    <w:rsid w:val="00F71279"/>
    <w:rsid w:val="00FA6209"/>
    <w:rsid w:val="00FB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38B582"/>
  <w14:defaultImageDpi w14:val="0"/>
  <w15:docId w15:val="{E004A449-FBDE-49CA-BF75-71B4F3543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Arial" w:hAnsi="Arial" w:cs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line="480" w:lineRule="auto"/>
      <w:jc w:val="both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keepLines/>
      <w:spacing w:after="200" w:line="480" w:lineRule="auto"/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keepLines/>
      <w:spacing w:before="240" w:after="80" w:line="240" w:lineRule="auto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color w:val="000000"/>
    </w:rPr>
  </w:style>
  <w:style w:type="paragraph" w:styleId="Title">
    <w:name w:val="Title"/>
    <w:basedOn w:val="Normal"/>
    <w:link w:val="TitleChar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locked/>
    <w:rPr>
      <w:rFonts w:asciiTheme="majorHAnsi" w:eastAsiaTheme="majorEastAsia" w:hAnsiTheme="majorHAnsi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rsid w:val="008E60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E6068"/>
    <w:rPr>
      <w:rFonts w:ascii="Segoe UI" w:hAnsi="Segoe UI" w:cs="Segoe UI"/>
      <w:color w:val="000000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8A69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8A69B2"/>
    <w:rPr>
      <w:rFonts w:ascii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A69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8A69B2"/>
    <w:rPr>
      <w:rFonts w:ascii="Arial" w:hAnsi="Arial" w:cs="Arial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rsid w:val="006E2A6D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E2A6D"/>
    <w:rPr>
      <w:rFonts w:ascii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rsid w:val="006E2A6D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E2A6D"/>
    <w:rPr>
      <w:rFonts w:ascii="Arial" w:hAnsi="Arial" w:cs="Arial"/>
      <w:color w:val="000000"/>
    </w:rPr>
  </w:style>
  <w:style w:type="character" w:styleId="LineNumber">
    <w:name w:val="line number"/>
    <w:basedOn w:val="DefaultParagraphFont"/>
    <w:uiPriority w:val="99"/>
    <w:rsid w:val="00C7088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aperpile.com/c/mOQgXk/Oneu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883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Goetze  Sandra</dc:creator>
  <cp:keywords/>
  <dc:description/>
  <cp:lastModifiedBy>Goetze  Sandra</cp:lastModifiedBy>
  <cp:revision>4</cp:revision>
  <cp:lastPrinted>2024-03-28T10:12:00Z</cp:lastPrinted>
  <dcterms:created xsi:type="dcterms:W3CDTF">2024-03-28T12:23:00Z</dcterms:created>
  <dcterms:modified xsi:type="dcterms:W3CDTF">2024-03-28T19:23:00Z</dcterms:modified>
</cp:coreProperties>
</file>