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3FED3A4F" w:rsidR="00D8098C" w:rsidRPr="00687592" w:rsidRDefault="00687592"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p>
        </w:tc>
        <w:tc>
          <w:tcPr>
            <w:tcW w:w="4320" w:type="dxa"/>
            <w:tcBorders>
              <w:top w:val="single" w:sz="6" w:space="0" w:color="7F7F7F"/>
              <w:bottom w:val="single" w:sz="6" w:space="0" w:color="7F7F7F"/>
            </w:tcBorders>
            <w:shd w:val="clear" w:color="auto" w:fill="EEEEEE"/>
          </w:tcPr>
          <w:p w14:paraId="2F6D1FAF" w14:textId="4F32AFA7" w:rsidR="00D8098C" w:rsidRDefault="00687592" w:rsidP="00426603">
            <w:pPr>
              <w:spacing w:beforeLines="40" w:before="96" w:afterLines="40" w:after="96" w:line="24" w:lineRule="atLeast"/>
              <w:rPr>
                <w:rFonts w:eastAsia="Times New Roman"/>
                <w:sz w:val="18"/>
                <w:szCs w:val="18"/>
                <w:lang w:val="en-GB" w:eastAsia="en-GB"/>
              </w:rPr>
            </w:pPr>
            <w:r w:rsidRPr="000B1623">
              <w:rPr>
                <w:sz w:val="18"/>
                <w:szCs w:val="18"/>
              </w:rPr>
              <w:t xml:space="preserve">this study utilized </w:t>
            </w:r>
            <w:r>
              <w:rPr>
                <w:rFonts w:eastAsiaTheme="minorEastAsia" w:hint="eastAsia"/>
                <w:sz w:val="18"/>
                <w:szCs w:val="18"/>
                <w:lang w:eastAsia="zh-CN"/>
              </w:rPr>
              <w:t>network</w:t>
            </w:r>
            <w:r w:rsidRPr="000B1623">
              <w:rPr>
                <w:sz w:val="18"/>
                <w:szCs w:val="18"/>
              </w:rPr>
              <w:t xml:space="preserve"> Mendelian Randomization (MR) analyses</w:t>
            </w:r>
            <w:r>
              <w:rPr>
                <w:rFonts w:eastAsiaTheme="minorEastAsia" w:hint="eastAsia"/>
                <w:sz w:val="18"/>
                <w:szCs w:val="18"/>
                <w:lang w:eastAsia="zh-CN"/>
              </w:rPr>
              <w:t xml:space="preserve"> (multi-SNP MR, top-SNP MR, </w:t>
            </w:r>
            <w:r w:rsidRPr="00316FD9">
              <w:rPr>
                <w:rFonts w:eastAsia="Times New Roman"/>
                <w:sz w:val="18"/>
                <w:szCs w:val="18"/>
                <w:lang w:val="en-GB" w:eastAsia="en-GB"/>
              </w:rPr>
              <w:t>Bayesian</w:t>
            </w:r>
            <w:r>
              <w:rPr>
                <w:rFonts w:eastAsiaTheme="minorEastAsia" w:hint="eastAsia"/>
                <w:sz w:val="18"/>
                <w:szCs w:val="18"/>
                <w:lang w:eastAsia="zh-CN"/>
              </w:rPr>
              <w:t xml:space="preserve"> MR)</w:t>
            </w:r>
            <w:r w:rsidRPr="000B1623">
              <w:rPr>
                <w:sz w:val="18"/>
                <w:szCs w:val="18"/>
              </w:rPr>
              <w:t xml:space="preserve"> to explore this causal association.</w:t>
            </w: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7A6DC6E9" w14:textId="77777777" w:rsidR="00D8098C" w:rsidRDefault="00D8098C" w:rsidP="00426603">
            <w:pPr>
              <w:spacing w:beforeLines="40" w:before="96" w:afterLines="40" w:after="96" w:line="24" w:lineRule="atLeast"/>
              <w:rPr>
                <w:rFonts w:eastAsia="Cambria"/>
                <w:sz w:val="18"/>
                <w:szCs w:val="18"/>
                <w:lang w:val="en-GB" w:eastAsia="en-US"/>
              </w:rPr>
            </w:pPr>
          </w:p>
        </w:tc>
      </w:tr>
      <w:tr w:rsidR="00687592" w:rsidRPr="00B853C6" w14:paraId="7DB622D8" w14:textId="3921B7E8" w:rsidTr="003D447D">
        <w:tc>
          <w:tcPr>
            <w:tcW w:w="587" w:type="dxa"/>
            <w:shd w:val="clear" w:color="auto" w:fill="EEEEEE"/>
          </w:tcPr>
          <w:p w14:paraId="7DE28D61"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687592" w:rsidRPr="00F0337F" w:rsidRDefault="00687592" w:rsidP="0068759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687592" w:rsidRPr="00F0337F" w:rsidRDefault="00687592" w:rsidP="00687592">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Pr>
                <w:rFonts w:eastAsia="Times New Roman"/>
                <w:sz w:val="18"/>
                <w:szCs w:val="18"/>
                <w:lang w:val="en-GB" w:eastAsia="en-GB"/>
              </w:rPr>
              <w:t>a 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4227EC84"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p>
        </w:tc>
        <w:tc>
          <w:tcPr>
            <w:tcW w:w="4320" w:type="dxa"/>
            <w:shd w:val="clear" w:color="auto" w:fill="EEEEEE"/>
          </w:tcPr>
          <w:p w14:paraId="5D990A22" w14:textId="1CFD72C0" w:rsidR="00687592" w:rsidRDefault="00687592" w:rsidP="00687592">
            <w:pPr>
              <w:spacing w:beforeLines="40" w:before="96" w:afterLines="40" w:after="96" w:line="24" w:lineRule="atLeast"/>
              <w:rPr>
                <w:rFonts w:eastAsia="Times New Roman"/>
                <w:sz w:val="18"/>
                <w:szCs w:val="18"/>
                <w:lang w:val="en-GB" w:eastAsia="en-GB"/>
              </w:rPr>
            </w:pPr>
            <w:r w:rsidRPr="00316FD9">
              <w:rPr>
                <w:sz w:val="18"/>
                <w:szCs w:val="18"/>
              </w:rPr>
              <w:t xml:space="preserve">Osteoarthritis (OA) is a prevalent musculoskeletal disorder causing chronic pain and disability, particularly in older adults. It is a multifactorial disease characterized by joint degeneration, with varying pathophysiological mechanisms across different OA subtypes (knee, hip, spine, hand, etc.). </w:t>
            </w:r>
          </w:p>
        </w:tc>
      </w:tr>
      <w:tr w:rsidR="00687592" w:rsidRPr="00B853C6" w14:paraId="7907A3D3" w14:textId="5AB948A7" w:rsidTr="003D447D">
        <w:tc>
          <w:tcPr>
            <w:tcW w:w="587" w:type="dxa"/>
            <w:tcBorders>
              <w:bottom w:val="single" w:sz="6" w:space="0" w:color="7F7F7F"/>
            </w:tcBorders>
            <w:shd w:val="clear" w:color="auto" w:fill="auto"/>
          </w:tcPr>
          <w:p w14:paraId="4F63B034"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687592" w:rsidRPr="00F0337F" w:rsidRDefault="00687592" w:rsidP="0068759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241C521A"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p>
        </w:tc>
        <w:tc>
          <w:tcPr>
            <w:tcW w:w="4320" w:type="dxa"/>
            <w:tcBorders>
              <w:bottom w:val="single" w:sz="6" w:space="0" w:color="7F7F7F"/>
            </w:tcBorders>
          </w:tcPr>
          <w:p w14:paraId="11250836" w14:textId="4E4911DB" w:rsidR="00687592" w:rsidRDefault="00687592" w:rsidP="00687592">
            <w:pPr>
              <w:spacing w:beforeLines="40" w:before="96" w:afterLines="40" w:after="96" w:line="24" w:lineRule="atLeast"/>
              <w:rPr>
                <w:rFonts w:eastAsia="Times New Roman"/>
                <w:sz w:val="18"/>
                <w:szCs w:val="18"/>
                <w:lang w:val="en-GB" w:eastAsia="en-GB"/>
              </w:rPr>
            </w:pPr>
            <w:r w:rsidRPr="00316FD9">
              <w:rPr>
                <w:sz w:val="18"/>
                <w:szCs w:val="18"/>
              </w:rPr>
              <w:t>This study aimed to explore the genetic mechanisms underlying various OA subtypes using a novel approach combining protein level ratios (</w:t>
            </w:r>
            <w:proofErr w:type="spellStart"/>
            <w:r w:rsidRPr="00316FD9">
              <w:rPr>
                <w:sz w:val="18"/>
                <w:szCs w:val="18"/>
              </w:rPr>
              <w:t>rQTLs</w:t>
            </w:r>
            <w:proofErr w:type="spellEnd"/>
            <w:r w:rsidRPr="00316FD9">
              <w:rPr>
                <w:sz w:val="18"/>
                <w:szCs w:val="18"/>
              </w:rPr>
              <w:t>) with Mendelian Randomization (MR) analysis.</w:t>
            </w:r>
          </w:p>
        </w:tc>
      </w:tr>
      <w:tr w:rsidR="00687592" w:rsidRPr="00B853C6" w14:paraId="59599383" w14:textId="2880B554" w:rsidTr="003D447D">
        <w:tc>
          <w:tcPr>
            <w:tcW w:w="587" w:type="dxa"/>
            <w:tcBorders>
              <w:top w:val="single" w:sz="6" w:space="0" w:color="7F7F7F"/>
            </w:tcBorders>
            <w:shd w:val="clear" w:color="auto" w:fill="EEEEEE"/>
          </w:tcPr>
          <w:p w14:paraId="3524D6D4"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687592" w:rsidRPr="00F0337F" w:rsidRDefault="00687592" w:rsidP="0068759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77777777" w:rsidR="00687592" w:rsidRDefault="00687592" w:rsidP="00687592">
            <w:pPr>
              <w:spacing w:beforeLines="40" w:before="96" w:afterLines="40" w:after="96" w:line="24" w:lineRule="atLeast"/>
              <w:rPr>
                <w:rFonts w:eastAsia="Cambria"/>
                <w:sz w:val="18"/>
                <w:szCs w:val="18"/>
                <w:lang w:val="en-GB" w:eastAsia="en-US"/>
              </w:rPr>
            </w:pPr>
          </w:p>
        </w:tc>
      </w:tr>
      <w:tr w:rsidR="00687592" w:rsidRPr="00B853C6" w14:paraId="6440155E" w14:textId="16610A1F" w:rsidTr="003D447D">
        <w:tc>
          <w:tcPr>
            <w:tcW w:w="587" w:type="dxa"/>
            <w:shd w:val="clear" w:color="auto" w:fill="auto"/>
          </w:tcPr>
          <w:p w14:paraId="5C7CF349"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687592" w:rsidRPr="00F0337F" w:rsidRDefault="00687592" w:rsidP="0068759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77777777" w:rsidR="00687592" w:rsidRPr="00A1236D" w:rsidRDefault="00687592" w:rsidP="00687592">
            <w:pPr>
              <w:spacing w:beforeLines="40" w:before="96" w:afterLines="40" w:after="96" w:line="24" w:lineRule="atLeast"/>
              <w:rPr>
                <w:rFonts w:eastAsia="Times New Roman"/>
                <w:sz w:val="18"/>
                <w:szCs w:val="18"/>
                <w:lang w:val="en-GB" w:eastAsia="en-GB"/>
              </w:rPr>
            </w:pPr>
          </w:p>
        </w:tc>
        <w:tc>
          <w:tcPr>
            <w:tcW w:w="4320" w:type="dxa"/>
          </w:tcPr>
          <w:p w14:paraId="23CE0AC6" w14:textId="77777777" w:rsidR="00687592" w:rsidRDefault="00687592" w:rsidP="00687592">
            <w:pPr>
              <w:spacing w:beforeLines="40" w:before="96" w:afterLines="40" w:after="96" w:line="24" w:lineRule="atLeast"/>
              <w:rPr>
                <w:rFonts w:eastAsia="Times New Roman"/>
                <w:sz w:val="18"/>
                <w:szCs w:val="18"/>
                <w:lang w:val="en-GB" w:eastAsia="en-GB"/>
              </w:rPr>
            </w:pPr>
          </w:p>
        </w:tc>
      </w:tr>
      <w:tr w:rsidR="00687592" w:rsidRPr="00B853C6" w14:paraId="47D5AE21" w14:textId="3CA8D4AF" w:rsidTr="003D447D">
        <w:tc>
          <w:tcPr>
            <w:tcW w:w="587" w:type="dxa"/>
            <w:shd w:val="clear" w:color="auto" w:fill="EEEEEE"/>
          </w:tcPr>
          <w:p w14:paraId="0980B688"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146683D2" w:rsidR="00687592" w:rsidRPr="00687592" w:rsidRDefault="00687592" w:rsidP="00687592">
            <w:pPr>
              <w:spacing w:beforeLines="40" w:before="96" w:afterLines="40" w:after="96" w:line="24" w:lineRule="atLeast"/>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2-3</w:t>
            </w:r>
          </w:p>
        </w:tc>
        <w:tc>
          <w:tcPr>
            <w:tcW w:w="4320" w:type="dxa"/>
            <w:shd w:val="clear" w:color="auto" w:fill="EEEEEE"/>
          </w:tcPr>
          <w:p w14:paraId="33F4171D" w14:textId="0302EAD6" w:rsidR="00687592" w:rsidRDefault="00687592" w:rsidP="00687592">
            <w:pPr>
              <w:spacing w:beforeLines="40" w:before="96" w:afterLines="40" w:after="96" w:line="24" w:lineRule="atLeast"/>
              <w:rPr>
                <w:rFonts w:eastAsia="Times New Roman"/>
                <w:sz w:val="18"/>
                <w:szCs w:val="18"/>
                <w:shd w:val="clear" w:color="auto" w:fill="FFFFFF"/>
                <w:lang w:val="en-GB" w:eastAsia="en-GB"/>
              </w:rPr>
            </w:pPr>
            <w:r w:rsidRPr="00316FD9">
              <w:rPr>
                <w:rFonts w:eastAsia="Times New Roman"/>
                <w:sz w:val="18"/>
                <w:szCs w:val="18"/>
                <w:lang w:val="en-GB" w:eastAsia="en-GB"/>
              </w:rPr>
              <w:t xml:space="preserve">We utilized publicly available Genome-Wide Association Study (GWAS) datasets on </w:t>
            </w:r>
            <w:proofErr w:type="spellStart"/>
            <w:r w:rsidRPr="00316FD9">
              <w:rPr>
                <w:rFonts w:eastAsia="Times New Roman"/>
                <w:sz w:val="18"/>
                <w:szCs w:val="18"/>
                <w:lang w:val="en-GB" w:eastAsia="en-GB"/>
              </w:rPr>
              <w:t>rQTLs</w:t>
            </w:r>
            <w:proofErr w:type="spellEnd"/>
            <w:r w:rsidRPr="00316FD9">
              <w:rPr>
                <w:rFonts w:eastAsia="Times New Roman"/>
                <w:sz w:val="18"/>
                <w:szCs w:val="18"/>
                <w:lang w:val="en-GB" w:eastAsia="en-GB"/>
              </w:rPr>
              <w:t xml:space="preserve"> as exposure variables and OA at various anatomical sites as outcome variables. The study involved conventional </w:t>
            </w:r>
            <w:r w:rsidRPr="00316FD9">
              <w:rPr>
                <w:rFonts w:eastAsia="Times New Roman" w:hint="eastAsia"/>
                <w:sz w:val="18"/>
                <w:szCs w:val="18"/>
                <w:lang w:val="en-GB" w:eastAsia="en-GB"/>
              </w:rPr>
              <w:t>multi-related-SNP</w:t>
            </w:r>
            <w:r w:rsidRPr="00316FD9">
              <w:rPr>
                <w:rFonts w:eastAsia="Times New Roman"/>
                <w:sz w:val="18"/>
                <w:szCs w:val="18"/>
                <w:lang w:val="en-GB" w:eastAsia="en-GB"/>
              </w:rPr>
              <w:t xml:space="preserve"> MR analyses, </w:t>
            </w:r>
            <w:r w:rsidRPr="00316FD9">
              <w:rPr>
                <w:rFonts w:eastAsia="Times New Roman" w:hint="eastAsia"/>
                <w:sz w:val="18"/>
                <w:szCs w:val="18"/>
                <w:lang w:val="en-GB" w:eastAsia="en-GB"/>
              </w:rPr>
              <w:t>Top-related-SNP</w:t>
            </w:r>
            <w:r w:rsidRPr="00316FD9">
              <w:rPr>
                <w:rFonts w:eastAsia="Times New Roman"/>
                <w:sz w:val="18"/>
                <w:szCs w:val="18"/>
                <w:lang w:val="en-GB" w:eastAsia="en-GB"/>
              </w:rPr>
              <w:t xml:space="preserve"> MR analysis, and advanced Bayesian MR analyses to validate findings. Sensitivity analyses were conducted to further validate th</w:t>
            </w:r>
            <w:r w:rsidRPr="00316FD9">
              <w:rPr>
                <w:rFonts w:eastAsia="Times New Roman" w:hint="eastAsia"/>
                <w:sz w:val="18"/>
                <w:szCs w:val="18"/>
                <w:lang w:val="en-GB" w:eastAsia="en-GB"/>
              </w:rPr>
              <w:t xml:space="preserve">e multi-related-SNP </w:t>
            </w:r>
            <w:r w:rsidRPr="00316FD9">
              <w:rPr>
                <w:rFonts w:eastAsia="Times New Roman"/>
                <w:sz w:val="18"/>
                <w:szCs w:val="18"/>
                <w:lang w:val="en-GB" w:eastAsia="en-GB"/>
              </w:rPr>
              <w:t>MR associations.</w:t>
            </w:r>
          </w:p>
        </w:tc>
      </w:tr>
      <w:tr w:rsidR="00687592" w:rsidRPr="00B853C6" w14:paraId="376A6F82" w14:textId="43693FDC" w:rsidTr="003D447D">
        <w:tc>
          <w:tcPr>
            <w:tcW w:w="587" w:type="dxa"/>
            <w:shd w:val="clear" w:color="auto" w:fill="auto"/>
          </w:tcPr>
          <w:p w14:paraId="6B85F41D"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687592" w:rsidRPr="00A1236D" w:rsidRDefault="00687592" w:rsidP="00687592">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094BD6C3" w:rsidR="00687592" w:rsidRPr="00687592" w:rsidRDefault="00687592" w:rsidP="00687592">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3</w:t>
            </w:r>
          </w:p>
        </w:tc>
        <w:tc>
          <w:tcPr>
            <w:tcW w:w="4320" w:type="dxa"/>
          </w:tcPr>
          <w:p w14:paraId="37C3B4C3" w14:textId="016B37E4" w:rsidR="00687592" w:rsidRDefault="00687592" w:rsidP="00687592">
            <w:pPr>
              <w:spacing w:beforeLines="40" w:before="96" w:afterLines="40" w:after="96" w:line="24" w:lineRule="atLeast"/>
              <w:textAlignment w:val="baseline"/>
              <w:rPr>
                <w:rFonts w:eastAsia="Times New Roman"/>
                <w:sz w:val="18"/>
                <w:szCs w:val="18"/>
                <w:shd w:val="clear" w:color="auto" w:fill="FFFFFF"/>
                <w:lang w:val="en-GB" w:eastAsia="en-GB"/>
              </w:rPr>
            </w:pPr>
            <w:r w:rsidRPr="00316FD9">
              <w:rPr>
                <w:rFonts w:eastAsia="Times New Roman"/>
                <w:color w:val="000000"/>
                <w:sz w:val="18"/>
                <w:szCs w:val="18"/>
              </w:rPr>
              <w:t xml:space="preserve">The </w:t>
            </w:r>
            <w:proofErr w:type="spellStart"/>
            <w:r w:rsidRPr="00316FD9">
              <w:rPr>
                <w:rFonts w:eastAsia="Times New Roman"/>
                <w:color w:val="000000"/>
                <w:sz w:val="18"/>
                <w:szCs w:val="18"/>
              </w:rPr>
              <w:t>rQTLs</w:t>
            </w:r>
            <w:proofErr w:type="spellEnd"/>
            <w:r w:rsidRPr="00316FD9">
              <w:rPr>
                <w:rFonts w:eastAsia="Times New Roman"/>
                <w:color w:val="000000"/>
                <w:sz w:val="18"/>
                <w:szCs w:val="18"/>
              </w:rPr>
              <w:t xml:space="preserve"> used as exposures in this study were derived from the work of Suhre K. et al., who measured 1,463 proteins using the </w:t>
            </w:r>
            <w:proofErr w:type="spellStart"/>
            <w:r w:rsidRPr="00316FD9">
              <w:rPr>
                <w:rFonts w:eastAsia="Times New Roman"/>
                <w:color w:val="000000"/>
                <w:sz w:val="18"/>
                <w:szCs w:val="18"/>
              </w:rPr>
              <w:t>Olink</w:t>
            </w:r>
            <w:proofErr w:type="spellEnd"/>
            <w:r w:rsidRPr="00316FD9">
              <w:rPr>
                <w:rFonts w:eastAsia="Times New Roman"/>
                <w:color w:val="000000"/>
                <w:sz w:val="18"/>
                <w:szCs w:val="18"/>
              </w:rPr>
              <w:t xml:space="preserve"> proteomics technology in 54,000 samples from the UK Biobank</w:t>
            </w:r>
            <w:r w:rsidRPr="00316FD9">
              <w:rPr>
                <w:rFonts w:eastAsia="Times New Roman" w:hint="eastAsia"/>
                <w:color w:val="000000"/>
                <w:sz w:val="18"/>
                <w:szCs w:val="18"/>
              </w:rPr>
              <w:t xml:space="preserve">. </w:t>
            </w:r>
            <w:r w:rsidRPr="00316FD9">
              <w:rPr>
                <w:rFonts w:eastAsia="Times New Roman"/>
                <w:color w:val="000000"/>
                <w:sz w:val="18"/>
                <w:szCs w:val="18"/>
              </w:rPr>
              <w:t xml:space="preserve">The GWAS data for OA at various anatomical sites, used as outcomes, were sourced </w:t>
            </w:r>
            <w:r w:rsidRPr="00316FD9">
              <w:rPr>
                <w:rFonts w:eastAsia="Times New Roman"/>
                <w:color w:val="000000"/>
                <w:sz w:val="18"/>
                <w:szCs w:val="18"/>
              </w:rPr>
              <w:lastRenderedPageBreak/>
              <w:t>from publicly available large-scale meta-analyses of GWAS conducted by the Genetics of Osteoarthritis (GO) consortium</w:t>
            </w:r>
            <w:r w:rsidRPr="00316FD9">
              <w:rPr>
                <w:rFonts w:eastAsia="Times New Roman" w:hint="eastAsia"/>
                <w:color w:val="000000"/>
                <w:sz w:val="18"/>
                <w:szCs w:val="18"/>
              </w:rPr>
              <w:t xml:space="preserve">. </w:t>
            </w:r>
            <w:r w:rsidRPr="00316FD9">
              <w:rPr>
                <w:rFonts w:eastAsia="Times New Roman"/>
                <w:color w:val="000000"/>
                <w:sz w:val="18"/>
                <w:szCs w:val="18"/>
              </w:rPr>
              <w:t>This comprehensive dataset integrates data from nine different populations, encompassing up to 826,690 individuals, including 177,517 OA patients</w:t>
            </w:r>
            <w:r w:rsidRPr="00316FD9">
              <w:rPr>
                <w:rFonts w:eastAsia="Times New Roman" w:hint="eastAsia"/>
                <w:color w:val="000000"/>
                <w:sz w:val="18"/>
                <w:szCs w:val="18"/>
              </w:rPr>
              <w:t>.</w:t>
            </w:r>
          </w:p>
        </w:tc>
      </w:tr>
      <w:tr w:rsidR="00687592" w:rsidRPr="00B853C6" w14:paraId="04B065C7" w14:textId="72F11B68" w:rsidTr="003D447D">
        <w:tc>
          <w:tcPr>
            <w:tcW w:w="587" w:type="dxa"/>
            <w:shd w:val="clear" w:color="auto" w:fill="EEEEEE"/>
          </w:tcPr>
          <w:p w14:paraId="09448E25"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00FDD379"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4320" w:type="dxa"/>
            <w:shd w:val="clear" w:color="auto" w:fill="EEEEEE"/>
          </w:tcPr>
          <w:p w14:paraId="23A8BC56" w14:textId="77777777" w:rsidR="00687592" w:rsidRPr="00920F18" w:rsidRDefault="00687592" w:rsidP="00687592">
            <w:pPr>
              <w:spacing w:beforeLines="50" w:before="120" w:afterLines="50" w:after="120"/>
              <w:ind w:leftChars="12" w:left="26" w:firstLineChars="100" w:firstLine="180"/>
              <w:rPr>
                <w:rFonts w:eastAsia="Times New Roman"/>
                <w:sz w:val="18"/>
                <w:szCs w:val="18"/>
                <w:lang w:val="en-GB" w:eastAsia="en-GB"/>
              </w:rPr>
            </w:pPr>
            <w:r w:rsidRPr="00920F18">
              <w:rPr>
                <w:rFonts w:eastAsia="Times New Roman"/>
                <w:sz w:val="18"/>
                <w:szCs w:val="18"/>
                <w:lang w:val="en-GB" w:eastAsia="en-GB"/>
              </w:rPr>
              <w:t xml:space="preserve">To ensure </w:t>
            </w:r>
            <w:proofErr w:type="gramStart"/>
            <w:r w:rsidRPr="00920F18">
              <w:rPr>
                <w:rFonts w:eastAsia="Times New Roman"/>
                <w:sz w:val="18"/>
                <w:szCs w:val="18"/>
                <w:lang w:val="en-GB" w:eastAsia="en-GB"/>
              </w:rPr>
              <w:t>a sufficient number of</w:t>
            </w:r>
            <w:proofErr w:type="gramEnd"/>
            <w:r w:rsidRPr="00920F18">
              <w:rPr>
                <w:rFonts w:eastAsia="Times New Roman"/>
                <w:sz w:val="18"/>
                <w:szCs w:val="18"/>
                <w:lang w:val="en-GB" w:eastAsia="en-GB"/>
              </w:rPr>
              <w:t xml:space="preserve"> SNPs for the analysis, we established a significance threshold of P&lt;5e-6 for the selection of </w:t>
            </w:r>
            <w:proofErr w:type="spellStart"/>
            <w:r w:rsidRPr="00920F18">
              <w:rPr>
                <w:rFonts w:eastAsia="Times New Roman"/>
                <w:sz w:val="18"/>
                <w:szCs w:val="18"/>
                <w:lang w:val="en-GB" w:eastAsia="en-GB"/>
              </w:rPr>
              <w:t>rQTL</w:t>
            </w:r>
            <w:proofErr w:type="spellEnd"/>
            <w:r w:rsidRPr="00920F18">
              <w:rPr>
                <w:rFonts w:eastAsia="Times New Roman"/>
                <w:sz w:val="18"/>
                <w:szCs w:val="18"/>
                <w:lang w:val="en-GB" w:eastAsia="en-GB"/>
              </w:rPr>
              <w:t xml:space="preserve"> instrumental variables. Additionally, we applied SNP clumping to address linkage disequilibrium (LD), using an LD distance of 10,000 kb and a threshold of 0.0001 to further exclude correlated SNPs and minimize potential analytical biases.</w:t>
            </w:r>
          </w:p>
          <w:p w14:paraId="26B556E6" w14:textId="77777777" w:rsidR="00687592" w:rsidRDefault="00687592" w:rsidP="00687592">
            <w:pPr>
              <w:spacing w:beforeLines="40" w:before="96" w:afterLines="40" w:after="96" w:line="24" w:lineRule="atLeast"/>
              <w:rPr>
                <w:rFonts w:eastAsia="Times New Roman"/>
                <w:sz w:val="18"/>
                <w:szCs w:val="18"/>
                <w:lang w:val="en-GB" w:eastAsia="en-GB"/>
              </w:rPr>
            </w:pPr>
          </w:p>
        </w:tc>
      </w:tr>
      <w:tr w:rsidR="00687592" w:rsidRPr="00B853C6" w14:paraId="215DDE8E" w14:textId="5C8C984B" w:rsidTr="003D447D">
        <w:tc>
          <w:tcPr>
            <w:tcW w:w="587" w:type="dxa"/>
            <w:shd w:val="clear" w:color="auto" w:fill="auto"/>
          </w:tcPr>
          <w:p w14:paraId="7E3D460D"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687592" w:rsidRPr="00A1236D" w:rsidRDefault="00687592" w:rsidP="00687592">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73D35FE5" w:rsidR="00687592" w:rsidRPr="00687592" w:rsidRDefault="00687592" w:rsidP="00687592">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3, 9</w:t>
            </w:r>
          </w:p>
        </w:tc>
        <w:tc>
          <w:tcPr>
            <w:tcW w:w="4320" w:type="dxa"/>
          </w:tcPr>
          <w:p w14:paraId="18BB4B57" w14:textId="1EC4A53F" w:rsidR="00687592" w:rsidRDefault="00687592" w:rsidP="00687592">
            <w:pPr>
              <w:spacing w:beforeLines="40" w:before="96" w:afterLines="40" w:after="96" w:line="24" w:lineRule="atLeast"/>
              <w:textAlignment w:val="baseline"/>
              <w:rPr>
                <w:rFonts w:eastAsia="Times New Roman"/>
                <w:sz w:val="18"/>
                <w:szCs w:val="18"/>
                <w:shd w:val="clear" w:color="auto" w:fill="FFFFFF"/>
                <w:lang w:val="en-GB" w:eastAsia="en-GB"/>
              </w:rPr>
            </w:pPr>
            <w:r w:rsidRPr="008F72AF">
              <w:rPr>
                <w:rFonts w:eastAsia="Times New Roman"/>
                <w:sz w:val="18"/>
                <w:szCs w:val="18"/>
                <w:shd w:val="clear" w:color="auto" w:fill="FFFFFF"/>
                <w:lang w:val="en-US" w:eastAsia="en-GB"/>
              </w:rPr>
              <w:t>In the methods section, we provide the specific location where the data can be accessed. The detailed assessments and disease diagnostic criteria can be obtained via email or other contact methods.</w:t>
            </w:r>
          </w:p>
        </w:tc>
      </w:tr>
      <w:tr w:rsidR="00687592" w:rsidRPr="00B853C6" w14:paraId="69A6C8B1" w14:textId="39D94CE4" w:rsidTr="003D447D">
        <w:tc>
          <w:tcPr>
            <w:tcW w:w="587" w:type="dxa"/>
            <w:shd w:val="clear" w:color="auto" w:fill="EEEEEE"/>
          </w:tcPr>
          <w:p w14:paraId="292FBB97"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687592" w:rsidRPr="00A1236D" w:rsidRDefault="00687592" w:rsidP="00687592">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75759EAB" w:rsidR="00687592" w:rsidRPr="00687592" w:rsidRDefault="00687592" w:rsidP="00687592">
            <w:pPr>
              <w:spacing w:beforeLines="40" w:before="96" w:afterLines="40" w:after="96" w:line="24" w:lineRule="atLeast"/>
              <w:textAlignment w:val="baseline"/>
              <w:rPr>
                <w:rFonts w:eastAsiaTheme="minorEastAsia" w:hint="eastAsia"/>
                <w:sz w:val="18"/>
                <w:szCs w:val="18"/>
                <w:shd w:val="clear" w:color="auto" w:fill="FFFFFF"/>
                <w:lang w:val="en-GB" w:eastAsia="zh-CN"/>
              </w:rPr>
            </w:pPr>
          </w:p>
        </w:tc>
        <w:tc>
          <w:tcPr>
            <w:tcW w:w="4320" w:type="dxa"/>
            <w:shd w:val="clear" w:color="auto" w:fill="EEEEEE"/>
          </w:tcPr>
          <w:p w14:paraId="676E9982" w14:textId="77777777" w:rsidR="00687592" w:rsidRPr="004A50AB" w:rsidRDefault="00687592" w:rsidP="00687592">
            <w:pPr>
              <w:spacing w:beforeLines="50" w:before="120" w:afterLines="50" w:after="120" w:line="360" w:lineRule="auto"/>
              <w:rPr>
                <w:rFonts w:eastAsia="Times New Roman"/>
                <w:sz w:val="18"/>
                <w:szCs w:val="18"/>
                <w:lang w:val="en-GB" w:eastAsia="en-GB"/>
              </w:rPr>
            </w:pPr>
            <w:bookmarkStart w:id="0" w:name="_Hlk191213542"/>
            <w:r w:rsidRPr="004A50AB">
              <w:rPr>
                <w:rFonts w:eastAsia="Times New Roman"/>
                <w:sz w:val="18"/>
                <w:szCs w:val="18"/>
                <w:lang w:val="en-GB" w:eastAsia="en-GB"/>
              </w:rPr>
              <w:t>Each participating cohort had previously obtained ethical approvals, so no additional ethical approvals or informed consents were required</w:t>
            </w:r>
            <w:r w:rsidRPr="004A50AB">
              <w:rPr>
                <w:rFonts w:eastAsia="Times New Roman" w:hint="eastAsia"/>
                <w:sz w:val="18"/>
                <w:szCs w:val="18"/>
                <w:lang w:val="en-GB" w:eastAsia="en-GB"/>
              </w:rPr>
              <w:t>.</w:t>
            </w:r>
            <w:bookmarkEnd w:id="0"/>
          </w:p>
          <w:p w14:paraId="6067A95B" w14:textId="77777777" w:rsidR="00687592" w:rsidRDefault="00687592" w:rsidP="00687592">
            <w:pPr>
              <w:spacing w:beforeLines="40" w:before="96" w:afterLines="40" w:after="96" w:line="24" w:lineRule="atLeast"/>
              <w:textAlignment w:val="baseline"/>
              <w:rPr>
                <w:rFonts w:eastAsia="Times New Roman"/>
                <w:sz w:val="18"/>
                <w:szCs w:val="18"/>
                <w:shd w:val="clear" w:color="auto" w:fill="FFFFFF"/>
                <w:lang w:val="en-GB" w:eastAsia="en-GB"/>
              </w:rPr>
            </w:pPr>
          </w:p>
        </w:tc>
      </w:tr>
      <w:tr w:rsidR="00687592" w:rsidRPr="00B853C6" w14:paraId="23EA53EC" w14:textId="1D3E4E77" w:rsidTr="003D447D">
        <w:tc>
          <w:tcPr>
            <w:tcW w:w="587" w:type="dxa"/>
            <w:shd w:val="clear" w:color="auto" w:fill="auto"/>
          </w:tcPr>
          <w:p w14:paraId="3E6E0D63"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687592" w:rsidRPr="00F0337F" w:rsidRDefault="00687592" w:rsidP="0068759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687592" w:rsidRPr="00F0337F" w:rsidRDefault="00687592" w:rsidP="00687592">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687592" w:rsidRPr="00A1236D" w:rsidRDefault="00687592" w:rsidP="0068759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18108DBE"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4320" w:type="dxa"/>
          </w:tcPr>
          <w:p w14:paraId="7A54DE1B" w14:textId="247A4497" w:rsidR="00687592" w:rsidRDefault="00687592" w:rsidP="00687592">
            <w:pPr>
              <w:spacing w:beforeLines="40" w:before="96" w:afterLines="40" w:after="96" w:line="24" w:lineRule="atLeast"/>
              <w:rPr>
                <w:rFonts w:eastAsia="Times New Roman"/>
                <w:sz w:val="18"/>
                <w:szCs w:val="18"/>
                <w:lang w:val="en-GB" w:eastAsia="en-GB"/>
              </w:rPr>
            </w:pPr>
            <w:r w:rsidRPr="004A50AB">
              <w:rPr>
                <w:rFonts w:eastAsia="Times New Roman"/>
                <w:sz w:val="18"/>
                <w:szCs w:val="18"/>
                <w:lang w:val="en-GB" w:eastAsia="en-GB"/>
              </w:rPr>
              <w:t>The selection of these instrumental variables had to meet three key assumptions: (1) the SNPs must be strongly associated with the exposure; (2) the SNPs must not be linked to any confounding</w:t>
            </w:r>
            <w:r>
              <w:rPr>
                <w:rFonts w:eastAsiaTheme="minorEastAsia" w:hint="eastAsia"/>
                <w:sz w:val="18"/>
                <w:szCs w:val="18"/>
                <w:lang w:val="en-GB" w:eastAsia="zh-CN"/>
              </w:rPr>
              <w:t>.</w:t>
            </w:r>
            <w:r w:rsidRPr="004A50AB">
              <w:rPr>
                <w:rFonts w:eastAsia="Times New Roman"/>
                <w:sz w:val="18"/>
                <w:szCs w:val="18"/>
                <w:lang w:val="en-GB" w:eastAsia="en-GB"/>
              </w:rPr>
              <w:t xml:space="preserve"> factors. (3) the SNPs should influence the outcome solely through the exposure</w:t>
            </w:r>
          </w:p>
        </w:tc>
      </w:tr>
      <w:tr w:rsidR="00687592" w:rsidRPr="00B853C6" w14:paraId="6209F8C8" w14:textId="78A53B40" w:rsidTr="003D447D">
        <w:tc>
          <w:tcPr>
            <w:tcW w:w="587" w:type="dxa"/>
            <w:shd w:val="clear" w:color="auto" w:fill="EEEEEE"/>
          </w:tcPr>
          <w:p w14:paraId="6FA239C8"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687592" w:rsidRPr="00F0337F" w:rsidRDefault="00687592" w:rsidP="0068759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77777777" w:rsidR="00687592" w:rsidRPr="00A1236D" w:rsidRDefault="00687592" w:rsidP="00687592">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5DF0C4B" w14:textId="77777777" w:rsidR="00687592" w:rsidRDefault="00687592" w:rsidP="00687592">
            <w:pPr>
              <w:spacing w:beforeLines="40" w:before="96" w:afterLines="40" w:after="96" w:line="24" w:lineRule="atLeast"/>
              <w:rPr>
                <w:rFonts w:eastAsia="Times New Roman"/>
                <w:sz w:val="18"/>
                <w:szCs w:val="18"/>
                <w:lang w:val="en-GB" w:eastAsia="en-GB"/>
              </w:rPr>
            </w:pPr>
          </w:p>
        </w:tc>
      </w:tr>
      <w:tr w:rsidR="00687592" w:rsidRPr="00B853C6" w14:paraId="4346E621" w14:textId="11B8B572" w:rsidTr="003D447D">
        <w:tc>
          <w:tcPr>
            <w:tcW w:w="587" w:type="dxa"/>
            <w:shd w:val="clear" w:color="auto" w:fill="auto"/>
          </w:tcPr>
          <w:p w14:paraId="339A016D"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77777777" w:rsidR="00687592" w:rsidRPr="00A1236D" w:rsidRDefault="00687592" w:rsidP="00687592">
            <w:pPr>
              <w:spacing w:beforeLines="40" w:before="96" w:afterLines="40" w:after="96" w:line="24" w:lineRule="atLeast"/>
              <w:rPr>
                <w:rFonts w:eastAsia="Times New Roman"/>
                <w:sz w:val="18"/>
                <w:szCs w:val="18"/>
                <w:lang w:val="en-GB" w:eastAsia="en-GB"/>
              </w:rPr>
            </w:pPr>
          </w:p>
        </w:tc>
        <w:tc>
          <w:tcPr>
            <w:tcW w:w="4320" w:type="dxa"/>
          </w:tcPr>
          <w:p w14:paraId="76159846" w14:textId="4FC02A10" w:rsidR="00687592" w:rsidRDefault="00687592" w:rsidP="00687592">
            <w:pPr>
              <w:spacing w:beforeLines="40" w:before="96" w:afterLines="40" w:after="96" w:line="24" w:lineRule="atLeast"/>
              <w:rPr>
                <w:rFonts w:eastAsia="Times New Roman"/>
                <w:sz w:val="18"/>
                <w:szCs w:val="18"/>
                <w:lang w:val="en-GB" w:eastAsia="en-GB"/>
              </w:rPr>
            </w:pPr>
            <w:r w:rsidRPr="004A50AB">
              <w:rPr>
                <w:rFonts w:eastAsia="Times New Roman"/>
                <w:sz w:val="18"/>
                <w:szCs w:val="18"/>
                <w:lang w:eastAsia="en-GB"/>
              </w:rPr>
              <w:t>This research does not involve any transformations of quantitative variables</w:t>
            </w:r>
          </w:p>
        </w:tc>
      </w:tr>
      <w:tr w:rsidR="00687592" w:rsidRPr="00B853C6" w14:paraId="642A4D4B" w14:textId="4880F3BA" w:rsidTr="003D447D">
        <w:tc>
          <w:tcPr>
            <w:tcW w:w="587" w:type="dxa"/>
            <w:shd w:val="clear" w:color="auto" w:fill="EEEEEE"/>
          </w:tcPr>
          <w:p w14:paraId="11F7484C"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1A699DAC"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3,4</w:t>
            </w:r>
          </w:p>
        </w:tc>
        <w:tc>
          <w:tcPr>
            <w:tcW w:w="4320" w:type="dxa"/>
            <w:shd w:val="clear" w:color="auto" w:fill="EEEEEE"/>
          </w:tcPr>
          <w:p w14:paraId="599D3DAC" w14:textId="77777777" w:rsidR="00687592" w:rsidRPr="00B46FF7" w:rsidRDefault="00687592" w:rsidP="00687592">
            <w:pPr>
              <w:spacing w:beforeLines="40" w:before="96" w:afterLines="40" w:after="96" w:line="24" w:lineRule="atLeast"/>
              <w:rPr>
                <w:rFonts w:eastAsia="Times New Roman"/>
                <w:sz w:val="18"/>
                <w:szCs w:val="18"/>
                <w:lang w:val="en-GB" w:eastAsia="en-GB"/>
              </w:rPr>
            </w:pPr>
            <w:r w:rsidRPr="00B46FF7">
              <w:rPr>
                <w:rFonts w:eastAsia="Times New Roman"/>
                <w:sz w:val="18"/>
                <w:szCs w:val="18"/>
                <w:lang w:val="en-GB" w:eastAsia="en-GB"/>
              </w:rPr>
              <w:t xml:space="preserve">In the primary methodology, we employed multi-SNP Mendelian randomization (MR) analysis, Wald </w:t>
            </w:r>
            <w:r w:rsidRPr="00B46FF7">
              <w:rPr>
                <w:rFonts w:eastAsia="Times New Roman"/>
                <w:sz w:val="18"/>
                <w:szCs w:val="18"/>
                <w:lang w:val="en-GB" w:eastAsia="en-GB"/>
              </w:rPr>
              <w:lastRenderedPageBreak/>
              <w:t>ratio MR analysis for top SNPs, and Bayesian MR analysis in a network-based mutual validation framework. To further confirm our findings and ensure the robustness of the results, we conducted extensive sensitivity analyses to assess the reliability and stability of the positive associations.</w:t>
            </w:r>
          </w:p>
          <w:p w14:paraId="1612F89F" w14:textId="0053E31A" w:rsidR="00687592" w:rsidRDefault="00687592" w:rsidP="00687592">
            <w:pPr>
              <w:spacing w:beforeLines="40" w:before="96" w:afterLines="40" w:after="96" w:line="24" w:lineRule="atLeast"/>
              <w:rPr>
                <w:rFonts w:eastAsia="Times New Roman"/>
                <w:sz w:val="18"/>
                <w:szCs w:val="18"/>
                <w:lang w:val="en-GB" w:eastAsia="en-GB"/>
              </w:rPr>
            </w:pPr>
            <w:r w:rsidRPr="00B46FF7">
              <w:rPr>
                <w:rFonts w:eastAsia="Times New Roman"/>
                <w:sz w:val="18"/>
                <w:szCs w:val="18"/>
                <w:lang w:val="en-GB" w:eastAsia="en-GB"/>
              </w:rPr>
              <w:t>Specifically, we utilized Cochran’s Q statistic in MR-IVW analysis and Rucker’s Q statistic in MR-Egger analysis to evaluate the presence of heterogeneity among instrumental variables. Additionally, leave-one-out analysis and funnel plot analysis were performed to further validate our findings and assess potential bias.</w:t>
            </w:r>
          </w:p>
        </w:tc>
      </w:tr>
      <w:tr w:rsidR="00687592" w:rsidRPr="00B853C6" w14:paraId="70378831" w14:textId="0868B0A4" w:rsidTr="003D447D">
        <w:tc>
          <w:tcPr>
            <w:tcW w:w="587" w:type="dxa"/>
            <w:shd w:val="clear" w:color="auto" w:fill="auto"/>
          </w:tcPr>
          <w:p w14:paraId="45E41495"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241083AC"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4320" w:type="dxa"/>
          </w:tcPr>
          <w:p w14:paraId="334D44EB" w14:textId="68FC621C" w:rsidR="00687592" w:rsidRDefault="00687592" w:rsidP="00687592">
            <w:pPr>
              <w:spacing w:beforeLines="40" w:before="96" w:afterLines="40" w:after="96" w:line="24" w:lineRule="atLeast"/>
              <w:rPr>
                <w:rFonts w:eastAsia="Times New Roman"/>
                <w:sz w:val="18"/>
                <w:szCs w:val="18"/>
                <w:lang w:val="en-GB" w:eastAsia="en-GB"/>
              </w:rPr>
            </w:pPr>
            <w:r w:rsidRPr="00B46FF7">
              <w:rPr>
                <w:rFonts w:eastAsia="Times New Roman"/>
                <w:sz w:val="18"/>
                <w:szCs w:val="18"/>
                <w:lang w:val="en-GB" w:eastAsia="en-GB"/>
              </w:rPr>
              <w:t>Our analytical approach employed two-sample Mendelian randomization (MR) analysis, integrating single-SNP, multi-SNP, and Bayesian MR methods for mutual validation to ensure the reliability of the results. Therefore, adjusting for covariates was not necessary.</w:t>
            </w:r>
          </w:p>
        </w:tc>
      </w:tr>
      <w:tr w:rsidR="00687592" w:rsidRPr="00B853C6" w14:paraId="0D8F3A7E" w14:textId="14623463" w:rsidTr="003D447D">
        <w:tc>
          <w:tcPr>
            <w:tcW w:w="587" w:type="dxa"/>
            <w:shd w:val="clear" w:color="auto" w:fill="EEEEEE"/>
          </w:tcPr>
          <w:p w14:paraId="1D70C4CD"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687592" w:rsidRPr="00A1236D" w:rsidRDefault="00687592" w:rsidP="0068759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77777777" w:rsidR="00687592" w:rsidRPr="00A1236D" w:rsidRDefault="00687592" w:rsidP="00687592">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16808665" w14:textId="654F87A3" w:rsidR="00687592" w:rsidRDefault="00687592" w:rsidP="00687592">
            <w:pPr>
              <w:spacing w:beforeLines="40" w:before="96" w:afterLines="40" w:after="96" w:line="24" w:lineRule="atLeast"/>
              <w:rPr>
                <w:rFonts w:eastAsia="Times New Roman"/>
                <w:sz w:val="18"/>
                <w:szCs w:val="18"/>
                <w:lang w:val="en-GB" w:eastAsia="en-GB"/>
              </w:rPr>
            </w:pPr>
            <w:r w:rsidRPr="004A50AB">
              <w:rPr>
                <w:rFonts w:eastAsia="Times New Roman"/>
                <w:sz w:val="18"/>
                <w:szCs w:val="18"/>
                <w:lang w:eastAsia="en-GB"/>
              </w:rPr>
              <w:t xml:space="preserve">In this MR analysis, </w:t>
            </w:r>
            <w:r>
              <w:rPr>
                <w:rFonts w:eastAsiaTheme="minorEastAsia" w:hint="eastAsia"/>
                <w:sz w:val="18"/>
                <w:szCs w:val="18"/>
                <w:lang w:eastAsia="zh-CN"/>
              </w:rPr>
              <w:t xml:space="preserve">there is no </w:t>
            </w:r>
            <w:r w:rsidRPr="004A50AB">
              <w:rPr>
                <w:rFonts w:eastAsia="Times New Roman"/>
                <w:sz w:val="18"/>
                <w:szCs w:val="18"/>
                <w:lang w:eastAsia="en-GB"/>
              </w:rPr>
              <w:t>missing dat</w:t>
            </w:r>
            <w:r>
              <w:rPr>
                <w:rFonts w:eastAsiaTheme="minorEastAsia" w:hint="eastAsia"/>
                <w:sz w:val="18"/>
                <w:szCs w:val="18"/>
                <w:lang w:eastAsia="zh-CN"/>
              </w:rPr>
              <w:t xml:space="preserve">a. </w:t>
            </w:r>
          </w:p>
        </w:tc>
      </w:tr>
      <w:tr w:rsidR="00687592" w:rsidRPr="00B853C6" w14:paraId="77F037B8" w14:textId="6696FA54" w:rsidTr="003D447D">
        <w:tc>
          <w:tcPr>
            <w:tcW w:w="587" w:type="dxa"/>
            <w:shd w:val="clear" w:color="auto" w:fill="auto"/>
          </w:tcPr>
          <w:p w14:paraId="4AC39E55"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77777777" w:rsidR="00687592" w:rsidRPr="00A1236D" w:rsidRDefault="00687592" w:rsidP="00687592">
            <w:pPr>
              <w:spacing w:beforeLines="40" w:before="96" w:afterLines="40" w:after="96" w:line="24" w:lineRule="atLeast"/>
              <w:rPr>
                <w:rFonts w:eastAsia="Times New Roman"/>
                <w:sz w:val="18"/>
                <w:szCs w:val="18"/>
                <w:lang w:val="en-GB" w:eastAsia="en-GB"/>
              </w:rPr>
            </w:pPr>
          </w:p>
        </w:tc>
        <w:tc>
          <w:tcPr>
            <w:tcW w:w="4320" w:type="dxa"/>
          </w:tcPr>
          <w:p w14:paraId="490E44D4" w14:textId="01D5805A" w:rsidR="00687592" w:rsidRDefault="00687592" w:rsidP="00687592">
            <w:pPr>
              <w:spacing w:beforeLines="40" w:before="96" w:afterLines="40" w:after="96" w:line="24" w:lineRule="atLeast"/>
              <w:rPr>
                <w:rFonts w:eastAsia="Times New Roman"/>
                <w:sz w:val="18"/>
                <w:szCs w:val="18"/>
                <w:lang w:val="en-GB" w:eastAsia="en-GB"/>
              </w:rPr>
            </w:pPr>
            <w:r w:rsidRPr="00085C35">
              <w:rPr>
                <w:rFonts w:eastAsia="Times New Roman"/>
                <w:sz w:val="18"/>
                <w:szCs w:val="18"/>
                <w:lang w:val="en-GB" w:eastAsia="en-GB"/>
              </w:rPr>
              <w:t>In this study, the individual exposures were independent factors, so the issue of multiple testing did not arise.</w:t>
            </w:r>
          </w:p>
        </w:tc>
      </w:tr>
      <w:tr w:rsidR="00687592" w:rsidRPr="00B853C6" w14:paraId="585043CE" w14:textId="4922F612" w:rsidTr="003D447D">
        <w:tc>
          <w:tcPr>
            <w:tcW w:w="587" w:type="dxa"/>
            <w:shd w:val="clear" w:color="auto" w:fill="EEEEEE"/>
          </w:tcPr>
          <w:p w14:paraId="55967D09"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687592" w:rsidRPr="00F0337F" w:rsidRDefault="00687592" w:rsidP="0068759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687592" w:rsidRPr="00A1236D" w:rsidRDefault="00687592" w:rsidP="00687592">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50D75E5E" w:rsidR="00687592" w:rsidRPr="00687592" w:rsidRDefault="00687592" w:rsidP="00687592">
            <w:pPr>
              <w:tabs>
                <w:tab w:val="left" w:pos="1620"/>
              </w:tabs>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4320" w:type="dxa"/>
            <w:shd w:val="clear" w:color="auto" w:fill="EEEEEE"/>
          </w:tcPr>
          <w:p w14:paraId="5D46DB2B" w14:textId="5BFB401C" w:rsidR="00687592" w:rsidRDefault="00687592" w:rsidP="00687592">
            <w:pPr>
              <w:tabs>
                <w:tab w:val="left" w:pos="1620"/>
              </w:tabs>
              <w:spacing w:beforeLines="40" w:before="96" w:afterLines="40" w:after="96" w:line="24" w:lineRule="atLeast"/>
              <w:rPr>
                <w:rFonts w:eastAsia="Times New Roman"/>
                <w:sz w:val="18"/>
                <w:szCs w:val="18"/>
                <w:lang w:val="en-GB" w:eastAsia="en-GB"/>
              </w:rPr>
            </w:pPr>
            <w:r w:rsidRPr="0055191A">
              <w:rPr>
                <w:rFonts w:eastAsia="Times New Roman"/>
                <w:sz w:val="18"/>
                <w:szCs w:val="18"/>
                <w:lang w:val="en-GB" w:eastAsia="en-GB"/>
              </w:rPr>
              <w:t>Given the relatively lenient SNP selection threshold, we aimed to mitigate weak instrument bias by calculating the F-statistic to evaluate the strength of the instrumental variables (IVs).</w:t>
            </w:r>
            <w:r w:rsidRPr="0055191A">
              <w:rPr>
                <w:rFonts w:eastAsia="Times New Roman" w:hint="eastAsia"/>
                <w:sz w:val="18"/>
                <w:szCs w:val="18"/>
                <w:lang w:val="en-GB" w:eastAsia="en-GB"/>
              </w:rPr>
              <w:t xml:space="preserve"> </w:t>
            </w:r>
            <w:r w:rsidRPr="0055191A">
              <w:rPr>
                <w:rFonts w:eastAsia="Times New Roman"/>
                <w:sz w:val="18"/>
                <w:szCs w:val="18"/>
                <w:lang w:val="en-GB" w:eastAsia="en-GB"/>
              </w:rPr>
              <w:t>A variety of sensitivity tests were also applied to demonstrate the reliability of the results.</w:t>
            </w:r>
          </w:p>
        </w:tc>
      </w:tr>
      <w:tr w:rsidR="00687592" w:rsidRPr="00B853C6" w14:paraId="383932D9" w14:textId="2C1AFE56" w:rsidTr="003D447D">
        <w:tc>
          <w:tcPr>
            <w:tcW w:w="587" w:type="dxa"/>
            <w:shd w:val="clear" w:color="auto" w:fill="auto"/>
          </w:tcPr>
          <w:p w14:paraId="1A4621BC"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687592" w:rsidRPr="00F0337F" w:rsidRDefault="00687592" w:rsidP="0068759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4323D96B"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6</w:t>
            </w:r>
          </w:p>
        </w:tc>
        <w:tc>
          <w:tcPr>
            <w:tcW w:w="4320" w:type="dxa"/>
          </w:tcPr>
          <w:p w14:paraId="229BFDFD" w14:textId="35456AED" w:rsidR="00687592" w:rsidRDefault="00687592" w:rsidP="00687592">
            <w:pPr>
              <w:spacing w:beforeLines="40" w:before="96" w:afterLines="40" w:after="96" w:line="24" w:lineRule="atLeast"/>
              <w:rPr>
                <w:rFonts w:eastAsia="Times New Roman"/>
                <w:sz w:val="18"/>
                <w:szCs w:val="18"/>
                <w:lang w:val="en-GB" w:eastAsia="en-GB"/>
              </w:rPr>
            </w:pPr>
            <w:r w:rsidRPr="00085C35">
              <w:rPr>
                <w:rFonts w:eastAsia="Times New Roman"/>
                <w:sz w:val="18"/>
                <w:szCs w:val="18"/>
                <w:lang w:val="en-GB" w:eastAsia="en-GB"/>
              </w:rPr>
              <w:t>we applied Cochran's Q statistic to our MR-IVW analyses and Rucker's Q statistic to our MR-Egger analyses to determine the presence of heterogeneity among the instrumental variables</w:t>
            </w:r>
            <w:r w:rsidRPr="00085C35">
              <w:rPr>
                <w:rFonts w:eastAsia="Times New Roman" w:hint="eastAsia"/>
                <w:sz w:val="18"/>
                <w:szCs w:val="18"/>
                <w:lang w:val="en-GB" w:eastAsia="en-GB"/>
              </w:rPr>
              <w:t xml:space="preserve">. </w:t>
            </w:r>
            <w:r w:rsidRPr="00085C35">
              <w:rPr>
                <w:rFonts w:eastAsia="Times New Roman"/>
                <w:sz w:val="18"/>
                <w:szCs w:val="18"/>
                <w:lang w:val="en-GB" w:eastAsia="en-GB"/>
              </w:rPr>
              <w:t>we employed the MR-Egger method to detect and account for horizontal pleiotropy, which could bias our results if unaddressed</w:t>
            </w:r>
            <w:r w:rsidRPr="00085C35">
              <w:rPr>
                <w:rFonts w:eastAsia="Times New Roman" w:hint="eastAsia"/>
                <w:sz w:val="18"/>
                <w:szCs w:val="18"/>
                <w:lang w:val="en-GB" w:eastAsia="en-GB"/>
              </w:rPr>
              <w:t>.</w:t>
            </w:r>
            <w:r w:rsidRPr="00085C35">
              <w:rPr>
                <w:rFonts w:eastAsia="Times New Roman"/>
                <w:sz w:val="18"/>
                <w:szCs w:val="18"/>
                <w:lang w:val="en-GB" w:eastAsia="en-GB"/>
              </w:rPr>
              <w:t xml:space="preserve"> To further substantiate our findings and ensure the robustness of our results, we incorporated</w:t>
            </w:r>
            <w:r>
              <w:rPr>
                <w:rFonts w:eastAsiaTheme="minorEastAsia" w:hint="eastAsia"/>
                <w:sz w:val="18"/>
                <w:szCs w:val="18"/>
                <w:lang w:val="en-GB" w:eastAsia="zh-CN"/>
              </w:rPr>
              <w:t xml:space="preserve"> multi-SNP MR, top-SNP MR, </w:t>
            </w:r>
            <w:r w:rsidRPr="00B46FF7">
              <w:rPr>
                <w:rFonts w:eastAsia="Times New Roman"/>
                <w:sz w:val="18"/>
                <w:szCs w:val="18"/>
                <w:lang w:val="en-GB" w:eastAsia="en-GB"/>
              </w:rPr>
              <w:t>Bayesian</w:t>
            </w:r>
            <w:r>
              <w:rPr>
                <w:rFonts w:eastAsiaTheme="minorEastAsia" w:hint="eastAsia"/>
                <w:sz w:val="18"/>
                <w:szCs w:val="18"/>
                <w:lang w:val="en-GB" w:eastAsia="zh-CN"/>
              </w:rPr>
              <w:t xml:space="preserve"> MR</w:t>
            </w:r>
            <w:r w:rsidRPr="00085C35">
              <w:rPr>
                <w:rFonts w:eastAsia="Times New Roman" w:hint="eastAsia"/>
                <w:sz w:val="18"/>
                <w:szCs w:val="18"/>
                <w:lang w:val="en-GB" w:eastAsia="en-GB"/>
              </w:rPr>
              <w:t xml:space="preserve">. </w:t>
            </w:r>
            <w:r w:rsidRPr="00085C35">
              <w:rPr>
                <w:rFonts w:eastAsia="Times New Roman"/>
                <w:sz w:val="18"/>
                <w:szCs w:val="18"/>
                <w:lang w:val="en-GB" w:eastAsia="en-GB"/>
              </w:rPr>
              <w:t>Also,</w:t>
            </w:r>
            <w:r w:rsidRPr="00085C35">
              <w:rPr>
                <w:rFonts w:eastAsia="Times New Roman" w:hint="eastAsia"/>
                <w:sz w:val="18"/>
                <w:szCs w:val="18"/>
                <w:lang w:val="en-GB" w:eastAsia="en-GB"/>
              </w:rPr>
              <w:t xml:space="preserve"> we performed leave-one-out and funnel plot analysis</w:t>
            </w:r>
            <w:r>
              <w:rPr>
                <w:rFonts w:eastAsiaTheme="minorEastAsia" w:hint="eastAsia"/>
                <w:sz w:val="18"/>
                <w:szCs w:val="18"/>
                <w:lang w:val="en-GB" w:eastAsia="zh-CN"/>
              </w:rPr>
              <w:t xml:space="preserve"> in positive multi-SNP MR analysis</w:t>
            </w:r>
            <w:r w:rsidRPr="00085C35">
              <w:rPr>
                <w:rFonts w:eastAsia="Times New Roman" w:hint="eastAsia"/>
                <w:sz w:val="18"/>
                <w:szCs w:val="18"/>
                <w:lang w:val="en-GB" w:eastAsia="en-GB"/>
              </w:rPr>
              <w:t>.</w:t>
            </w:r>
          </w:p>
        </w:tc>
      </w:tr>
      <w:tr w:rsidR="00687592" w:rsidRPr="00B853C6" w14:paraId="55C7A410" w14:textId="0BAB653A" w:rsidTr="003D447D">
        <w:tc>
          <w:tcPr>
            <w:tcW w:w="587" w:type="dxa"/>
            <w:shd w:val="clear" w:color="auto" w:fill="EEEEEE"/>
          </w:tcPr>
          <w:p w14:paraId="056075DE"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9</w:t>
            </w:r>
          </w:p>
        </w:tc>
        <w:tc>
          <w:tcPr>
            <w:tcW w:w="1822" w:type="dxa"/>
            <w:shd w:val="clear" w:color="auto" w:fill="EEEEEE"/>
          </w:tcPr>
          <w:p w14:paraId="6096809E" w14:textId="77777777" w:rsidR="00687592" w:rsidRPr="00F0337F" w:rsidRDefault="00687592" w:rsidP="0068759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687592" w:rsidRDefault="00687592" w:rsidP="00687592">
            <w:pPr>
              <w:spacing w:beforeLines="40" w:before="96" w:afterLines="40" w:after="96" w:line="24" w:lineRule="atLeast"/>
              <w:rPr>
                <w:rFonts w:eastAsia="Cambria"/>
                <w:sz w:val="18"/>
                <w:szCs w:val="18"/>
                <w:lang w:val="en-GB" w:eastAsia="en-US"/>
              </w:rPr>
            </w:pPr>
          </w:p>
        </w:tc>
      </w:tr>
      <w:tr w:rsidR="00687592" w:rsidRPr="00B853C6" w14:paraId="5EA9EBD1" w14:textId="4D05FA5B" w:rsidTr="003D447D">
        <w:tc>
          <w:tcPr>
            <w:tcW w:w="587" w:type="dxa"/>
            <w:shd w:val="clear" w:color="auto" w:fill="auto"/>
          </w:tcPr>
          <w:p w14:paraId="66EDED80"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687592" w:rsidRPr="00A1236D" w:rsidRDefault="00687592" w:rsidP="0068759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6865C954"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w:t>
            </w:r>
          </w:p>
        </w:tc>
        <w:tc>
          <w:tcPr>
            <w:tcW w:w="4320" w:type="dxa"/>
          </w:tcPr>
          <w:p w14:paraId="79626260" w14:textId="537593D3" w:rsidR="00687592" w:rsidRDefault="00687592" w:rsidP="00687592">
            <w:pPr>
              <w:spacing w:beforeLines="40" w:before="96" w:afterLines="40" w:after="96" w:line="24" w:lineRule="atLeast"/>
              <w:rPr>
                <w:rFonts w:eastAsia="Times New Roman"/>
                <w:sz w:val="18"/>
                <w:szCs w:val="18"/>
                <w:lang w:val="en-GB" w:eastAsia="en-GB"/>
              </w:rPr>
            </w:pPr>
            <w:r w:rsidRPr="00085C35">
              <w:rPr>
                <w:rFonts w:eastAsia="Times New Roman"/>
                <w:sz w:val="18"/>
                <w:szCs w:val="18"/>
                <w:lang w:val="en-GB" w:eastAsia="en-GB"/>
              </w:rPr>
              <w:t>All statistical analyses were conducted using the "</w:t>
            </w:r>
            <w:proofErr w:type="spellStart"/>
            <w:r w:rsidRPr="00085C35">
              <w:rPr>
                <w:rFonts w:eastAsia="Times New Roman"/>
                <w:sz w:val="18"/>
                <w:szCs w:val="18"/>
                <w:lang w:val="en-GB" w:eastAsia="en-GB"/>
              </w:rPr>
              <w:t>TwoSampleMR</w:t>
            </w:r>
            <w:proofErr w:type="spellEnd"/>
            <w:r w:rsidRPr="00085C35">
              <w:rPr>
                <w:rFonts w:eastAsia="Times New Roman"/>
                <w:sz w:val="18"/>
                <w:szCs w:val="18"/>
                <w:lang w:val="en-GB" w:eastAsia="en-GB"/>
              </w:rPr>
              <w:t>"</w:t>
            </w:r>
            <w:r w:rsidRPr="00B46FF7">
              <w:rPr>
                <w:rFonts w:eastAsia="Times New Roman" w:hint="eastAsia"/>
                <w:sz w:val="18"/>
                <w:szCs w:val="18"/>
                <w:lang w:val="en-GB" w:eastAsia="en-GB"/>
              </w:rPr>
              <w:t xml:space="preserve"> and </w:t>
            </w:r>
            <w:r>
              <w:rPr>
                <w:rFonts w:eastAsiaTheme="minorEastAsia"/>
                <w:sz w:val="18"/>
                <w:szCs w:val="18"/>
                <w:lang w:val="en-GB" w:eastAsia="zh-CN"/>
              </w:rPr>
              <w:t>“</w:t>
            </w:r>
            <w:proofErr w:type="spellStart"/>
            <w:r w:rsidRPr="00B46FF7">
              <w:rPr>
                <w:rFonts w:eastAsia="Times New Roman"/>
                <w:sz w:val="18"/>
                <w:szCs w:val="18"/>
                <w:lang w:val="en-GB" w:eastAsia="en-GB"/>
              </w:rPr>
              <w:t>BWMR_</w:t>
            </w:r>
            <w:proofErr w:type="gramStart"/>
            <w:r w:rsidRPr="00B46FF7">
              <w:rPr>
                <w:rFonts w:eastAsia="Times New Roman"/>
                <w:sz w:val="18"/>
                <w:szCs w:val="18"/>
                <w:lang w:val="en-GB" w:eastAsia="en-GB"/>
              </w:rPr>
              <w:t>updated.R</w:t>
            </w:r>
            <w:proofErr w:type="spellEnd"/>
            <w:proofErr w:type="gramEnd"/>
            <w:r>
              <w:rPr>
                <w:rFonts w:eastAsiaTheme="minorEastAsia"/>
                <w:sz w:val="18"/>
                <w:szCs w:val="18"/>
                <w:lang w:val="en-GB" w:eastAsia="zh-CN"/>
              </w:rPr>
              <w:t>”</w:t>
            </w:r>
            <w:r w:rsidRPr="00085C35">
              <w:rPr>
                <w:rFonts w:eastAsia="Times New Roman"/>
                <w:sz w:val="18"/>
                <w:szCs w:val="18"/>
                <w:lang w:val="en-GB" w:eastAsia="en-GB"/>
              </w:rPr>
              <w:t xml:space="preserve"> within RStudio</w:t>
            </w:r>
            <w:r w:rsidRPr="00085C35">
              <w:rPr>
                <w:rFonts w:eastAsia="Times New Roman" w:hint="eastAsia"/>
                <w:sz w:val="18"/>
                <w:szCs w:val="18"/>
                <w:lang w:val="en-GB" w:eastAsia="en-GB"/>
              </w:rPr>
              <w:t xml:space="preserve"> (</w:t>
            </w:r>
            <w:r w:rsidRPr="00085C35">
              <w:rPr>
                <w:rFonts w:eastAsia="Times New Roman"/>
                <w:sz w:val="18"/>
                <w:szCs w:val="18"/>
                <w:lang w:val="en-GB" w:eastAsia="en-GB"/>
              </w:rPr>
              <w:t>version 4.</w:t>
            </w:r>
            <w:r w:rsidRPr="00085C35">
              <w:rPr>
                <w:rFonts w:eastAsia="Times New Roman" w:hint="eastAsia"/>
                <w:sz w:val="18"/>
                <w:szCs w:val="18"/>
                <w:lang w:val="en-GB" w:eastAsia="en-GB"/>
              </w:rPr>
              <w:t>3</w:t>
            </w:r>
            <w:r w:rsidRPr="00085C35">
              <w:rPr>
                <w:rFonts w:eastAsia="Times New Roman"/>
                <w:sz w:val="18"/>
                <w:szCs w:val="18"/>
                <w:lang w:val="en-GB" w:eastAsia="en-GB"/>
              </w:rPr>
              <w:t>.1</w:t>
            </w:r>
            <w:r w:rsidRPr="00085C35">
              <w:rPr>
                <w:rFonts w:eastAsia="Times New Roman" w:hint="eastAsia"/>
                <w:sz w:val="18"/>
                <w:szCs w:val="18"/>
                <w:lang w:val="en-GB" w:eastAsia="en-GB"/>
              </w:rPr>
              <w:t>)</w:t>
            </w:r>
            <w:r w:rsidRPr="00085C35">
              <w:rPr>
                <w:rFonts w:eastAsia="Times New Roman"/>
                <w:sz w:val="18"/>
                <w:szCs w:val="18"/>
                <w:lang w:val="en-GB" w:eastAsia="en-GB"/>
              </w:rPr>
              <w:t>.</w:t>
            </w:r>
          </w:p>
        </w:tc>
      </w:tr>
      <w:tr w:rsidR="00687592" w:rsidRPr="00B853C6" w14:paraId="6A631D93" w14:textId="2BD5AA8E" w:rsidTr="003D447D">
        <w:tc>
          <w:tcPr>
            <w:tcW w:w="587" w:type="dxa"/>
            <w:tcBorders>
              <w:bottom w:val="single" w:sz="6" w:space="0" w:color="7F7F7F"/>
            </w:tcBorders>
            <w:shd w:val="clear" w:color="auto" w:fill="EEEEEE"/>
          </w:tcPr>
          <w:p w14:paraId="37C88958"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77777777" w:rsidR="00687592" w:rsidRPr="00A1236D" w:rsidRDefault="00687592" w:rsidP="00687592">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3EFCD231" w14:textId="3F3741D5" w:rsidR="00687592" w:rsidRDefault="00687592" w:rsidP="00687592">
            <w:pPr>
              <w:spacing w:beforeLines="40" w:before="96" w:afterLines="40" w:after="96" w:line="24" w:lineRule="atLeast"/>
              <w:rPr>
                <w:rFonts w:eastAsia="Times New Roman"/>
                <w:sz w:val="18"/>
                <w:szCs w:val="18"/>
                <w:lang w:val="en-GB" w:eastAsia="en-GB"/>
              </w:rPr>
            </w:pPr>
            <w:r w:rsidRPr="00085C35">
              <w:rPr>
                <w:rFonts w:eastAsia="Times New Roman"/>
                <w:sz w:val="18"/>
                <w:szCs w:val="18"/>
                <w:lang w:eastAsia="en-GB"/>
              </w:rPr>
              <w:t>This study was not pre-registered with th</w:t>
            </w:r>
            <w:r>
              <w:rPr>
                <w:rFonts w:eastAsiaTheme="minorEastAsia" w:hint="eastAsia"/>
                <w:sz w:val="18"/>
                <w:szCs w:val="18"/>
                <w:lang w:eastAsia="zh-CN"/>
              </w:rPr>
              <w:t>e study protocol and details.</w:t>
            </w:r>
          </w:p>
        </w:tc>
      </w:tr>
      <w:tr w:rsidR="00687592" w:rsidRPr="00B853C6" w14:paraId="040F15E5" w14:textId="3B11C618" w:rsidTr="003D447D">
        <w:tc>
          <w:tcPr>
            <w:tcW w:w="587" w:type="dxa"/>
            <w:tcBorders>
              <w:top w:val="single" w:sz="6" w:space="0" w:color="7F7F7F"/>
            </w:tcBorders>
            <w:shd w:val="clear" w:color="auto" w:fill="auto"/>
          </w:tcPr>
          <w:p w14:paraId="777278B3"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687592" w:rsidRPr="00F0337F" w:rsidRDefault="00687592" w:rsidP="0068759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687592" w:rsidRDefault="00687592" w:rsidP="00687592">
            <w:pPr>
              <w:spacing w:beforeLines="40" w:before="96" w:afterLines="40" w:after="96" w:line="24" w:lineRule="atLeast"/>
              <w:rPr>
                <w:rFonts w:eastAsia="Cambria"/>
                <w:sz w:val="18"/>
                <w:szCs w:val="18"/>
                <w:lang w:val="en-GB" w:eastAsia="en-US"/>
              </w:rPr>
            </w:pPr>
          </w:p>
        </w:tc>
      </w:tr>
      <w:tr w:rsidR="00687592" w:rsidRPr="00B853C6" w14:paraId="67F47EED" w14:textId="4A481C08" w:rsidTr="003D447D">
        <w:tc>
          <w:tcPr>
            <w:tcW w:w="587" w:type="dxa"/>
            <w:shd w:val="clear" w:color="auto" w:fill="EEEEEE"/>
          </w:tcPr>
          <w:p w14:paraId="51C7A54B"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687592" w:rsidRPr="00F0337F" w:rsidRDefault="00687592" w:rsidP="0068759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687592" w:rsidRDefault="00687592" w:rsidP="00687592">
            <w:pPr>
              <w:spacing w:beforeLines="40" w:before="96" w:afterLines="40" w:after="96" w:line="24" w:lineRule="atLeast"/>
              <w:rPr>
                <w:rFonts w:eastAsia="Cambria"/>
                <w:sz w:val="18"/>
                <w:szCs w:val="18"/>
                <w:lang w:val="en-GB" w:eastAsia="en-US"/>
              </w:rPr>
            </w:pPr>
          </w:p>
        </w:tc>
      </w:tr>
      <w:tr w:rsidR="00687592" w:rsidRPr="00B853C6" w14:paraId="6CA228D1" w14:textId="316B6A36" w:rsidTr="003D447D">
        <w:tc>
          <w:tcPr>
            <w:tcW w:w="587" w:type="dxa"/>
            <w:shd w:val="clear" w:color="auto" w:fill="auto"/>
          </w:tcPr>
          <w:p w14:paraId="29B62776"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6BE122B0"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4320" w:type="dxa"/>
          </w:tcPr>
          <w:p w14:paraId="00D65497" w14:textId="02A79AF1" w:rsidR="00687592" w:rsidRDefault="00687592" w:rsidP="00687592">
            <w:pPr>
              <w:spacing w:beforeLines="40" w:before="96" w:afterLines="40" w:after="96" w:line="24" w:lineRule="atLeast"/>
              <w:rPr>
                <w:rFonts w:eastAsia="Times New Roman"/>
                <w:sz w:val="18"/>
                <w:szCs w:val="18"/>
                <w:lang w:val="en-GB" w:eastAsia="en-GB"/>
              </w:rPr>
            </w:pPr>
            <w:r w:rsidRPr="00B46FF7">
              <w:rPr>
                <w:rFonts w:eastAsia="Times New Roman"/>
                <w:sz w:val="18"/>
                <w:szCs w:val="18"/>
                <w:lang w:val="en-GB" w:eastAsia="en-GB"/>
              </w:rPr>
              <w:t xml:space="preserve">The </w:t>
            </w:r>
            <w:proofErr w:type="spellStart"/>
            <w:r w:rsidRPr="00B46FF7">
              <w:rPr>
                <w:rFonts w:eastAsia="Times New Roman"/>
                <w:sz w:val="18"/>
                <w:szCs w:val="18"/>
                <w:lang w:val="en-GB" w:eastAsia="en-GB"/>
              </w:rPr>
              <w:t>rQTLs</w:t>
            </w:r>
            <w:proofErr w:type="spellEnd"/>
            <w:r w:rsidRPr="00B46FF7">
              <w:rPr>
                <w:rFonts w:eastAsia="Times New Roman"/>
                <w:sz w:val="18"/>
                <w:szCs w:val="18"/>
                <w:lang w:val="en-GB" w:eastAsia="en-GB"/>
              </w:rPr>
              <w:t xml:space="preserve"> used as exposures in this study were derived from the work of Suhre K. et al., who measured 1,463 proteins using the </w:t>
            </w:r>
            <w:proofErr w:type="spellStart"/>
            <w:r w:rsidRPr="00B46FF7">
              <w:rPr>
                <w:rFonts w:eastAsia="Times New Roman"/>
                <w:sz w:val="18"/>
                <w:szCs w:val="18"/>
                <w:lang w:val="en-GB" w:eastAsia="en-GB"/>
              </w:rPr>
              <w:t>Olink</w:t>
            </w:r>
            <w:proofErr w:type="spellEnd"/>
            <w:r w:rsidRPr="00B46FF7">
              <w:rPr>
                <w:rFonts w:eastAsia="Times New Roman"/>
                <w:sz w:val="18"/>
                <w:szCs w:val="18"/>
                <w:lang w:val="en-GB" w:eastAsia="en-GB"/>
              </w:rPr>
              <w:t xml:space="preserve"> proteomics technology in 54,000 samples from the UK Biobank</w:t>
            </w:r>
            <w:r w:rsidRPr="00B46FF7">
              <w:rPr>
                <w:rFonts w:eastAsia="Times New Roman" w:hint="eastAsia"/>
                <w:sz w:val="18"/>
                <w:szCs w:val="18"/>
                <w:lang w:val="en-GB" w:eastAsia="en-GB"/>
              </w:rPr>
              <w:t xml:space="preserve">. </w:t>
            </w:r>
            <w:r w:rsidRPr="00B46FF7">
              <w:rPr>
                <w:rFonts w:eastAsia="Times New Roman"/>
                <w:sz w:val="18"/>
                <w:szCs w:val="18"/>
                <w:lang w:val="en-GB" w:eastAsia="en-GB"/>
              </w:rPr>
              <w:t xml:space="preserve">They identified 4,248 genetic associations related to 2,821 </w:t>
            </w:r>
            <w:proofErr w:type="spellStart"/>
            <w:r w:rsidRPr="00B46FF7">
              <w:rPr>
                <w:rFonts w:eastAsia="Times New Roman"/>
                <w:sz w:val="18"/>
                <w:szCs w:val="18"/>
                <w:lang w:val="en-GB" w:eastAsia="en-GB"/>
              </w:rPr>
              <w:t>rQTLs</w:t>
            </w:r>
            <w:proofErr w:type="spellEnd"/>
            <w:r w:rsidRPr="00B46FF7">
              <w:rPr>
                <w:rFonts w:eastAsia="Times New Roman"/>
                <w:sz w:val="18"/>
                <w:szCs w:val="18"/>
                <w:lang w:val="en-GB" w:eastAsia="en-GB"/>
              </w:rPr>
              <w:t>.</w:t>
            </w:r>
          </w:p>
        </w:tc>
      </w:tr>
      <w:tr w:rsidR="00687592" w:rsidRPr="00B853C6" w14:paraId="0765C344" w14:textId="3B2EDCCF" w:rsidTr="003D447D">
        <w:tc>
          <w:tcPr>
            <w:tcW w:w="587" w:type="dxa"/>
            <w:shd w:val="clear" w:color="auto" w:fill="EEEEEE"/>
          </w:tcPr>
          <w:p w14:paraId="2404BFFB"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687592" w:rsidRPr="00A1236D" w:rsidRDefault="00687592" w:rsidP="0068759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53F3F03A"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shd w:val="clear" w:color="auto" w:fill="EEEEEE"/>
          </w:tcPr>
          <w:p w14:paraId="0FD9D468" w14:textId="69393D5C" w:rsidR="00687592" w:rsidRDefault="00687592" w:rsidP="00687592">
            <w:pPr>
              <w:spacing w:beforeLines="40" w:before="96" w:afterLines="40" w:after="96" w:line="24" w:lineRule="atLeast"/>
              <w:rPr>
                <w:rFonts w:eastAsia="Times New Roman"/>
                <w:sz w:val="18"/>
                <w:szCs w:val="18"/>
                <w:lang w:val="en-GB" w:eastAsia="en-GB"/>
              </w:rPr>
            </w:pPr>
            <w:r w:rsidRPr="00085C35">
              <w:rPr>
                <w:rFonts w:eastAsia="Times New Roman"/>
                <w:sz w:val="18"/>
                <w:szCs w:val="18"/>
                <w:lang w:val="en-GB" w:eastAsia="en-GB"/>
              </w:rPr>
              <w:t>The original contributions presented in the study are included in the article/</w:t>
            </w:r>
            <w:hyperlink r:id="rId10" w:anchor="s12" w:history="1">
              <w:r w:rsidRPr="00085C35">
                <w:rPr>
                  <w:rFonts w:eastAsia="Times New Roman"/>
                  <w:sz w:val="18"/>
                  <w:szCs w:val="18"/>
                  <w:lang w:val="en-GB" w:eastAsia="en-GB"/>
                </w:rPr>
                <w:t>Supplementary Material</w:t>
              </w:r>
            </w:hyperlink>
            <w:r w:rsidRPr="00085C35">
              <w:rPr>
                <w:rFonts w:eastAsia="Times New Roman"/>
                <w:sz w:val="18"/>
                <w:szCs w:val="18"/>
                <w:lang w:val="en-GB" w:eastAsia="en-GB"/>
              </w:rPr>
              <w:t>.</w:t>
            </w:r>
          </w:p>
        </w:tc>
      </w:tr>
      <w:tr w:rsidR="00687592" w:rsidRPr="00B853C6" w14:paraId="48F10342" w14:textId="398F2C24" w:rsidTr="003D447D">
        <w:tc>
          <w:tcPr>
            <w:tcW w:w="587" w:type="dxa"/>
            <w:shd w:val="clear" w:color="auto" w:fill="auto"/>
          </w:tcPr>
          <w:p w14:paraId="6600AF43"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3858B620"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6</w:t>
            </w:r>
          </w:p>
        </w:tc>
        <w:tc>
          <w:tcPr>
            <w:tcW w:w="4320" w:type="dxa"/>
          </w:tcPr>
          <w:p w14:paraId="449D40FD" w14:textId="3710F000" w:rsidR="00687592" w:rsidRDefault="00687592" w:rsidP="00687592">
            <w:pPr>
              <w:spacing w:beforeLines="40" w:before="96" w:afterLines="40" w:after="96" w:line="24" w:lineRule="atLeast"/>
              <w:rPr>
                <w:rFonts w:eastAsia="Times New Roman"/>
                <w:sz w:val="18"/>
                <w:szCs w:val="18"/>
                <w:lang w:val="en-GB" w:eastAsia="en-GB"/>
              </w:rPr>
            </w:pPr>
            <w:r w:rsidRPr="00495C37">
              <w:rPr>
                <w:rFonts w:eastAsia="Times New Roman"/>
                <w:sz w:val="18"/>
                <w:szCs w:val="18"/>
                <w:lang w:val="en-GB" w:eastAsia="en-GB"/>
              </w:rPr>
              <w:t>we applied Cochran's Q statistic to our MR-IVW analyses and Rucker's Q statistic to our MR-Egger analyses to determine the presence of heterogeneity among the instrumental variables</w:t>
            </w:r>
          </w:p>
        </w:tc>
      </w:tr>
      <w:tr w:rsidR="00687592" w:rsidRPr="00B853C6" w14:paraId="51930A8C" w14:textId="221D5A9E" w:rsidTr="003D447D">
        <w:tc>
          <w:tcPr>
            <w:tcW w:w="587" w:type="dxa"/>
            <w:shd w:val="clear" w:color="auto" w:fill="EEEEEE"/>
          </w:tcPr>
          <w:p w14:paraId="6116DD95"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687592" w:rsidRPr="00A1236D" w:rsidRDefault="00687592" w:rsidP="00687592">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687592" w:rsidRPr="00A1236D" w:rsidRDefault="00687592" w:rsidP="0068759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w:t>
            </w: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Provide justification of the similarity of the genetic variant-exposure associations between the exposure and outcome samples</w:t>
            </w:r>
          </w:p>
          <w:p w14:paraId="35BA9280"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4948EE3D" w14:textId="0CA5D854"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4320" w:type="dxa"/>
            <w:shd w:val="clear" w:color="auto" w:fill="EEEEEE"/>
          </w:tcPr>
          <w:p w14:paraId="5B2A1A71" w14:textId="48EB79A0" w:rsidR="00687592" w:rsidRDefault="00687592" w:rsidP="00687592">
            <w:pPr>
              <w:spacing w:beforeLines="40" w:before="96" w:afterLines="40" w:after="96" w:line="24" w:lineRule="atLeast"/>
              <w:rPr>
                <w:rFonts w:eastAsia="Times New Roman"/>
                <w:sz w:val="18"/>
                <w:szCs w:val="18"/>
                <w:lang w:val="en-GB" w:eastAsia="en-GB"/>
              </w:rPr>
            </w:pPr>
            <w:r w:rsidRPr="00495C37">
              <w:rPr>
                <w:rFonts w:eastAsia="Times New Roman"/>
                <w:sz w:val="18"/>
                <w:szCs w:val="18"/>
                <w:lang w:eastAsia="en-GB"/>
              </w:rPr>
              <w:t>The data utilized in this study were sourced exclusively from European population samples, which were drawn from independent GWAS databases. This approach was chosen to minimize overlap and reduce potential bias.</w:t>
            </w:r>
          </w:p>
        </w:tc>
      </w:tr>
      <w:tr w:rsidR="00687592" w:rsidRPr="00B853C6" w14:paraId="52CFCA59" w14:textId="5AC9CE3E" w:rsidTr="003D447D">
        <w:tc>
          <w:tcPr>
            <w:tcW w:w="587" w:type="dxa"/>
            <w:shd w:val="clear" w:color="auto" w:fill="auto"/>
          </w:tcPr>
          <w:p w14:paraId="110872BB"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687592" w:rsidRPr="00F0337F" w:rsidRDefault="00687592" w:rsidP="0068759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720" w:type="dxa"/>
          </w:tcPr>
          <w:p w14:paraId="035B3367"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4320" w:type="dxa"/>
          </w:tcPr>
          <w:p w14:paraId="0AFA0083" w14:textId="77777777" w:rsidR="00687592" w:rsidRDefault="00687592" w:rsidP="00687592">
            <w:pPr>
              <w:spacing w:beforeLines="40" w:before="96" w:afterLines="40" w:after="96" w:line="24" w:lineRule="atLeast"/>
              <w:rPr>
                <w:rFonts w:eastAsia="Cambria"/>
                <w:sz w:val="18"/>
                <w:szCs w:val="18"/>
                <w:lang w:val="en-GB" w:eastAsia="en-US"/>
              </w:rPr>
            </w:pPr>
          </w:p>
        </w:tc>
      </w:tr>
      <w:tr w:rsidR="00687592" w:rsidRPr="00B853C6" w14:paraId="56845A2A" w14:textId="1DC0780C" w:rsidTr="003D447D">
        <w:tc>
          <w:tcPr>
            <w:tcW w:w="587" w:type="dxa"/>
            <w:shd w:val="clear" w:color="auto" w:fill="EEEEEE"/>
          </w:tcPr>
          <w:p w14:paraId="0892A548"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520CAD39"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4,5,6</w:t>
            </w:r>
          </w:p>
        </w:tc>
        <w:tc>
          <w:tcPr>
            <w:tcW w:w="4320" w:type="dxa"/>
            <w:shd w:val="clear" w:color="auto" w:fill="EEEEEE"/>
          </w:tcPr>
          <w:p w14:paraId="7BCA1C07" w14:textId="5C43DABD" w:rsidR="00687592" w:rsidRDefault="00687592" w:rsidP="00687592">
            <w:pPr>
              <w:spacing w:beforeLines="40" w:before="96" w:afterLines="40" w:after="96" w:line="24" w:lineRule="atLeast"/>
              <w:rPr>
                <w:rFonts w:eastAsia="Times New Roman"/>
                <w:sz w:val="18"/>
                <w:szCs w:val="18"/>
                <w:lang w:val="en-GB" w:eastAsia="en-GB"/>
              </w:rPr>
            </w:pPr>
            <w:r w:rsidRPr="00FD1418">
              <w:rPr>
                <w:rFonts w:eastAsia="Times New Roman"/>
                <w:sz w:val="18"/>
                <w:szCs w:val="18"/>
                <w:lang w:val="en-US" w:eastAsia="en-GB"/>
              </w:rPr>
              <w:t>The results are reported in the form of p-values along with OR (95% CI), and p-values along with beta (95% CI).</w:t>
            </w:r>
          </w:p>
        </w:tc>
      </w:tr>
      <w:tr w:rsidR="00687592" w:rsidRPr="00B853C6" w14:paraId="2FAEFE68" w14:textId="09D82DE1" w:rsidTr="003D447D">
        <w:tc>
          <w:tcPr>
            <w:tcW w:w="587" w:type="dxa"/>
            <w:shd w:val="clear" w:color="auto" w:fill="auto"/>
          </w:tcPr>
          <w:p w14:paraId="2E83DFB7"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16ED5948"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4,5,6</w:t>
            </w:r>
          </w:p>
        </w:tc>
        <w:tc>
          <w:tcPr>
            <w:tcW w:w="4320" w:type="dxa"/>
          </w:tcPr>
          <w:p w14:paraId="4564CEDB" w14:textId="027A374B" w:rsidR="00687592" w:rsidRDefault="00687592" w:rsidP="00687592">
            <w:pPr>
              <w:spacing w:beforeLines="40" w:before="96" w:afterLines="40" w:after="96" w:line="24" w:lineRule="atLeast"/>
              <w:rPr>
                <w:rFonts w:eastAsia="Times New Roman"/>
                <w:sz w:val="18"/>
                <w:szCs w:val="18"/>
                <w:lang w:val="en-GB" w:eastAsia="en-GB"/>
              </w:rPr>
            </w:pPr>
            <w:proofErr w:type="spellStart"/>
            <w:r w:rsidRPr="00FD1418">
              <w:rPr>
                <w:rFonts w:eastAsia="Times New Roman"/>
                <w:sz w:val="18"/>
                <w:szCs w:val="18"/>
                <w:lang w:eastAsia="en-GB"/>
              </w:rPr>
              <w:t>Mengelian</w:t>
            </w:r>
            <w:proofErr w:type="spellEnd"/>
            <w:r w:rsidRPr="00FD1418">
              <w:rPr>
                <w:rFonts w:eastAsia="Times New Roman"/>
                <w:sz w:val="18"/>
                <w:szCs w:val="18"/>
                <w:lang w:eastAsia="en-GB"/>
              </w:rPr>
              <w:t xml:space="preserve"> randomization estimation reports are detailed </w:t>
            </w:r>
            <w:r>
              <w:rPr>
                <w:rFonts w:eastAsiaTheme="minorEastAsia" w:hint="eastAsia"/>
                <w:sz w:val="18"/>
                <w:szCs w:val="18"/>
                <w:lang w:eastAsia="zh-CN"/>
              </w:rPr>
              <w:t xml:space="preserve">in </w:t>
            </w:r>
            <w:bookmarkStart w:id="1" w:name="OLE_LINK37"/>
            <w:r w:rsidRPr="00FD1418">
              <w:rPr>
                <w:rFonts w:eastAsiaTheme="minorEastAsia"/>
                <w:sz w:val="18"/>
                <w:szCs w:val="18"/>
                <w:lang w:eastAsia="zh-CN"/>
              </w:rPr>
              <w:t xml:space="preserve">Supplementary Table </w:t>
            </w:r>
            <w:r>
              <w:rPr>
                <w:rFonts w:eastAsiaTheme="minorEastAsia" w:hint="eastAsia"/>
                <w:sz w:val="18"/>
                <w:szCs w:val="18"/>
                <w:lang w:eastAsia="zh-CN"/>
              </w:rPr>
              <w:t>2</w:t>
            </w:r>
            <w:bookmarkEnd w:id="1"/>
            <w:r>
              <w:rPr>
                <w:rFonts w:eastAsiaTheme="minorEastAsia" w:hint="eastAsia"/>
                <w:sz w:val="18"/>
                <w:szCs w:val="18"/>
                <w:lang w:eastAsia="zh-CN"/>
              </w:rPr>
              <w:t>, 3, 4</w:t>
            </w:r>
          </w:p>
        </w:tc>
      </w:tr>
      <w:tr w:rsidR="00687592" w:rsidRPr="00B853C6" w14:paraId="1FAC379E" w14:textId="0C198578" w:rsidTr="003D447D">
        <w:tc>
          <w:tcPr>
            <w:tcW w:w="587" w:type="dxa"/>
            <w:shd w:val="clear" w:color="auto" w:fill="EEEEEE"/>
          </w:tcPr>
          <w:p w14:paraId="6762B88A"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If relevant, consider translating estimates of relative risk into absolute risk for a meaningful </w:t>
            </w:r>
            <w:proofErr w:type="gramStart"/>
            <w:r w:rsidRPr="00A1236D">
              <w:rPr>
                <w:rFonts w:eastAsia="Times New Roman"/>
                <w:sz w:val="18"/>
                <w:szCs w:val="18"/>
                <w:lang w:val="en-GB" w:eastAsia="en-GB"/>
              </w:rPr>
              <w:t>time period</w:t>
            </w:r>
            <w:proofErr w:type="gramEnd"/>
          </w:p>
        </w:tc>
        <w:tc>
          <w:tcPr>
            <w:tcW w:w="720" w:type="dxa"/>
            <w:shd w:val="clear" w:color="auto" w:fill="EEEEEE"/>
          </w:tcPr>
          <w:p w14:paraId="326BA5CA" w14:textId="09831387"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4,5,6</w:t>
            </w:r>
          </w:p>
        </w:tc>
        <w:tc>
          <w:tcPr>
            <w:tcW w:w="4320" w:type="dxa"/>
            <w:shd w:val="clear" w:color="auto" w:fill="EEEEEE"/>
          </w:tcPr>
          <w:p w14:paraId="4A2216FF" w14:textId="155633F8" w:rsidR="00687592" w:rsidRDefault="00687592" w:rsidP="00687592">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 xml:space="preserve">The </w:t>
            </w:r>
            <w:r>
              <w:rPr>
                <w:rFonts w:eastAsiaTheme="minorEastAsia"/>
                <w:sz w:val="18"/>
                <w:szCs w:val="18"/>
                <w:lang w:val="en-GB" w:eastAsia="zh-CN"/>
              </w:rPr>
              <w:t>detailed</w:t>
            </w:r>
            <w:r>
              <w:rPr>
                <w:rFonts w:eastAsiaTheme="minorEastAsia" w:hint="eastAsia"/>
                <w:sz w:val="18"/>
                <w:szCs w:val="18"/>
                <w:lang w:val="en-GB" w:eastAsia="zh-CN"/>
              </w:rPr>
              <w:t xml:space="preserve"> please find in </w:t>
            </w:r>
            <w:r w:rsidRPr="00FD1418">
              <w:rPr>
                <w:rFonts w:eastAsiaTheme="minorEastAsia"/>
                <w:sz w:val="18"/>
                <w:szCs w:val="18"/>
                <w:lang w:eastAsia="zh-CN"/>
              </w:rPr>
              <w:t xml:space="preserve">Supplementary Table </w:t>
            </w:r>
            <w:r>
              <w:rPr>
                <w:rFonts w:eastAsiaTheme="minorEastAsia" w:hint="eastAsia"/>
                <w:sz w:val="18"/>
                <w:szCs w:val="18"/>
                <w:lang w:eastAsia="zh-CN"/>
              </w:rPr>
              <w:t>2, 3, 4</w:t>
            </w:r>
          </w:p>
        </w:tc>
      </w:tr>
      <w:tr w:rsidR="00687592" w:rsidRPr="00B853C6" w14:paraId="00F87C74" w14:textId="30F32A00" w:rsidTr="003D447D">
        <w:tc>
          <w:tcPr>
            <w:tcW w:w="587" w:type="dxa"/>
            <w:shd w:val="clear" w:color="auto" w:fill="auto"/>
          </w:tcPr>
          <w:p w14:paraId="2CDE5DE6"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1C746DE7"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4,5,6</w:t>
            </w:r>
          </w:p>
        </w:tc>
        <w:tc>
          <w:tcPr>
            <w:tcW w:w="4320" w:type="dxa"/>
          </w:tcPr>
          <w:p w14:paraId="7B9F0A4D" w14:textId="51A784FB" w:rsidR="00687592" w:rsidRDefault="00687592" w:rsidP="00687592">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The results are visualized in Figure 2, 3, 4, 5</w:t>
            </w:r>
          </w:p>
        </w:tc>
      </w:tr>
      <w:tr w:rsidR="00687592" w:rsidRPr="00B853C6" w14:paraId="62E6DFEA" w14:textId="107C6F5B" w:rsidTr="003D447D">
        <w:tc>
          <w:tcPr>
            <w:tcW w:w="587" w:type="dxa"/>
            <w:shd w:val="clear" w:color="auto" w:fill="EEEEEE"/>
          </w:tcPr>
          <w:p w14:paraId="57CB2789"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687592" w:rsidRPr="00F0337F" w:rsidRDefault="00687592" w:rsidP="0068759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687592" w:rsidRDefault="00687592" w:rsidP="00687592">
            <w:pPr>
              <w:spacing w:beforeLines="40" w:before="96" w:afterLines="40" w:after="96" w:line="24" w:lineRule="atLeast"/>
              <w:rPr>
                <w:rFonts w:eastAsia="Cambria"/>
                <w:sz w:val="18"/>
                <w:szCs w:val="18"/>
                <w:lang w:val="en-GB" w:eastAsia="en-US"/>
              </w:rPr>
            </w:pPr>
          </w:p>
        </w:tc>
      </w:tr>
      <w:tr w:rsidR="00687592" w:rsidRPr="00B853C6" w14:paraId="48EE0AFA" w14:textId="55C0BF1C" w:rsidTr="003D447D">
        <w:tc>
          <w:tcPr>
            <w:tcW w:w="587" w:type="dxa"/>
            <w:shd w:val="clear" w:color="auto" w:fill="auto"/>
          </w:tcPr>
          <w:p w14:paraId="4E29121D"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7D9AEE0B"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4320" w:type="dxa"/>
          </w:tcPr>
          <w:p w14:paraId="5E7081D1" w14:textId="51DF465B" w:rsidR="00687592" w:rsidRDefault="00687592" w:rsidP="00687592">
            <w:pPr>
              <w:spacing w:beforeLines="40" w:before="96" w:afterLines="40" w:after="96" w:line="24" w:lineRule="atLeast"/>
              <w:rPr>
                <w:rFonts w:eastAsia="Times New Roman"/>
                <w:sz w:val="18"/>
                <w:szCs w:val="18"/>
                <w:lang w:val="en-GB" w:eastAsia="en-GB"/>
              </w:rPr>
            </w:pPr>
            <w:r w:rsidRPr="00C32342">
              <w:rPr>
                <w:rFonts w:eastAsia="Times New Roman"/>
                <w:sz w:val="18"/>
                <w:szCs w:val="18"/>
                <w:lang w:val="en-US" w:eastAsia="en-GB"/>
              </w:rPr>
              <w:t xml:space="preserve">First, we identified SNPs from </w:t>
            </w:r>
            <w:proofErr w:type="spellStart"/>
            <w:r w:rsidRPr="00C32342">
              <w:rPr>
                <w:rFonts w:eastAsia="Times New Roman"/>
                <w:sz w:val="18"/>
                <w:szCs w:val="18"/>
                <w:lang w:val="en-US" w:eastAsia="en-GB"/>
              </w:rPr>
              <w:t>rQTLs</w:t>
            </w:r>
            <w:proofErr w:type="spellEnd"/>
            <w:r w:rsidRPr="00C32342">
              <w:rPr>
                <w:rFonts w:eastAsia="Times New Roman"/>
                <w:sz w:val="18"/>
                <w:szCs w:val="18"/>
                <w:lang w:val="en-US" w:eastAsia="en-GB"/>
              </w:rPr>
              <w:t xml:space="preserve"> as instrumental variables, ensuring a strong correlation with the exposure to enable Mendelian randomization inferences. The high F-statistics values indicated that weak instrument bias was unlikely to influence our analysis. Second, we verified that the selected SNPs were not associated with any confounding factors that might affect the exposure-outcome relationship. Finally, we confirmed that these SNPs influenced the outcome exclusively through the exposure variable.</w:t>
            </w:r>
          </w:p>
        </w:tc>
      </w:tr>
      <w:tr w:rsidR="00687592" w:rsidRPr="00B853C6" w14:paraId="7BDA55CD" w14:textId="6465618D" w:rsidTr="003D447D">
        <w:tc>
          <w:tcPr>
            <w:tcW w:w="587" w:type="dxa"/>
            <w:shd w:val="clear" w:color="auto" w:fill="EEEEEE"/>
          </w:tcPr>
          <w:p w14:paraId="6F27FA73"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3F228F6E"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6</w:t>
            </w:r>
          </w:p>
        </w:tc>
        <w:tc>
          <w:tcPr>
            <w:tcW w:w="4320" w:type="dxa"/>
            <w:shd w:val="clear" w:color="auto" w:fill="EEEEEE"/>
          </w:tcPr>
          <w:p w14:paraId="205C4ED8" w14:textId="5AAD22F2" w:rsidR="00687592" w:rsidRDefault="00687592" w:rsidP="00687592">
            <w:pPr>
              <w:spacing w:beforeLines="40" w:before="96" w:afterLines="40" w:after="96" w:line="24" w:lineRule="atLeast"/>
              <w:rPr>
                <w:rFonts w:eastAsia="Times New Roman"/>
                <w:sz w:val="18"/>
                <w:szCs w:val="18"/>
                <w:lang w:val="en-GB" w:eastAsia="en-GB"/>
              </w:rPr>
            </w:pPr>
            <w:r w:rsidRPr="00FD1418">
              <w:rPr>
                <w:rFonts w:eastAsia="Times New Roman" w:hint="eastAsia"/>
                <w:sz w:val="18"/>
                <w:szCs w:val="18"/>
                <w:lang w:val="en-GB" w:eastAsia="en-GB"/>
              </w:rPr>
              <w:t xml:space="preserve">The </w:t>
            </w:r>
            <w:r w:rsidRPr="00FD1418">
              <w:rPr>
                <w:rFonts w:eastAsia="Times New Roman"/>
                <w:sz w:val="18"/>
                <w:szCs w:val="18"/>
                <w:lang w:val="en-GB" w:eastAsia="en-GB"/>
              </w:rPr>
              <w:t xml:space="preserve">Cochran's Q statistic to our </w:t>
            </w:r>
            <w:r>
              <w:rPr>
                <w:rFonts w:eastAsiaTheme="minorEastAsia" w:hint="eastAsia"/>
                <w:sz w:val="18"/>
                <w:szCs w:val="18"/>
                <w:lang w:val="en-GB" w:eastAsia="zh-CN"/>
              </w:rPr>
              <w:t>multi-SNP</w:t>
            </w:r>
            <w:r w:rsidRPr="00FD1418">
              <w:rPr>
                <w:rFonts w:eastAsia="Times New Roman"/>
                <w:sz w:val="18"/>
                <w:szCs w:val="18"/>
                <w:lang w:val="en-GB" w:eastAsia="en-GB"/>
              </w:rPr>
              <w:t xml:space="preserve"> analyses and </w:t>
            </w:r>
            <w:bookmarkStart w:id="2" w:name="_Hlk191154030"/>
            <w:r w:rsidRPr="00FD1418">
              <w:rPr>
                <w:rFonts w:eastAsia="Times New Roman"/>
                <w:sz w:val="18"/>
                <w:szCs w:val="18"/>
                <w:lang w:val="en-GB" w:eastAsia="en-GB"/>
              </w:rPr>
              <w:t>Rucker's Q statistic</w:t>
            </w:r>
            <w:r w:rsidRPr="00FD1418">
              <w:rPr>
                <w:rFonts w:eastAsia="Times New Roman" w:hint="eastAsia"/>
                <w:sz w:val="18"/>
                <w:szCs w:val="18"/>
                <w:lang w:val="en-GB" w:eastAsia="en-GB"/>
              </w:rPr>
              <w:t xml:space="preserve"> </w:t>
            </w:r>
            <w:bookmarkEnd w:id="2"/>
            <w:r w:rsidRPr="00FD1418">
              <w:rPr>
                <w:rFonts w:eastAsia="Times New Roman" w:hint="eastAsia"/>
                <w:sz w:val="18"/>
                <w:szCs w:val="18"/>
                <w:lang w:val="en-GB" w:eastAsia="en-GB"/>
              </w:rPr>
              <w:t>did not detect any heterogeneity and MR-Egger intercept test did not show any directional pleiotropy.</w:t>
            </w:r>
          </w:p>
        </w:tc>
      </w:tr>
      <w:tr w:rsidR="00687592" w:rsidRPr="00B853C6" w14:paraId="23F1C43D" w14:textId="6396118D" w:rsidTr="003D447D">
        <w:tc>
          <w:tcPr>
            <w:tcW w:w="587" w:type="dxa"/>
            <w:shd w:val="clear" w:color="auto" w:fill="auto"/>
          </w:tcPr>
          <w:p w14:paraId="021A9BB4"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687592" w:rsidRPr="00F0337F" w:rsidRDefault="00687592" w:rsidP="0068759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720" w:type="dxa"/>
          </w:tcPr>
          <w:p w14:paraId="50481D19"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4320" w:type="dxa"/>
          </w:tcPr>
          <w:p w14:paraId="0F2C43F0" w14:textId="77777777" w:rsidR="00687592" w:rsidRDefault="00687592" w:rsidP="00687592">
            <w:pPr>
              <w:spacing w:beforeLines="40" w:before="96" w:afterLines="40" w:after="96" w:line="24" w:lineRule="atLeast"/>
              <w:rPr>
                <w:rFonts w:eastAsia="Cambria"/>
                <w:sz w:val="18"/>
                <w:szCs w:val="18"/>
                <w:lang w:val="en-GB" w:eastAsia="en-US"/>
              </w:rPr>
            </w:pPr>
          </w:p>
        </w:tc>
      </w:tr>
      <w:tr w:rsidR="00687592" w:rsidRPr="00B853C6" w14:paraId="1ABE2F1D" w14:textId="316B0F58" w:rsidTr="003D447D">
        <w:tc>
          <w:tcPr>
            <w:tcW w:w="587" w:type="dxa"/>
            <w:shd w:val="clear" w:color="auto" w:fill="EEEEEE"/>
          </w:tcPr>
          <w:p w14:paraId="0D022F9B"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4A3BAD1F"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4,5</w:t>
            </w:r>
          </w:p>
        </w:tc>
        <w:tc>
          <w:tcPr>
            <w:tcW w:w="4320" w:type="dxa"/>
            <w:shd w:val="clear" w:color="auto" w:fill="EEEEEE"/>
          </w:tcPr>
          <w:p w14:paraId="73386906" w14:textId="2B68CC25" w:rsidR="00687592" w:rsidRDefault="00687592" w:rsidP="00687592">
            <w:pPr>
              <w:spacing w:beforeLines="40" w:before="96" w:afterLines="40" w:after="96" w:line="24" w:lineRule="atLeast"/>
              <w:rPr>
                <w:rFonts w:eastAsia="Times New Roman"/>
                <w:sz w:val="18"/>
                <w:szCs w:val="18"/>
                <w:lang w:val="en-GB" w:eastAsia="en-GB"/>
              </w:rPr>
            </w:pPr>
            <w:r w:rsidRPr="00CB7FFD">
              <w:rPr>
                <w:rFonts w:eastAsia="Times New Roman"/>
                <w:sz w:val="18"/>
                <w:szCs w:val="18"/>
                <w:lang w:eastAsia="en-GB"/>
              </w:rPr>
              <w:t xml:space="preserve">Additional analysis methods can be found in </w:t>
            </w:r>
            <w:r>
              <w:rPr>
                <w:rFonts w:eastAsiaTheme="minorEastAsia" w:hint="eastAsia"/>
                <w:sz w:val="18"/>
                <w:szCs w:val="18"/>
                <w:lang w:eastAsia="zh-CN"/>
              </w:rPr>
              <w:t xml:space="preserve">Table 1 and </w:t>
            </w:r>
            <w:r w:rsidRPr="00FD1418">
              <w:rPr>
                <w:rFonts w:eastAsiaTheme="minorEastAsia"/>
                <w:sz w:val="18"/>
                <w:szCs w:val="18"/>
                <w:lang w:eastAsia="zh-CN"/>
              </w:rPr>
              <w:t xml:space="preserve">Supplementary Table </w:t>
            </w:r>
            <w:r>
              <w:rPr>
                <w:rFonts w:eastAsiaTheme="minorEastAsia" w:hint="eastAsia"/>
                <w:sz w:val="18"/>
                <w:szCs w:val="18"/>
                <w:lang w:eastAsia="zh-CN"/>
              </w:rPr>
              <w:t>1</w:t>
            </w:r>
            <w:r w:rsidRPr="00CB7FFD">
              <w:rPr>
                <w:rFonts w:eastAsia="Times New Roman"/>
                <w:sz w:val="18"/>
                <w:szCs w:val="18"/>
                <w:lang w:eastAsia="en-GB"/>
              </w:rPr>
              <w:t>.</w:t>
            </w:r>
          </w:p>
        </w:tc>
      </w:tr>
      <w:tr w:rsidR="00687592" w:rsidRPr="00B853C6" w14:paraId="3696A9F1" w14:textId="63B96DDA" w:rsidTr="003D447D">
        <w:tc>
          <w:tcPr>
            <w:tcW w:w="587" w:type="dxa"/>
            <w:shd w:val="clear" w:color="auto" w:fill="auto"/>
          </w:tcPr>
          <w:p w14:paraId="0D2234E5"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447F5BF5" w14:textId="4305179C"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6</w:t>
            </w:r>
          </w:p>
        </w:tc>
        <w:tc>
          <w:tcPr>
            <w:tcW w:w="4320" w:type="dxa"/>
          </w:tcPr>
          <w:p w14:paraId="5BB83735" w14:textId="725B6051" w:rsidR="00687592" w:rsidRDefault="00687592" w:rsidP="00687592">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Leave-one-out and funnel plot analysis method are detailed in Figure 5.</w:t>
            </w:r>
          </w:p>
        </w:tc>
      </w:tr>
      <w:tr w:rsidR="00687592" w:rsidRPr="00B853C6" w14:paraId="1650BAB8" w14:textId="79D11DE7" w:rsidTr="003D447D">
        <w:tc>
          <w:tcPr>
            <w:tcW w:w="587" w:type="dxa"/>
            <w:shd w:val="clear" w:color="auto" w:fill="EEEEEE"/>
          </w:tcPr>
          <w:p w14:paraId="4D025CC4"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687592" w:rsidRPr="00A1236D" w:rsidRDefault="00687592" w:rsidP="0068759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2E73E512"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4,5,6</w:t>
            </w:r>
          </w:p>
        </w:tc>
        <w:tc>
          <w:tcPr>
            <w:tcW w:w="4320" w:type="dxa"/>
            <w:shd w:val="clear" w:color="auto" w:fill="EEEEEE"/>
          </w:tcPr>
          <w:p w14:paraId="66751F07" w14:textId="4E0B87EF" w:rsidR="00687592" w:rsidRDefault="00687592" w:rsidP="00687592">
            <w:pPr>
              <w:spacing w:beforeLines="40" w:before="96" w:afterLines="40" w:after="96" w:line="24" w:lineRule="atLeast"/>
              <w:rPr>
                <w:rFonts w:eastAsia="Times New Roman"/>
                <w:sz w:val="18"/>
                <w:szCs w:val="18"/>
                <w:lang w:val="en-GB" w:eastAsia="en-GB"/>
              </w:rPr>
            </w:pPr>
            <w:r w:rsidRPr="002B6EE1">
              <w:rPr>
                <w:rFonts w:eastAsia="Times New Roman"/>
                <w:sz w:val="18"/>
                <w:szCs w:val="18"/>
                <w:lang w:eastAsia="en-GB"/>
              </w:rPr>
              <w:t xml:space="preserve">We applied a </w:t>
            </w:r>
            <w:r>
              <w:rPr>
                <w:rFonts w:eastAsiaTheme="minorEastAsia" w:hint="eastAsia"/>
                <w:sz w:val="18"/>
                <w:szCs w:val="18"/>
                <w:lang w:eastAsia="zh-CN"/>
              </w:rPr>
              <w:t>network</w:t>
            </w:r>
            <w:r w:rsidRPr="002B6EE1">
              <w:rPr>
                <w:rFonts w:eastAsia="Times New Roman"/>
                <w:sz w:val="18"/>
                <w:szCs w:val="18"/>
                <w:lang w:eastAsia="en-GB"/>
              </w:rPr>
              <w:t xml:space="preserve"> Mendelian randomization analysis</w:t>
            </w:r>
            <w:r>
              <w:rPr>
                <w:rFonts w:eastAsiaTheme="minorEastAsia" w:hint="eastAsia"/>
                <w:sz w:val="18"/>
                <w:szCs w:val="18"/>
                <w:lang w:eastAsia="zh-CN"/>
              </w:rPr>
              <w:t xml:space="preserve"> (including multi-SNP MR, top-SNP-MR, Bayesian MR)</w:t>
            </w:r>
            <w:r w:rsidRPr="002B6EE1">
              <w:rPr>
                <w:rFonts w:eastAsia="Times New Roman"/>
                <w:sz w:val="18"/>
                <w:szCs w:val="18"/>
                <w:lang w:eastAsia="en-GB"/>
              </w:rPr>
              <w:t xml:space="preserve">. </w:t>
            </w:r>
          </w:p>
        </w:tc>
      </w:tr>
      <w:tr w:rsidR="00687592" w:rsidRPr="00B853C6" w14:paraId="2034ACF7" w14:textId="19A8CB33" w:rsidTr="003D447D">
        <w:tc>
          <w:tcPr>
            <w:tcW w:w="587" w:type="dxa"/>
            <w:shd w:val="clear" w:color="auto" w:fill="auto"/>
          </w:tcPr>
          <w:p w14:paraId="3217ECED"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77777777" w:rsidR="00687592" w:rsidRPr="00A1236D" w:rsidRDefault="00687592" w:rsidP="00687592">
            <w:pPr>
              <w:spacing w:beforeLines="40" w:before="96" w:afterLines="40" w:after="96" w:line="24" w:lineRule="atLeast"/>
              <w:rPr>
                <w:rFonts w:eastAsia="Times New Roman"/>
                <w:sz w:val="18"/>
                <w:szCs w:val="18"/>
                <w:lang w:val="en-GB" w:eastAsia="en-GB"/>
              </w:rPr>
            </w:pPr>
          </w:p>
        </w:tc>
        <w:tc>
          <w:tcPr>
            <w:tcW w:w="4320" w:type="dxa"/>
          </w:tcPr>
          <w:p w14:paraId="7B882C5B" w14:textId="2DA03AA8" w:rsidR="00687592" w:rsidRDefault="00687592" w:rsidP="00687592">
            <w:pPr>
              <w:spacing w:beforeLines="40" w:before="96" w:afterLines="40" w:after="96" w:line="24" w:lineRule="atLeast"/>
              <w:rPr>
                <w:rFonts w:eastAsia="Times New Roman"/>
                <w:sz w:val="18"/>
                <w:szCs w:val="18"/>
                <w:lang w:val="en-GB" w:eastAsia="en-GB"/>
              </w:rPr>
            </w:pPr>
            <w:r w:rsidRPr="002B6EE1">
              <w:rPr>
                <w:rFonts w:eastAsia="Times New Roman"/>
                <w:sz w:val="18"/>
                <w:szCs w:val="18"/>
                <w:lang w:eastAsia="en-GB"/>
              </w:rPr>
              <w:t>This study does not involve non-MR studies.</w:t>
            </w:r>
          </w:p>
        </w:tc>
      </w:tr>
      <w:tr w:rsidR="00687592" w:rsidRPr="00B853C6" w14:paraId="3E7CFBFC" w14:textId="3F99A047" w:rsidTr="003D447D">
        <w:tc>
          <w:tcPr>
            <w:tcW w:w="587" w:type="dxa"/>
            <w:tcBorders>
              <w:bottom w:val="single" w:sz="6" w:space="0" w:color="7F7F7F"/>
            </w:tcBorders>
            <w:shd w:val="clear" w:color="auto" w:fill="EEEEEE"/>
          </w:tcPr>
          <w:p w14:paraId="1FDC421F"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687592" w:rsidRPr="00A1236D" w:rsidRDefault="00687592" w:rsidP="0068759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5DE8805B"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6</w:t>
            </w:r>
          </w:p>
        </w:tc>
        <w:tc>
          <w:tcPr>
            <w:tcW w:w="4320" w:type="dxa"/>
            <w:tcBorders>
              <w:bottom w:val="single" w:sz="6" w:space="0" w:color="7F7F7F"/>
            </w:tcBorders>
            <w:shd w:val="clear" w:color="auto" w:fill="EEEEEE"/>
          </w:tcPr>
          <w:p w14:paraId="03A6AB93" w14:textId="5BA4D767" w:rsidR="00687592" w:rsidRDefault="00687592" w:rsidP="00687592">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Leave-one-out and funnel plot analysis method are detailed in Supplementary Figure 5.</w:t>
            </w:r>
          </w:p>
        </w:tc>
      </w:tr>
      <w:tr w:rsidR="00687592" w:rsidRPr="00B853C6" w14:paraId="5B7D2773" w14:textId="7D8D257A" w:rsidTr="003D447D">
        <w:tc>
          <w:tcPr>
            <w:tcW w:w="587" w:type="dxa"/>
            <w:tcBorders>
              <w:top w:val="single" w:sz="6" w:space="0" w:color="7F7F7F"/>
            </w:tcBorders>
            <w:shd w:val="clear" w:color="auto" w:fill="auto"/>
          </w:tcPr>
          <w:p w14:paraId="5BDBDA65"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687592" w:rsidRPr="00F0337F" w:rsidRDefault="00687592" w:rsidP="0068759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687592" w:rsidRDefault="00687592" w:rsidP="00687592">
            <w:pPr>
              <w:spacing w:beforeLines="40" w:before="96" w:afterLines="40" w:after="96" w:line="24" w:lineRule="atLeast"/>
              <w:rPr>
                <w:rFonts w:eastAsia="Cambria"/>
                <w:sz w:val="18"/>
                <w:szCs w:val="18"/>
                <w:lang w:val="en-GB" w:eastAsia="en-US"/>
              </w:rPr>
            </w:pPr>
          </w:p>
        </w:tc>
      </w:tr>
      <w:tr w:rsidR="00687592" w:rsidRPr="00B853C6" w14:paraId="1800AF05" w14:textId="4BEA2748" w:rsidTr="003D447D">
        <w:tc>
          <w:tcPr>
            <w:tcW w:w="587" w:type="dxa"/>
            <w:shd w:val="clear" w:color="auto" w:fill="EEEEEE"/>
          </w:tcPr>
          <w:p w14:paraId="6B5F5286"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687592" w:rsidRPr="00F0337F" w:rsidRDefault="00687592" w:rsidP="0068759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687592" w:rsidRPr="00A1236D" w:rsidRDefault="00687592" w:rsidP="0068759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323EC8A6"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p>
        </w:tc>
        <w:tc>
          <w:tcPr>
            <w:tcW w:w="4320" w:type="dxa"/>
            <w:shd w:val="clear" w:color="auto" w:fill="EEEEEE"/>
          </w:tcPr>
          <w:p w14:paraId="198C30F4" w14:textId="77777777" w:rsidR="00687592" w:rsidRPr="00DD3C2A" w:rsidRDefault="00687592" w:rsidP="00687592">
            <w:pPr>
              <w:spacing w:beforeLines="50" w:before="120" w:afterLines="50" w:after="120"/>
              <w:rPr>
                <w:rFonts w:eastAsia="Times New Roman"/>
                <w:sz w:val="18"/>
                <w:szCs w:val="18"/>
                <w:lang w:val="en-GB" w:eastAsia="en-GB"/>
              </w:rPr>
            </w:pPr>
            <w:r w:rsidRPr="00DD3C2A">
              <w:rPr>
                <w:rFonts w:eastAsia="Times New Roman"/>
                <w:sz w:val="18"/>
                <w:szCs w:val="18"/>
                <w:lang w:val="en-GB" w:eastAsia="en-GB"/>
              </w:rPr>
              <w:t xml:space="preserve">This study provides new insights into the genetic and molecular mechanisms of OA subtypes, highlighting potential therapeutic targets. The </w:t>
            </w:r>
            <w:r w:rsidRPr="00DD3C2A">
              <w:rPr>
                <w:rFonts w:eastAsia="Times New Roman"/>
                <w:sz w:val="18"/>
                <w:szCs w:val="18"/>
                <w:lang w:val="en-GB" w:eastAsia="en-GB"/>
              </w:rPr>
              <w:lastRenderedPageBreak/>
              <w:t>integration of protein ratio GWAS with network MR offers a comprehensive approach to understanding the complex pathogenesis of OA and emphasizes the need for subtype-specific therapeutic strategies.</w:t>
            </w:r>
          </w:p>
          <w:p w14:paraId="70F1DDE7" w14:textId="77777777" w:rsidR="00687592" w:rsidRDefault="00687592" w:rsidP="00687592">
            <w:pPr>
              <w:spacing w:beforeLines="40" w:before="96" w:afterLines="40" w:after="96" w:line="24" w:lineRule="atLeast"/>
              <w:rPr>
                <w:rFonts w:eastAsia="Times New Roman"/>
                <w:sz w:val="18"/>
                <w:szCs w:val="18"/>
                <w:lang w:val="en-GB" w:eastAsia="en-GB"/>
              </w:rPr>
            </w:pPr>
          </w:p>
        </w:tc>
      </w:tr>
      <w:tr w:rsidR="00687592" w:rsidRPr="00B853C6" w14:paraId="06BFAFA4" w14:textId="151FB6CE" w:rsidTr="003D447D">
        <w:tc>
          <w:tcPr>
            <w:tcW w:w="587" w:type="dxa"/>
            <w:shd w:val="clear" w:color="auto" w:fill="auto"/>
          </w:tcPr>
          <w:p w14:paraId="6D471CC5"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15</w:t>
            </w:r>
          </w:p>
        </w:tc>
        <w:tc>
          <w:tcPr>
            <w:tcW w:w="1822" w:type="dxa"/>
            <w:shd w:val="clear" w:color="auto" w:fill="auto"/>
          </w:tcPr>
          <w:p w14:paraId="5C27961E" w14:textId="77777777" w:rsidR="00687592" w:rsidRPr="00F0337F" w:rsidRDefault="00687592" w:rsidP="0068759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687592" w:rsidRPr="00A1236D" w:rsidRDefault="00687592" w:rsidP="0068759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Discuss limitations of the study, </w:t>
            </w:r>
            <w:proofErr w:type="gramStart"/>
            <w:r w:rsidRPr="00A1236D">
              <w:rPr>
                <w:rFonts w:eastAsia="Times New Roman"/>
                <w:sz w:val="18"/>
                <w:szCs w:val="18"/>
                <w:lang w:val="en-GB" w:eastAsia="en-GB"/>
              </w:rPr>
              <w:t>taking into account</w:t>
            </w:r>
            <w:proofErr w:type="gramEnd"/>
            <w:r w:rsidRPr="00A1236D">
              <w:rPr>
                <w:rFonts w:eastAsia="Times New Roman"/>
                <w:sz w:val="18"/>
                <w:szCs w:val="18"/>
                <w:lang w:val="en-GB" w:eastAsia="en-GB"/>
              </w:rPr>
              <w:t xml:space="preserve">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1B4995FD"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tcPr>
          <w:p w14:paraId="59653907" w14:textId="77777777" w:rsidR="00687592" w:rsidRPr="008A1413" w:rsidRDefault="00687592" w:rsidP="00687592">
            <w:pPr>
              <w:spacing w:beforeLines="40" w:before="96" w:afterLines="40" w:after="96" w:line="24" w:lineRule="atLeast"/>
              <w:rPr>
                <w:rFonts w:eastAsia="Cambria"/>
                <w:sz w:val="18"/>
                <w:szCs w:val="18"/>
                <w:lang w:val="en-GB" w:eastAsia="en-US"/>
              </w:rPr>
            </w:pPr>
            <w:r w:rsidRPr="008A1413">
              <w:rPr>
                <w:rFonts w:eastAsia="Cambria"/>
                <w:sz w:val="18"/>
                <w:szCs w:val="18"/>
                <w:lang w:val="en-GB" w:eastAsia="en-US"/>
              </w:rPr>
              <w:t xml:space="preserve">While this study provides valuable insights into the genetic mechanisms of OA subtypes, it has some limitations. The relatively lenient P-value threshold for instrumental variables may have introduced some bias, although the F-statistic filtering and sensitivity analyses helped mitigate this risk. Future studies should validate these findings in larger cohorts and explore the functional mechanisms underlying the identified </w:t>
            </w:r>
            <w:proofErr w:type="spellStart"/>
            <w:r w:rsidRPr="008A1413">
              <w:rPr>
                <w:rFonts w:eastAsia="Cambria"/>
                <w:sz w:val="18"/>
                <w:szCs w:val="18"/>
                <w:lang w:val="en-GB" w:eastAsia="en-US"/>
              </w:rPr>
              <w:t>rQTLs</w:t>
            </w:r>
            <w:proofErr w:type="spellEnd"/>
            <w:r w:rsidRPr="008A1413">
              <w:rPr>
                <w:rFonts w:eastAsia="Cambria"/>
                <w:sz w:val="18"/>
                <w:szCs w:val="18"/>
                <w:lang w:val="en-GB" w:eastAsia="en-US"/>
              </w:rPr>
              <w:t>. Additionally, further research is needed to investigate the potential therapeutic applications of these findings and to develop targeted treatments for different OA subtypes.</w:t>
            </w:r>
          </w:p>
          <w:p w14:paraId="7CB4BA33" w14:textId="77777777" w:rsidR="00687592" w:rsidRDefault="00687592" w:rsidP="00687592">
            <w:pPr>
              <w:spacing w:beforeLines="40" w:before="96" w:afterLines="40" w:after="96" w:line="24" w:lineRule="atLeast"/>
              <w:rPr>
                <w:rFonts w:eastAsia="Times New Roman"/>
                <w:sz w:val="18"/>
                <w:szCs w:val="18"/>
                <w:lang w:val="en-GB" w:eastAsia="en-GB"/>
              </w:rPr>
            </w:pPr>
          </w:p>
        </w:tc>
      </w:tr>
      <w:tr w:rsidR="00687592" w:rsidRPr="00B853C6" w14:paraId="71F8B8B5" w14:textId="34C247AC" w:rsidTr="003D447D">
        <w:tc>
          <w:tcPr>
            <w:tcW w:w="587" w:type="dxa"/>
            <w:shd w:val="clear" w:color="auto" w:fill="EEEEEE"/>
          </w:tcPr>
          <w:p w14:paraId="02C1D590" w14:textId="77777777" w:rsidR="00687592" w:rsidRPr="00F0337F" w:rsidRDefault="00687592" w:rsidP="0068759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22" w:type="dxa"/>
            <w:shd w:val="clear" w:color="auto" w:fill="EEEEEE"/>
          </w:tcPr>
          <w:p w14:paraId="612AA484" w14:textId="77777777" w:rsidR="00687592" w:rsidRPr="00F0337F" w:rsidRDefault="00687592" w:rsidP="0068759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687592" w:rsidRPr="00A1236D" w:rsidRDefault="00687592" w:rsidP="00687592">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687592" w:rsidRDefault="00687592" w:rsidP="00687592">
            <w:pPr>
              <w:spacing w:beforeLines="40" w:before="96" w:afterLines="40" w:after="96" w:line="24" w:lineRule="atLeast"/>
              <w:rPr>
                <w:rFonts w:eastAsia="Cambria"/>
                <w:sz w:val="18"/>
                <w:szCs w:val="18"/>
                <w:lang w:val="en-GB" w:eastAsia="en-US"/>
              </w:rPr>
            </w:pPr>
          </w:p>
        </w:tc>
      </w:tr>
      <w:tr w:rsidR="00687592" w:rsidRPr="00B853C6" w14:paraId="62E6D51A" w14:textId="140D03A2" w:rsidTr="003D447D">
        <w:tc>
          <w:tcPr>
            <w:tcW w:w="587" w:type="dxa"/>
            <w:shd w:val="clear" w:color="auto" w:fill="auto"/>
          </w:tcPr>
          <w:p w14:paraId="6DD2F448"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687592" w:rsidRPr="00A1236D" w:rsidRDefault="00687592" w:rsidP="0068759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w:t>
            </w:r>
            <w:proofErr w:type="gramStart"/>
            <w:r w:rsidRPr="00A1236D">
              <w:rPr>
                <w:rFonts w:eastAsia="Times New Roman"/>
                <w:sz w:val="18"/>
                <w:szCs w:val="18"/>
                <w:lang w:val="en-GB" w:eastAsia="en-GB"/>
              </w:rPr>
              <w:t xml:space="preserve">and in comparison </w:t>
            </w:r>
            <w:proofErr w:type="gramEnd"/>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29302278" w:rsidR="00687592" w:rsidRPr="00687592" w:rsidRDefault="00687592"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tcPr>
          <w:p w14:paraId="7C3570AA" w14:textId="77777777" w:rsidR="00687592" w:rsidRPr="00052CEC" w:rsidRDefault="00687592" w:rsidP="00687592">
            <w:pPr>
              <w:spacing w:beforeLines="40" w:before="96" w:afterLines="40" w:after="96" w:line="24" w:lineRule="atLeast"/>
              <w:rPr>
                <w:rFonts w:eastAsia="Times New Roman"/>
                <w:sz w:val="18"/>
                <w:szCs w:val="18"/>
                <w:lang w:val="en-GB" w:eastAsia="en-GB"/>
              </w:rPr>
            </w:pPr>
            <w:r w:rsidRPr="00052CEC">
              <w:rPr>
                <w:rFonts w:eastAsia="Times New Roman"/>
                <w:sz w:val="18"/>
                <w:szCs w:val="18"/>
                <w:lang w:val="en-GB" w:eastAsia="en-GB"/>
              </w:rPr>
              <w:t xml:space="preserve">this study is the first to integrate protein ratio GWAS with network MR, systematically dissecting the genetic-molecular mechanisms of OA subtypes, providing new insights into the pathogenesis of the disease and highlights potential targets for therapeutic interventions. Future research should focus on validating these findings. Additionally, exploring the functional roles of the identified </w:t>
            </w:r>
            <w:proofErr w:type="spellStart"/>
            <w:r w:rsidRPr="00052CEC">
              <w:rPr>
                <w:rFonts w:eastAsia="Times New Roman"/>
                <w:sz w:val="18"/>
                <w:szCs w:val="18"/>
                <w:lang w:val="en-GB" w:eastAsia="en-GB"/>
              </w:rPr>
              <w:t>rQTLs</w:t>
            </w:r>
            <w:proofErr w:type="spellEnd"/>
            <w:r w:rsidRPr="00052CEC">
              <w:rPr>
                <w:rFonts w:eastAsia="Times New Roman"/>
                <w:sz w:val="18"/>
                <w:szCs w:val="18"/>
                <w:lang w:val="en-GB" w:eastAsia="en-GB"/>
              </w:rPr>
              <w:t xml:space="preserve"> in preclinical models and clinical trials will be crucial for developing targeted therapeutic strategies to improve the management and treatment of OA</w:t>
            </w:r>
          </w:p>
          <w:p w14:paraId="5251245C" w14:textId="77777777" w:rsidR="00687592" w:rsidRDefault="00687592" w:rsidP="00687592">
            <w:pPr>
              <w:spacing w:beforeLines="40" w:before="96" w:afterLines="40" w:after="96" w:line="24" w:lineRule="atLeast"/>
              <w:rPr>
                <w:rFonts w:eastAsia="Times New Roman"/>
                <w:sz w:val="18"/>
                <w:szCs w:val="18"/>
                <w:lang w:val="en-GB" w:eastAsia="en-GB"/>
              </w:rPr>
            </w:pPr>
          </w:p>
        </w:tc>
      </w:tr>
      <w:tr w:rsidR="00687592" w:rsidRPr="00B853C6" w14:paraId="156B69E5" w14:textId="453FC5BE" w:rsidTr="003D447D">
        <w:tc>
          <w:tcPr>
            <w:tcW w:w="587" w:type="dxa"/>
            <w:shd w:val="clear" w:color="auto" w:fill="EEEEEE"/>
          </w:tcPr>
          <w:p w14:paraId="4C8A2215" w14:textId="77777777" w:rsidR="00687592" w:rsidRPr="00F0337F" w:rsidRDefault="00687592" w:rsidP="0068759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687592" w:rsidRPr="00F0337F" w:rsidRDefault="00687592" w:rsidP="0068759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687592" w:rsidRPr="00A1236D" w:rsidRDefault="00687592" w:rsidP="0068759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2288F84F" w:rsidR="00687592" w:rsidRPr="00614A28" w:rsidRDefault="00614A28" w:rsidP="00687592">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7,8,9</w:t>
            </w:r>
          </w:p>
        </w:tc>
        <w:tc>
          <w:tcPr>
            <w:tcW w:w="4320" w:type="dxa"/>
            <w:shd w:val="clear" w:color="auto" w:fill="EEEEEE"/>
          </w:tcPr>
          <w:p w14:paraId="3A91F000" w14:textId="061FE80E" w:rsidR="00687592" w:rsidRDefault="00687592" w:rsidP="00687592">
            <w:pPr>
              <w:spacing w:beforeLines="40" w:before="96" w:afterLines="40" w:after="96" w:line="24" w:lineRule="atLeast"/>
              <w:rPr>
                <w:rFonts w:eastAsia="Times New Roman"/>
                <w:sz w:val="18"/>
                <w:szCs w:val="18"/>
                <w:lang w:val="en-GB" w:eastAsia="en-GB"/>
              </w:rPr>
            </w:pPr>
            <w:r w:rsidRPr="00052CEC">
              <w:rPr>
                <w:rFonts w:eastAsia="Times New Roman"/>
                <w:sz w:val="18"/>
                <w:szCs w:val="18"/>
                <w:lang w:val="en-US" w:eastAsia="en-GB"/>
              </w:rPr>
              <w:t>In the discussion section, we focus on relevant studies investigating the causal relationship between protein ratios and different types of osteoarthritis. Using Mendelian randomization, we explored this causal relationship at the molecular level.</w:t>
            </w:r>
          </w:p>
        </w:tc>
      </w:tr>
      <w:tr w:rsidR="00614A28" w:rsidRPr="00B853C6" w14:paraId="203390A0" w14:textId="367D17C4" w:rsidTr="003D447D">
        <w:tc>
          <w:tcPr>
            <w:tcW w:w="587" w:type="dxa"/>
            <w:shd w:val="clear" w:color="auto" w:fill="auto"/>
          </w:tcPr>
          <w:p w14:paraId="54CA3A27" w14:textId="77777777" w:rsidR="00614A28" w:rsidRPr="00F0337F" w:rsidRDefault="00614A28" w:rsidP="00614A28">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614A28" w:rsidRPr="00F0337F" w:rsidRDefault="00614A28" w:rsidP="00614A28">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614A28" w:rsidRPr="00A1236D" w:rsidRDefault="00614A28" w:rsidP="00614A28">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28B553BF" w:rsidR="00614A28" w:rsidRPr="00614A28" w:rsidRDefault="00614A28" w:rsidP="00614A28">
            <w:pPr>
              <w:tabs>
                <w:tab w:val="left" w:pos="1350"/>
              </w:tabs>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tcPr>
          <w:p w14:paraId="78058AE6" w14:textId="76E4203A" w:rsidR="00614A28" w:rsidRDefault="00614A28" w:rsidP="00614A28">
            <w:pPr>
              <w:tabs>
                <w:tab w:val="left" w:pos="1350"/>
              </w:tabs>
              <w:spacing w:beforeLines="40" w:before="96" w:afterLines="40" w:after="96" w:line="24" w:lineRule="atLeast"/>
              <w:rPr>
                <w:rFonts w:eastAsia="Times New Roman"/>
                <w:sz w:val="18"/>
                <w:szCs w:val="18"/>
                <w:lang w:val="en-GB" w:eastAsia="en-GB"/>
              </w:rPr>
            </w:pPr>
            <w:r w:rsidRPr="00052CEC">
              <w:rPr>
                <w:rFonts w:eastAsia="Times New Roman"/>
                <w:sz w:val="18"/>
                <w:szCs w:val="18"/>
                <w:lang w:val="en-GB" w:eastAsia="en-GB"/>
              </w:rPr>
              <w:t xml:space="preserve">The findings of this study have significant clinical implications. The identification of specific </w:t>
            </w:r>
            <w:proofErr w:type="spellStart"/>
            <w:r w:rsidRPr="00052CEC">
              <w:rPr>
                <w:rFonts w:eastAsia="Times New Roman"/>
                <w:sz w:val="18"/>
                <w:szCs w:val="18"/>
                <w:lang w:val="en-GB" w:eastAsia="en-GB"/>
              </w:rPr>
              <w:t>rQTLs</w:t>
            </w:r>
            <w:proofErr w:type="spellEnd"/>
            <w:r w:rsidRPr="00052CEC">
              <w:rPr>
                <w:rFonts w:eastAsia="Times New Roman"/>
                <w:sz w:val="18"/>
                <w:szCs w:val="18"/>
                <w:lang w:val="en-GB" w:eastAsia="en-GB"/>
              </w:rPr>
              <w:t xml:space="preserve"> associated with different OA subtypes provides potential targets for therapeutic interventions. For example, modulating TGF-β </w:t>
            </w:r>
            <w:proofErr w:type="spellStart"/>
            <w:r w:rsidRPr="00052CEC">
              <w:rPr>
                <w:rFonts w:eastAsia="Times New Roman"/>
                <w:sz w:val="18"/>
                <w:szCs w:val="18"/>
                <w:lang w:val="en-GB" w:eastAsia="en-GB"/>
              </w:rPr>
              <w:t>signaling</w:t>
            </w:r>
            <w:proofErr w:type="spellEnd"/>
            <w:r w:rsidRPr="00052CEC">
              <w:rPr>
                <w:rFonts w:eastAsia="Times New Roman"/>
                <w:sz w:val="18"/>
                <w:szCs w:val="18"/>
                <w:lang w:val="en-GB" w:eastAsia="en-GB"/>
              </w:rPr>
              <w:t xml:space="preserve"> in hip OA or targeting immune and inflammatory pathways in knee, spine, finger, thumb, and hand OA may offer new treatment strategies. Additionally, the insights gained from this study may aid in the development of personalized treatment approaches tailored to the specific subtype of OA, ultimately improving patient outcomes.</w:t>
            </w:r>
          </w:p>
        </w:tc>
      </w:tr>
      <w:tr w:rsidR="00614A28" w:rsidRPr="00B853C6" w14:paraId="71FDAFC1" w14:textId="00A47F15" w:rsidTr="003D447D">
        <w:tc>
          <w:tcPr>
            <w:tcW w:w="587" w:type="dxa"/>
            <w:tcBorders>
              <w:bottom w:val="single" w:sz="6" w:space="0" w:color="7F7F7F"/>
            </w:tcBorders>
            <w:shd w:val="clear" w:color="auto" w:fill="EEEEEE"/>
          </w:tcPr>
          <w:p w14:paraId="7540155A" w14:textId="77777777" w:rsidR="00614A28" w:rsidRPr="00F0337F" w:rsidRDefault="00614A28" w:rsidP="00614A28">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614A28" w:rsidRPr="00F0337F" w:rsidRDefault="00614A28" w:rsidP="00614A28">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614A28" w:rsidRPr="00A1236D" w:rsidRDefault="00614A28" w:rsidP="00614A28">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04558BC1" w:rsidR="00614A28" w:rsidRPr="00614A28" w:rsidRDefault="00614A28" w:rsidP="00614A28">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tcBorders>
              <w:bottom w:val="single" w:sz="6" w:space="0" w:color="7F7F7F"/>
            </w:tcBorders>
            <w:shd w:val="clear" w:color="auto" w:fill="EEEEEE"/>
          </w:tcPr>
          <w:p w14:paraId="41ABF5A9" w14:textId="5EBFEF8B" w:rsidR="00614A28" w:rsidRDefault="00614A28" w:rsidP="00614A28">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 xml:space="preserve">This study provides a comprehensive analysis of the causal relationship between </w:t>
            </w:r>
            <w:proofErr w:type="spellStart"/>
            <w:r>
              <w:rPr>
                <w:rFonts w:eastAsiaTheme="minorEastAsia" w:hint="eastAsia"/>
                <w:sz w:val="18"/>
                <w:szCs w:val="18"/>
                <w:lang w:val="en-GB" w:eastAsia="zh-CN"/>
              </w:rPr>
              <w:t>rQTL</w:t>
            </w:r>
            <w:proofErr w:type="spellEnd"/>
            <w:r>
              <w:rPr>
                <w:rFonts w:eastAsiaTheme="minorEastAsia" w:hint="eastAsia"/>
                <w:sz w:val="18"/>
                <w:szCs w:val="18"/>
                <w:lang w:val="en-GB" w:eastAsia="zh-CN"/>
              </w:rPr>
              <w:t xml:space="preserve"> and </w:t>
            </w:r>
            <w:r w:rsidRPr="00052CEC">
              <w:rPr>
                <w:rFonts w:eastAsia="Times New Roman"/>
                <w:sz w:val="18"/>
                <w:szCs w:val="18"/>
                <w:lang w:val="en-GB" w:eastAsia="en-GB"/>
              </w:rPr>
              <w:t>different OA subtypes</w:t>
            </w:r>
            <w:r>
              <w:rPr>
                <w:rFonts w:eastAsiaTheme="minorEastAsia" w:hint="eastAsia"/>
                <w:sz w:val="18"/>
                <w:szCs w:val="18"/>
                <w:lang w:val="en-GB" w:eastAsia="zh-CN"/>
              </w:rPr>
              <w:t xml:space="preserve">. </w:t>
            </w:r>
            <w:proofErr w:type="gramStart"/>
            <w:r>
              <w:rPr>
                <w:rFonts w:eastAsiaTheme="minorEastAsia" w:hint="eastAsia"/>
                <w:sz w:val="18"/>
                <w:szCs w:val="18"/>
                <w:lang w:val="en-GB" w:eastAsia="zh-CN"/>
              </w:rPr>
              <w:t>However</w:t>
            </w:r>
            <w:proofErr w:type="gramEnd"/>
            <w:r>
              <w:rPr>
                <w:rFonts w:eastAsiaTheme="minorEastAsia" w:hint="eastAsia"/>
                <w:sz w:val="18"/>
                <w:szCs w:val="18"/>
                <w:lang w:val="en-GB" w:eastAsia="zh-CN"/>
              </w:rPr>
              <w:t xml:space="preserve"> it did not investigate the effects of varying exposure periods or levels. </w:t>
            </w:r>
            <w:r>
              <w:rPr>
                <w:rFonts w:eastAsiaTheme="minorEastAsia"/>
                <w:sz w:val="18"/>
                <w:szCs w:val="18"/>
                <w:lang w:val="en-GB" w:eastAsia="zh-CN"/>
              </w:rPr>
              <w:t>Furthermore</w:t>
            </w:r>
            <w:r>
              <w:rPr>
                <w:rFonts w:eastAsiaTheme="minorEastAsia" w:hint="eastAsia"/>
                <w:sz w:val="18"/>
                <w:szCs w:val="18"/>
                <w:lang w:val="en-GB" w:eastAsia="zh-CN"/>
              </w:rPr>
              <w:t xml:space="preserve">, the </w:t>
            </w:r>
            <w:r>
              <w:rPr>
                <w:rFonts w:eastAsiaTheme="minorEastAsia"/>
                <w:sz w:val="18"/>
                <w:szCs w:val="18"/>
                <w:lang w:val="en-GB" w:eastAsia="zh-CN"/>
              </w:rPr>
              <w:t>study</w:t>
            </w:r>
            <w:r>
              <w:rPr>
                <w:rFonts w:eastAsiaTheme="minorEastAsia" w:hint="eastAsia"/>
                <w:sz w:val="18"/>
                <w:szCs w:val="18"/>
                <w:lang w:val="en-GB" w:eastAsia="zh-CN"/>
              </w:rPr>
              <w:t xml:space="preserve"> was limited to </w:t>
            </w:r>
            <w:proofErr w:type="gramStart"/>
            <w:r>
              <w:rPr>
                <w:rFonts w:eastAsiaTheme="minorEastAsia" w:hint="eastAsia"/>
                <w:sz w:val="18"/>
                <w:szCs w:val="18"/>
                <w:lang w:val="en-GB" w:eastAsia="zh-CN"/>
              </w:rPr>
              <w:t>a  European</w:t>
            </w:r>
            <w:proofErr w:type="gramEnd"/>
            <w:r>
              <w:rPr>
                <w:rFonts w:eastAsiaTheme="minorEastAsia" w:hint="eastAsia"/>
                <w:sz w:val="18"/>
                <w:szCs w:val="18"/>
                <w:lang w:val="en-GB" w:eastAsia="zh-CN"/>
              </w:rPr>
              <w:t xml:space="preserve"> </w:t>
            </w:r>
            <w:r>
              <w:rPr>
                <w:rFonts w:eastAsiaTheme="minorEastAsia"/>
                <w:sz w:val="18"/>
                <w:szCs w:val="18"/>
                <w:lang w:val="en-GB" w:eastAsia="zh-CN"/>
              </w:rPr>
              <w:t>population</w:t>
            </w:r>
            <w:r>
              <w:rPr>
                <w:rFonts w:eastAsiaTheme="minorEastAsia" w:hint="eastAsia"/>
                <w:sz w:val="18"/>
                <w:szCs w:val="18"/>
                <w:lang w:val="en-GB" w:eastAsia="zh-CN"/>
              </w:rPr>
              <w:t xml:space="preserve">, raising questions about its </w:t>
            </w:r>
            <w:r>
              <w:rPr>
                <w:rFonts w:eastAsiaTheme="minorEastAsia"/>
                <w:sz w:val="18"/>
                <w:szCs w:val="18"/>
                <w:lang w:val="en-GB" w:eastAsia="zh-CN"/>
              </w:rPr>
              <w:t>generalizability</w:t>
            </w:r>
            <w:r>
              <w:rPr>
                <w:rFonts w:eastAsiaTheme="minorEastAsia" w:hint="eastAsia"/>
                <w:sz w:val="18"/>
                <w:szCs w:val="18"/>
                <w:lang w:val="en-GB" w:eastAsia="zh-CN"/>
              </w:rPr>
              <w:t xml:space="preserve"> to other populations.</w:t>
            </w:r>
          </w:p>
        </w:tc>
      </w:tr>
      <w:tr w:rsidR="00614A28" w:rsidRPr="00B853C6" w14:paraId="57884E75" w14:textId="6FD41AE6" w:rsidTr="003D447D">
        <w:tc>
          <w:tcPr>
            <w:tcW w:w="587" w:type="dxa"/>
            <w:tcBorders>
              <w:top w:val="single" w:sz="6" w:space="0" w:color="7F7F7F"/>
            </w:tcBorders>
            <w:shd w:val="clear" w:color="auto" w:fill="auto"/>
          </w:tcPr>
          <w:p w14:paraId="2C4C694A" w14:textId="77777777" w:rsidR="00614A28" w:rsidRPr="00F0337F" w:rsidRDefault="00614A28" w:rsidP="00614A28">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614A28" w:rsidRPr="00F0337F" w:rsidRDefault="00614A28" w:rsidP="00614A28">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614A28" w:rsidRPr="00F0337F" w:rsidRDefault="00614A28" w:rsidP="00614A28">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614A28" w:rsidRPr="00F0337F" w:rsidRDefault="00614A28" w:rsidP="00614A28">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614A28" w:rsidRDefault="00614A28" w:rsidP="00614A28">
            <w:pPr>
              <w:spacing w:beforeLines="40" w:before="96" w:afterLines="40" w:after="96" w:line="24" w:lineRule="atLeast"/>
              <w:rPr>
                <w:rFonts w:eastAsia="Cambria"/>
                <w:sz w:val="18"/>
                <w:szCs w:val="18"/>
                <w:lang w:val="en-GB" w:eastAsia="en-US"/>
              </w:rPr>
            </w:pPr>
          </w:p>
        </w:tc>
      </w:tr>
      <w:tr w:rsidR="00614A28" w:rsidRPr="00B853C6" w14:paraId="0014C6D1" w14:textId="2FC4D004" w:rsidTr="003D447D">
        <w:tc>
          <w:tcPr>
            <w:tcW w:w="587" w:type="dxa"/>
            <w:shd w:val="clear" w:color="auto" w:fill="EEEEEE"/>
          </w:tcPr>
          <w:p w14:paraId="2336D08C" w14:textId="77777777" w:rsidR="00614A28" w:rsidRPr="00F0337F" w:rsidRDefault="00614A28" w:rsidP="00614A28">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614A28" w:rsidRPr="00F0337F" w:rsidRDefault="00614A28" w:rsidP="00614A28">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614A28" w:rsidRPr="00F0337F" w:rsidRDefault="00614A28" w:rsidP="00614A28">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7D9DF64E" w:rsidR="00614A28" w:rsidRPr="00614A28" w:rsidRDefault="00614A28" w:rsidP="00614A28">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shd w:val="clear" w:color="auto" w:fill="EEEEEE"/>
          </w:tcPr>
          <w:p w14:paraId="2C6CE5FF" w14:textId="0699D4A9" w:rsidR="00614A28" w:rsidRDefault="00614A28" w:rsidP="00614A28">
            <w:pPr>
              <w:spacing w:beforeLines="40" w:before="96" w:afterLines="40" w:after="96" w:line="24" w:lineRule="atLeast"/>
              <w:rPr>
                <w:rFonts w:eastAsia="Times New Roman"/>
                <w:sz w:val="18"/>
                <w:szCs w:val="18"/>
                <w:lang w:val="en-GB" w:eastAsia="en-GB"/>
              </w:rPr>
            </w:pPr>
            <w:r w:rsidRPr="00AD0551">
              <w:rPr>
                <w:rFonts w:eastAsia="Times New Roman" w:hint="eastAsia"/>
                <w:sz w:val="18"/>
                <w:szCs w:val="18"/>
                <w:lang w:val="en-GB" w:eastAsia="en-GB"/>
              </w:rPr>
              <w:t xml:space="preserve">No funding </w:t>
            </w:r>
            <w:r w:rsidRPr="00AD0551">
              <w:rPr>
                <w:rFonts w:eastAsia="Times New Roman"/>
                <w:sz w:val="18"/>
                <w:szCs w:val="18"/>
                <w:lang w:val="en-GB" w:eastAsia="en-GB"/>
              </w:rPr>
              <w:t>available</w:t>
            </w:r>
            <w:r w:rsidRPr="00AD0551">
              <w:rPr>
                <w:rFonts w:eastAsia="Times New Roman" w:hint="eastAsia"/>
                <w:sz w:val="18"/>
                <w:szCs w:val="18"/>
                <w:lang w:val="en-GB" w:eastAsia="en-GB"/>
              </w:rPr>
              <w:t>.</w:t>
            </w:r>
          </w:p>
        </w:tc>
      </w:tr>
      <w:tr w:rsidR="00614A28" w:rsidRPr="00B853C6" w14:paraId="1B22CB41" w14:textId="102364C9" w:rsidTr="003D447D">
        <w:tc>
          <w:tcPr>
            <w:tcW w:w="587" w:type="dxa"/>
            <w:shd w:val="clear" w:color="auto" w:fill="auto"/>
          </w:tcPr>
          <w:p w14:paraId="381BF2BA" w14:textId="77777777" w:rsidR="00614A28" w:rsidRPr="00F0337F" w:rsidRDefault="00614A28" w:rsidP="00614A28">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614A28" w:rsidRPr="00F0337F" w:rsidRDefault="00614A28" w:rsidP="00614A28">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614A28" w:rsidRPr="00F0337F" w:rsidRDefault="00614A28" w:rsidP="00614A28">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2FFF0300" w:rsidR="00614A28" w:rsidRPr="00614A28" w:rsidRDefault="00614A28" w:rsidP="00614A28">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tcPr>
          <w:p w14:paraId="32669ADA" w14:textId="77777777" w:rsidR="00614A28" w:rsidRPr="00AD0551" w:rsidRDefault="00614A28" w:rsidP="00614A28">
            <w:pPr>
              <w:spacing w:beforeLines="50" w:before="120" w:afterLines="50" w:after="120" w:line="360" w:lineRule="auto"/>
              <w:rPr>
                <w:rFonts w:eastAsia="Times New Roman"/>
                <w:sz w:val="18"/>
                <w:szCs w:val="18"/>
                <w:lang w:val="en-GB" w:eastAsia="en-GB"/>
              </w:rPr>
            </w:pPr>
            <w:bookmarkStart w:id="3" w:name="OLE_LINK32"/>
            <w:r w:rsidRPr="00AD0551">
              <w:rPr>
                <w:rFonts w:eastAsia="Times New Roman"/>
                <w:sz w:val="18"/>
                <w:szCs w:val="18"/>
                <w:lang w:val="en-GB" w:eastAsia="en-GB"/>
              </w:rPr>
              <w:t>The original contributions presented in the study are included in the article/</w:t>
            </w:r>
            <w:hyperlink r:id="rId11" w:anchor="s12" w:history="1">
              <w:r w:rsidRPr="00AD0551">
                <w:rPr>
                  <w:rFonts w:eastAsia="Times New Roman"/>
                  <w:sz w:val="18"/>
                  <w:szCs w:val="18"/>
                  <w:lang w:val="en-GB" w:eastAsia="en-GB"/>
                </w:rPr>
                <w:t>Supplementary Material</w:t>
              </w:r>
            </w:hyperlink>
            <w:r w:rsidRPr="00AD0551">
              <w:rPr>
                <w:rFonts w:eastAsia="Times New Roman"/>
                <w:sz w:val="18"/>
                <w:szCs w:val="18"/>
                <w:lang w:val="en-GB" w:eastAsia="en-GB"/>
              </w:rPr>
              <w:t>.</w:t>
            </w:r>
            <w:bookmarkEnd w:id="3"/>
            <w:r w:rsidRPr="00AD0551">
              <w:rPr>
                <w:rFonts w:eastAsia="Times New Roman"/>
                <w:sz w:val="18"/>
                <w:szCs w:val="18"/>
                <w:lang w:val="en-GB" w:eastAsia="en-GB"/>
              </w:rPr>
              <w:t xml:space="preserve"> Further inquiries can be directed to the corresponding author.</w:t>
            </w:r>
          </w:p>
          <w:p w14:paraId="38DE3AA7" w14:textId="77777777" w:rsidR="00614A28" w:rsidRDefault="00614A28" w:rsidP="00614A28">
            <w:pPr>
              <w:spacing w:beforeLines="40" w:before="96" w:afterLines="40" w:after="96" w:line="24" w:lineRule="atLeast"/>
              <w:rPr>
                <w:rFonts w:eastAsia="Times New Roman"/>
                <w:sz w:val="18"/>
                <w:szCs w:val="18"/>
                <w:lang w:val="en-GB" w:eastAsia="en-GB"/>
              </w:rPr>
            </w:pPr>
          </w:p>
        </w:tc>
      </w:tr>
      <w:tr w:rsidR="00614A28" w:rsidRPr="00B853C6" w14:paraId="1BFE6A86" w14:textId="26747AA0" w:rsidTr="003D447D">
        <w:tc>
          <w:tcPr>
            <w:tcW w:w="587" w:type="dxa"/>
            <w:tcBorders>
              <w:bottom w:val="single" w:sz="6" w:space="0" w:color="7F7F7F"/>
            </w:tcBorders>
            <w:shd w:val="clear" w:color="auto" w:fill="EEEEEE"/>
          </w:tcPr>
          <w:p w14:paraId="20DC2C92" w14:textId="77777777" w:rsidR="00614A28" w:rsidRPr="00F0337F" w:rsidRDefault="00614A28" w:rsidP="00614A28">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614A28" w:rsidRPr="00F0337F" w:rsidRDefault="00614A28" w:rsidP="00614A28">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614A28" w:rsidRPr="00F0337F" w:rsidRDefault="00614A28" w:rsidP="00614A28">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6522E9CB" w:rsidR="00614A28" w:rsidRPr="00614A28" w:rsidRDefault="00614A28" w:rsidP="00614A28">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tcBorders>
              <w:bottom w:val="single" w:sz="6" w:space="0" w:color="7F7F7F"/>
            </w:tcBorders>
            <w:shd w:val="clear" w:color="auto" w:fill="EEEEEE"/>
          </w:tcPr>
          <w:p w14:paraId="598C7CD6" w14:textId="77777777" w:rsidR="00614A28" w:rsidRPr="00AD0551" w:rsidRDefault="00614A28" w:rsidP="00614A28">
            <w:pPr>
              <w:spacing w:beforeLines="50" w:before="120" w:afterLines="50" w:after="120" w:line="360" w:lineRule="auto"/>
              <w:rPr>
                <w:rFonts w:eastAsia="Times New Roman"/>
                <w:sz w:val="18"/>
                <w:szCs w:val="18"/>
                <w:lang w:val="en-GB" w:eastAsia="en-GB"/>
              </w:rPr>
            </w:pPr>
            <w:r w:rsidRPr="00AD0551">
              <w:rPr>
                <w:rFonts w:eastAsia="Times New Roman"/>
                <w:sz w:val="18"/>
                <w:szCs w:val="18"/>
                <w:lang w:val="en-GB" w:eastAsia="en-GB"/>
              </w:rPr>
              <w:t>The authors declare no conflict of interest.</w:t>
            </w:r>
          </w:p>
          <w:p w14:paraId="5D9123A4" w14:textId="77777777" w:rsidR="00614A28" w:rsidRDefault="00614A28" w:rsidP="00614A28">
            <w:pPr>
              <w:spacing w:beforeLines="40" w:before="96" w:afterLines="40" w:after="96" w:line="24" w:lineRule="atLeast"/>
              <w:rPr>
                <w:rFonts w:eastAsia="Times New Roman"/>
                <w:sz w:val="18"/>
                <w:szCs w:val="18"/>
                <w:lang w:val="en-GB" w:eastAsia="en-GB"/>
              </w:rPr>
            </w:pPr>
          </w:p>
        </w:tc>
      </w:tr>
    </w:tbl>
    <w:p w14:paraId="386115B2" w14:textId="17D6D8D3" w:rsidR="00000000" w:rsidRPr="009854A9" w:rsidRDefault="00D65199" w:rsidP="005520ED">
      <w:pPr>
        <w:spacing w:before="240" w:after="240"/>
        <w:rPr>
          <w:sz w:val="19"/>
          <w:szCs w:val="19"/>
        </w:rPr>
      </w:pPr>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lastRenderedPageBreak/>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3D447D">
      <w:footerReference w:type="even" r:id="rId12"/>
      <w:footerReference w:type="default" r:id="rId13"/>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38980" w14:textId="77777777" w:rsidR="00A4635E" w:rsidRDefault="00A4635E">
      <w:pPr>
        <w:spacing w:line="240" w:lineRule="auto"/>
      </w:pPr>
      <w:r>
        <w:separator/>
      </w:r>
    </w:p>
  </w:endnote>
  <w:endnote w:type="continuationSeparator" w:id="0">
    <w:p w14:paraId="4DD5B078" w14:textId="77777777" w:rsidR="00A4635E" w:rsidRDefault="00A46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altName w:val="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A166" w14:textId="77777777" w:rsidR="00000000" w:rsidRDefault="00000000" w:rsidP="00A365E5">
    <w:pPr>
      <w:pStyle w:val="a3"/>
      <w:framePr w:wrap="none" w:vAnchor="text" w:hAnchor="margin" w:xAlign="right" w:y="1"/>
      <w:rPr>
        <w:rStyle w:val="a5"/>
      </w:rPr>
    </w:pPr>
  </w:p>
  <w:p w14:paraId="40A0897E" w14:textId="77777777" w:rsidR="00000000" w:rsidRDefault="00000000"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7B5E" w14:textId="0AA16358" w:rsidR="00000000"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000000" w:rsidRDefault="00000000"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B6781" w14:textId="77777777" w:rsidR="00A4635E" w:rsidRDefault="00A4635E">
      <w:pPr>
        <w:spacing w:line="240" w:lineRule="auto"/>
      </w:pPr>
      <w:r>
        <w:separator/>
      </w:r>
    </w:p>
  </w:footnote>
  <w:footnote w:type="continuationSeparator" w:id="0">
    <w:p w14:paraId="21491787" w14:textId="77777777" w:rsidR="00A4635E" w:rsidRDefault="00A4635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5599C"/>
    <w:rsid w:val="000A4CE8"/>
    <w:rsid w:val="002663E6"/>
    <w:rsid w:val="003D447D"/>
    <w:rsid w:val="003D47DD"/>
    <w:rsid w:val="004B5CBB"/>
    <w:rsid w:val="004E11D4"/>
    <w:rsid w:val="00514462"/>
    <w:rsid w:val="005520ED"/>
    <w:rsid w:val="005A0D0D"/>
    <w:rsid w:val="00614A28"/>
    <w:rsid w:val="00685D31"/>
    <w:rsid w:val="00687592"/>
    <w:rsid w:val="006912BF"/>
    <w:rsid w:val="006A41D0"/>
    <w:rsid w:val="006B08D5"/>
    <w:rsid w:val="00804498"/>
    <w:rsid w:val="0087388A"/>
    <w:rsid w:val="00914C56"/>
    <w:rsid w:val="00950729"/>
    <w:rsid w:val="009854A9"/>
    <w:rsid w:val="009E033F"/>
    <w:rsid w:val="00A4635E"/>
    <w:rsid w:val="00B85664"/>
    <w:rsid w:val="00BB6328"/>
    <w:rsid w:val="00D65199"/>
    <w:rsid w:val="00D8098C"/>
    <w:rsid w:val="00ED48A3"/>
    <w:rsid w:val="00EF4B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bi.nlm.nih.gov/pmc/articles/PMC1088304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cbi.nlm.nih.gov/pmc/articles/PMC10883046/"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2.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3456</Words>
  <Characters>19701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23111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Chengqiang Wang</cp:lastModifiedBy>
  <cp:revision>2</cp:revision>
  <cp:lastPrinted>2021-09-28T07:08:00Z</cp:lastPrinted>
  <dcterms:created xsi:type="dcterms:W3CDTF">2025-02-23T13:45:00Z</dcterms:created>
  <dcterms:modified xsi:type="dcterms:W3CDTF">2025-02-23T13:45:00Z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