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A30B2" w14:textId="377B431A" w:rsidR="00B84955" w:rsidRPr="002331AD" w:rsidRDefault="00B84955" w:rsidP="00B84955">
      <w:pPr>
        <w:pStyle w:val="NoSpacing"/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Additional t</w:t>
      </w:r>
      <w:r w:rsidRPr="002331AD">
        <w:rPr>
          <w:rFonts w:ascii="Times New Roman" w:hAnsi="Times New Roman" w:cs="Times New Roman"/>
          <w:b/>
          <w:sz w:val="20"/>
          <w:szCs w:val="20"/>
          <w:lang w:val="en-GB"/>
        </w:rPr>
        <w:t xml:space="preserve">able 2 Mean difference between patients’ immediate recall and recall at follow-up    </w:t>
      </w:r>
    </w:p>
    <w:tbl>
      <w:tblPr>
        <w:tblStyle w:val="TableGrid"/>
        <w:tblW w:w="737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276"/>
        <w:gridCol w:w="1211"/>
        <w:gridCol w:w="1800"/>
        <w:gridCol w:w="708"/>
      </w:tblGrid>
      <w:tr w:rsidR="00B84955" w:rsidRPr="002331AD" w14:paraId="072A6378" w14:textId="77777777" w:rsidTr="00D74177">
        <w:trPr>
          <w:trHeight w:val="70"/>
        </w:trPr>
        <w:tc>
          <w:tcPr>
            <w:tcW w:w="2376" w:type="dxa"/>
          </w:tcPr>
          <w:p w14:paraId="09DAF815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306BE1D2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Immediate recall</w:t>
            </w:r>
          </w:p>
        </w:tc>
        <w:tc>
          <w:tcPr>
            <w:tcW w:w="1211" w:type="dxa"/>
          </w:tcPr>
          <w:p w14:paraId="35C304DD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Recall after 2-4 days</w:t>
            </w:r>
          </w:p>
        </w:tc>
        <w:tc>
          <w:tcPr>
            <w:tcW w:w="1800" w:type="dxa"/>
          </w:tcPr>
          <w:p w14:paraId="159E6861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difference (95% CI)</w:t>
            </w:r>
          </w:p>
        </w:tc>
        <w:tc>
          <w:tcPr>
            <w:tcW w:w="708" w:type="dxa"/>
          </w:tcPr>
          <w:p w14:paraId="79171FC3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</w:tr>
      <w:tr w:rsidR="00B84955" w:rsidRPr="002331AD" w14:paraId="1D6F179E" w14:textId="77777777" w:rsidTr="00D74177">
        <w:trPr>
          <w:trHeight w:val="70"/>
        </w:trPr>
        <w:tc>
          <w:tcPr>
            <w:tcW w:w="2376" w:type="dxa"/>
          </w:tcPr>
          <w:p w14:paraId="0036AE2A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Control group</w:t>
            </w:r>
          </w:p>
          <w:p w14:paraId="4CC4443E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 = 194</w:t>
            </w:r>
          </w:p>
        </w:tc>
        <w:tc>
          <w:tcPr>
            <w:tcW w:w="1276" w:type="dxa"/>
          </w:tcPr>
          <w:p w14:paraId="207AE734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(SD)</w:t>
            </w:r>
          </w:p>
        </w:tc>
        <w:tc>
          <w:tcPr>
            <w:tcW w:w="1211" w:type="dxa"/>
          </w:tcPr>
          <w:p w14:paraId="26046E3D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(SD)</w:t>
            </w:r>
          </w:p>
        </w:tc>
        <w:tc>
          <w:tcPr>
            <w:tcW w:w="1800" w:type="dxa"/>
          </w:tcPr>
          <w:p w14:paraId="1305E46B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14:paraId="64189092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84955" w:rsidRPr="002331AD" w14:paraId="15AAF9EF" w14:textId="77777777" w:rsidTr="00D74177">
        <w:trPr>
          <w:trHeight w:val="70"/>
        </w:trPr>
        <w:tc>
          <w:tcPr>
            <w:tcW w:w="2376" w:type="dxa"/>
          </w:tcPr>
          <w:p w14:paraId="49E9D56D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All discussed domains </w:t>
            </w:r>
          </w:p>
          <w:p w14:paraId="2AAD85F3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 Diagnosis</w:t>
            </w:r>
          </w:p>
          <w:p w14:paraId="5DF87C77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 Treatment</w:t>
            </w:r>
          </w:p>
          <w:p w14:paraId="20CBBC1F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 Follow-up consultations</w:t>
            </w:r>
          </w:p>
          <w:p w14:paraId="42FCB167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4. Return precautions </w:t>
            </w:r>
          </w:p>
        </w:tc>
        <w:tc>
          <w:tcPr>
            <w:tcW w:w="1276" w:type="dxa"/>
          </w:tcPr>
          <w:p w14:paraId="732E8279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3.75 (0.38)</w:t>
            </w:r>
          </w:p>
          <w:p w14:paraId="5A5055CA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3.80 (0.47)</w:t>
            </w:r>
          </w:p>
          <w:p w14:paraId="56F80DB5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3.74 (0.54)</w:t>
            </w:r>
          </w:p>
          <w:p w14:paraId="0532C51B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3.85 (0.42)</w:t>
            </w:r>
          </w:p>
          <w:p w14:paraId="07C042F3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3.43 (0.89)</w:t>
            </w:r>
          </w:p>
        </w:tc>
        <w:tc>
          <w:tcPr>
            <w:tcW w:w="1211" w:type="dxa"/>
          </w:tcPr>
          <w:p w14:paraId="75D52935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3.68 (0.42)</w:t>
            </w:r>
          </w:p>
          <w:p w14:paraId="0D9ADAA8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3.76 (0.53)</w:t>
            </w:r>
          </w:p>
          <w:p w14:paraId="08C31103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3.68 (0.61)</w:t>
            </w:r>
          </w:p>
          <w:p w14:paraId="3E70597C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3.85 (0.44)</w:t>
            </w:r>
          </w:p>
          <w:p w14:paraId="7725C921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3.13 (1.05)</w:t>
            </w:r>
          </w:p>
        </w:tc>
        <w:tc>
          <w:tcPr>
            <w:tcW w:w="1800" w:type="dxa"/>
          </w:tcPr>
          <w:p w14:paraId="7FA1E415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 (0.01, 0.12)</w:t>
            </w:r>
          </w:p>
          <w:p w14:paraId="00B7E574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 (-0.03, 0.10)</w:t>
            </w:r>
          </w:p>
          <w:p w14:paraId="29EA554E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 (-0.02, 0,15)</w:t>
            </w:r>
          </w:p>
          <w:p w14:paraId="1DD753BA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 (-0.07, 0.06)</w:t>
            </w:r>
          </w:p>
          <w:p w14:paraId="68B3C2FF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 (0.11, 0.48)</w:t>
            </w:r>
          </w:p>
        </w:tc>
        <w:tc>
          <w:tcPr>
            <w:tcW w:w="708" w:type="dxa"/>
          </w:tcPr>
          <w:p w14:paraId="534CB093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0.015</w:t>
            </w:r>
          </w:p>
          <w:p w14:paraId="401EEA31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0.275</w:t>
            </w:r>
          </w:p>
          <w:p w14:paraId="7D0B3E20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0.107</w:t>
            </w:r>
          </w:p>
          <w:p w14:paraId="335B5A25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0.879</w:t>
            </w:r>
          </w:p>
          <w:p w14:paraId="529E157B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0.002</w:t>
            </w:r>
          </w:p>
        </w:tc>
      </w:tr>
      <w:tr w:rsidR="00B84955" w:rsidRPr="002331AD" w14:paraId="4E6E9D8F" w14:textId="77777777" w:rsidTr="00D74177">
        <w:trPr>
          <w:trHeight w:val="70"/>
        </w:trPr>
        <w:tc>
          <w:tcPr>
            <w:tcW w:w="2376" w:type="dxa"/>
          </w:tcPr>
          <w:p w14:paraId="5B430F07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Intervention group</w:t>
            </w:r>
          </w:p>
          <w:p w14:paraId="36A46B24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N= 217</w:t>
            </w:r>
          </w:p>
        </w:tc>
        <w:tc>
          <w:tcPr>
            <w:tcW w:w="1276" w:type="dxa"/>
          </w:tcPr>
          <w:p w14:paraId="5CAF179F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11" w:type="dxa"/>
          </w:tcPr>
          <w:p w14:paraId="442A1CE8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1EA3CA92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14:paraId="0C9F1829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84955" w:rsidRPr="002331AD" w14:paraId="265420BF" w14:textId="77777777" w:rsidTr="00D74177">
        <w:trPr>
          <w:trHeight w:val="144"/>
        </w:trPr>
        <w:tc>
          <w:tcPr>
            <w:tcW w:w="2376" w:type="dxa"/>
          </w:tcPr>
          <w:p w14:paraId="049F476D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All discussed domains </w:t>
            </w:r>
          </w:p>
          <w:p w14:paraId="6D83D738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 Diagnosis</w:t>
            </w:r>
          </w:p>
          <w:p w14:paraId="75E46924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 Treatment</w:t>
            </w:r>
          </w:p>
          <w:p w14:paraId="56A27633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 Follow-up consultations</w:t>
            </w:r>
          </w:p>
          <w:p w14:paraId="319D6090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4. Return precautions </w:t>
            </w:r>
          </w:p>
        </w:tc>
        <w:tc>
          <w:tcPr>
            <w:tcW w:w="1276" w:type="dxa"/>
          </w:tcPr>
          <w:p w14:paraId="7D8E4C93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3.95 (0.15)</w:t>
            </w:r>
          </w:p>
          <w:p w14:paraId="571CA28E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3.97 (0.19)</w:t>
            </w:r>
          </w:p>
          <w:p w14:paraId="009504DF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3.95 (0.21)</w:t>
            </w:r>
          </w:p>
          <w:p w14:paraId="6FE885F9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3.96 (0.20)</w:t>
            </w: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3.91 (0.33)</w:t>
            </w:r>
          </w:p>
        </w:tc>
        <w:tc>
          <w:tcPr>
            <w:tcW w:w="1211" w:type="dxa"/>
          </w:tcPr>
          <w:p w14:paraId="46688CAE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3.85 (0.27)</w:t>
            </w:r>
          </w:p>
          <w:p w14:paraId="33E9D1E4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3.90 (0.34)</w:t>
            </w:r>
          </w:p>
          <w:p w14:paraId="2C25FA23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3.90 (0.33)</w:t>
            </w:r>
          </w:p>
          <w:p w14:paraId="47F9D02E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3.92 (0.37)</w:t>
            </w:r>
          </w:p>
          <w:p w14:paraId="55B448C8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3.60 (0.69)</w:t>
            </w:r>
          </w:p>
        </w:tc>
        <w:tc>
          <w:tcPr>
            <w:tcW w:w="1800" w:type="dxa"/>
          </w:tcPr>
          <w:p w14:paraId="0058F2DB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 (0.07, 0.13)</w:t>
            </w:r>
          </w:p>
          <w:p w14:paraId="6F6978FF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 (0.02, 0.12)</w:t>
            </w:r>
          </w:p>
          <w:p w14:paraId="3C53CCBE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 (0.01, 0.10)</w:t>
            </w: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0.04 (-0.00, 0.09)</w:t>
            </w:r>
          </w:p>
          <w:p w14:paraId="75E271DB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0.31 (0.20, 0.42) </w:t>
            </w:r>
          </w:p>
        </w:tc>
        <w:tc>
          <w:tcPr>
            <w:tcW w:w="708" w:type="dxa"/>
          </w:tcPr>
          <w:p w14:paraId="0B36E0CA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</w:t>
            </w:r>
          </w:p>
          <w:p w14:paraId="535A4D2B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0.007</w:t>
            </w:r>
          </w:p>
          <w:p w14:paraId="4A4F55C5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0.018</w:t>
            </w:r>
          </w:p>
          <w:p w14:paraId="609A36AA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0.060</w:t>
            </w:r>
          </w:p>
          <w:p w14:paraId="172FF845" w14:textId="77777777" w:rsidR="00B84955" w:rsidRPr="002331AD" w:rsidRDefault="00B84955" w:rsidP="00D74177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331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</w:t>
            </w:r>
          </w:p>
        </w:tc>
      </w:tr>
    </w:tbl>
    <w:p w14:paraId="04790347" w14:textId="77777777" w:rsidR="00B84955" w:rsidRPr="002331AD" w:rsidRDefault="00B84955" w:rsidP="00B84955">
      <w:pPr>
        <w:pStyle w:val="NoSpacing"/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17F5DA3" w14:textId="77777777" w:rsidR="00B84955" w:rsidRPr="002331AD" w:rsidRDefault="00B84955" w:rsidP="00B84955">
      <w:pPr>
        <w:pStyle w:val="NoSpacing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4AF49EBC" w14:textId="77777777" w:rsidR="00B84955" w:rsidRDefault="00B84955" w:rsidP="00B84955"/>
    <w:p w14:paraId="46411B2C" w14:textId="77777777" w:rsidR="004824C2" w:rsidRPr="00B84955" w:rsidRDefault="004824C2" w:rsidP="00B84955"/>
    <w:sectPr w:rsidR="004824C2" w:rsidRPr="00B84955" w:rsidSect="004824C2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C5F36" w14:textId="77777777" w:rsidR="00654161" w:rsidRDefault="00654161" w:rsidP="00B84955">
      <w:pPr>
        <w:spacing w:after="0" w:line="240" w:lineRule="auto"/>
      </w:pPr>
      <w:r>
        <w:separator/>
      </w:r>
    </w:p>
  </w:endnote>
  <w:endnote w:type="continuationSeparator" w:id="0">
    <w:p w14:paraId="43751277" w14:textId="77777777" w:rsidR="00654161" w:rsidRDefault="00654161" w:rsidP="00B8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9011D" w14:textId="77777777" w:rsidR="00654161" w:rsidRDefault="00654161" w:rsidP="00B84955">
      <w:pPr>
        <w:spacing w:after="0" w:line="240" w:lineRule="auto"/>
      </w:pPr>
      <w:r>
        <w:separator/>
      </w:r>
    </w:p>
  </w:footnote>
  <w:footnote w:type="continuationSeparator" w:id="0">
    <w:p w14:paraId="0D0D1F59" w14:textId="77777777" w:rsidR="00654161" w:rsidRDefault="00654161" w:rsidP="00B849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4C2"/>
    <w:rsid w:val="003D79AF"/>
    <w:rsid w:val="00473AFA"/>
    <w:rsid w:val="004824C2"/>
    <w:rsid w:val="00654161"/>
    <w:rsid w:val="00B84955"/>
    <w:rsid w:val="00DE0772"/>
    <w:rsid w:val="00FC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39E8FD6"/>
  <w15:chartTrackingRefBased/>
  <w15:docId w15:val="{6E4BE4C7-3706-994F-8EB1-37E17DE8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4C2"/>
    <w:pPr>
      <w:suppressAutoHyphens/>
      <w:autoSpaceDN w:val="0"/>
      <w:spacing w:after="200" w:line="276" w:lineRule="auto"/>
      <w:textAlignment w:val="baseline"/>
    </w:pPr>
    <w:rPr>
      <w:rFonts w:ascii="Arial" w:eastAsia="Calibri" w:hAnsi="Arial" w:cs="Arial"/>
      <w:sz w:val="22"/>
      <w:szCs w:val="2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24C2"/>
    <w:pPr>
      <w:suppressAutoHyphens/>
      <w:autoSpaceDN w:val="0"/>
      <w:textAlignment w:val="baseline"/>
    </w:pPr>
    <w:rPr>
      <w:rFonts w:ascii="Arial" w:eastAsia="Calibri" w:hAnsi="Arial" w:cs="Arial"/>
      <w:sz w:val="22"/>
      <w:szCs w:val="22"/>
      <w:lang w:val="nl-NL"/>
    </w:rPr>
  </w:style>
  <w:style w:type="table" w:styleId="TableGrid">
    <w:name w:val="Table Grid"/>
    <w:basedOn w:val="TableNormal"/>
    <w:uiPriority w:val="59"/>
    <w:rsid w:val="004824C2"/>
    <w:rPr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49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955"/>
    <w:rPr>
      <w:rFonts w:ascii="Arial" w:eastAsia="Calibri" w:hAnsi="Arial" w:cs="Arial"/>
      <w:sz w:val="22"/>
      <w:szCs w:val="22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B849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955"/>
    <w:rPr>
      <w:rFonts w:ascii="Arial" w:eastAsia="Calibri" w:hAnsi="Arial" w:cs="Arial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Manchu Mahajan</dc:creator>
  <cp:keywords/>
  <dc:description/>
  <cp:lastModifiedBy>Manchu Mahajan</cp:lastModifiedBy>
  <cp:revision>2</cp:revision>
  <dcterms:created xsi:type="dcterms:W3CDTF">2020-05-29T12:28:00Z</dcterms:created>
  <dcterms:modified xsi:type="dcterms:W3CDTF">2020-05-29T12:28:00Z</dcterms:modified>
</cp:coreProperties>
</file>