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b/>
          <w:bCs/>
          <w:i/>
          <w:iCs/>
          <w:lang w:val="en-US"/>
        </w:rPr>
        <w:t>Table A</w:t>
      </w:r>
      <w:r>
        <w:rPr>
          <w:b/>
          <w:bCs/>
          <w:i/>
          <w:iCs/>
          <w:lang w:val="en-US"/>
        </w:rPr>
        <w:t>2</w:t>
      </w:r>
      <w:r>
        <w:rPr>
          <w:i/>
          <w:iCs/>
          <w:lang w:val="en-US"/>
        </w:rPr>
        <w:t xml:space="preserve">: Subgroup analysis of primary study outcomes for those patients that did not receive anti-emetics from the paramedics before reaching the hospital. </w:t>
      </w:r>
    </w:p>
    <w:tbl>
      <w:tblPr>
        <w:tblW w:w="902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46"/>
        <w:gridCol w:w="1690"/>
        <w:gridCol w:w="1840"/>
        <w:gridCol w:w="949"/>
      </w:tblGrid>
      <w:tr>
        <w:trPr/>
        <w:tc>
          <w:tcPr>
            <w:tcW w:w="4546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jc w:val="both"/>
              <w:rPr>
                <w:rFonts w:cs="Calibri" w:cstheme="minorHAnsi"/>
                <w:b/>
                <w:b/>
                <w:bCs/>
                <w:sz w:val="18"/>
                <w:szCs w:val="18"/>
                <w:lang w:val="en-US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  <w:lang w:val="en-US"/>
              </w:rPr>
              <w:t>Primary outcome</w:t>
            </w:r>
          </w:p>
        </w:tc>
        <w:tc>
          <w:tcPr>
            <w:tcW w:w="169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  <w:lang w:val="en-US"/>
              </w:rPr>
              <w:t>Baseline phase (n=87)</w:t>
            </w:r>
          </w:p>
        </w:tc>
        <w:tc>
          <w:tcPr>
            <w:tcW w:w="1840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  <w:lang w:val="en-US"/>
              </w:rPr>
              <w:t>IPA implementation phase (n=93)</w:t>
            </w:r>
          </w:p>
        </w:tc>
        <w:tc>
          <w:tcPr>
            <w:tcW w:w="94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jc w:val="both"/>
              <w:rPr>
                <w:rFonts w:cs="Calibri" w:cstheme="minorHAnsi"/>
              </w:rPr>
            </w:pPr>
            <w:r>
              <w:rPr>
                <w:rFonts w:cs="Calibri" w:cstheme="minorHAnsi"/>
                <w:b/>
                <w:bCs/>
                <w:sz w:val="18"/>
                <w:szCs w:val="18"/>
                <w:lang w:val="en-US"/>
              </w:rPr>
              <w:t>p-value</w:t>
            </w:r>
          </w:p>
        </w:tc>
      </w:tr>
      <w:tr>
        <w:trPr/>
        <w:tc>
          <w:tcPr>
            <w:tcW w:w="4546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  <w:lang w:val="en-US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 xml:space="preserve">Patients receiving anti-emetic treatment in the ED; </w:t>
            </w:r>
          </w:p>
          <w:p>
            <w:pPr>
              <w:pStyle w:val="Normal"/>
              <w:spacing w:lineRule="auto" w:line="276" w:before="0" w:after="0"/>
              <w:mirrorIndents/>
              <w:rPr/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percentage, (number)</w:t>
            </w:r>
          </w:p>
        </w:tc>
        <w:tc>
          <w:tcPr>
            <w:tcW w:w="1690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58.6 (51)</w:t>
            </w:r>
          </w:p>
        </w:tc>
        <w:tc>
          <w:tcPr>
            <w:tcW w:w="1840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96.8 (90)</w:t>
            </w:r>
          </w:p>
        </w:tc>
        <w:tc>
          <w:tcPr>
            <w:tcW w:w="949" w:type="dxa"/>
            <w:tcBorders>
              <w:top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&lt;0.001</w:t>
            </w:r>
            <w:r>
              <w:rPr>
                <w:rFonts w:eastAsia="Liberation Serif" w:cs="Calibri" w:cstheme="minorHAnsi"/>
                <w:sz w:val="18"/>
                <w:szCs w:val="18"/>
                <w:lang w:val="en-US"/>
              </w:rPr>
              <w:t>†</w:t>
            </w:r>
          </w:p>
        </w:tc>
      </w:tr>
      <w:tr>
        <w:trPr/>
        <w:tc>
          <w:tcPr>
            <w:tcW w:w="4546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/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Time to treatment; median (interquartile range), minutes</w:t>
            </w:r>
          </w:p>
        </w:tc>
        <w:tc>
          <w:tcPr>
            <w:tcW w:w="1690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/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7 (10)</w:t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/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1(5)</w:t>
            </w:r>
          </w:p>
        </w:tc>
        <w:tc>
          <w:tcPr>
            <w:tcW w:w="949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&lt;0.001*</w:t>
            </w:r>
          </w:p>
        </w:tc>
      </w:tr>
      <w:tr>
        <w:trPr>
          <w:trHeight w:val="518" w:hRule="atLeast"/>
        </w:trPr>
        <w:tc>
          <w:tcPr>
            <w:tcW w:w="4546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  <w:lang w:val="en-US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Administration of conventional anti-emetics in the ED; mean (95% CI), amount/patient</w:t>
            </w:r>
          </w:p>
        </w:tc>
        <w:tc>
          <w:tcPr>
            <w:tcW w:w="1690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  <w:highlight w:val="yellow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0.60 (0.49 – 0.71)</w:t>
            </w:r>
          </w:p>
        </w:tc>
        <w:tc>
          <w:tcPr>
            <w:tcW w:w="1840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  <w:highlight w:val="yellow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0.26 (0.16 – 0.35)</w:t>
            </w:r>
          </w:p>
        </w:tc>
        <w:tc>
          <w:tcPr>
            <w:tcW w:w="949" w:type="dxa"/>
            <w:tcBorders/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&lt;0.001*</w:t>
            </w:r>
          </w:p>
        </w:tc>
      </w:tr>
      <w:tr>
        <w:trPr>
          <w:trHeight w:val="373" w:hRule="atLeast"/>
        </w:trPr>
        <w:tc>
          <w:tcPr>
            <w:tcW w:w="4546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Cost (euro)</w:t>
            </w:r>
          </w:p>
        </w:tc>
        <w:tc>
          <w:tcPr>
            <w:tcW w:w="1690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1.59</w:t>
            </w:r>
          </w:p>
        </w:tc>
        <w:tc>
          <w:tcPr>
            <w:tcW w:w="1840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  <w:t>0.78</w:t>
            </w:r>
          </w:p>
        </w:tc>
        <w:tc>
          <w:tcPr>
            <w:tcW w:w="94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76" w:before="0" w:after="0"/>
              <w:mirrorIndents/>
              <w:rPr>
                <w:rFonts w:cs="Calibri" w:cstheme="minorHAnsi"/>
                <w:sz w:val="18"/>
                <w:szCs w:val="18"/>
                <w:lang w:val="en-US"/>
              </w:rPr>
            </w:pPr>
            <w:r>
              <w:rPr>
                <w:rFonts w:cs="Calibri" w:cstheme="minorHAnsi"/>
                <w:sz w:val="18"/>
                <w:szCs w:val="18"/>
                <w:lang w:val="en-US"/>
              </w:rPr>
            </w:r>
          </w:p>
        </w:tc>
      </w:tr>
    </w:tbl>
    <w:p>
      <w:pPr>
        <w:pStyle w:val="Normal"/>
        <w:spacing w:lineRule="auto" w:line="240"/>
        <w:rPr>
          <w:rFonts w:cs="Calibri" w:cstheme="minorHAnsi"/>
        </w:rPr>
      </w:pPr>
      <w:r>
        <w:rPr>
          <w:rFonts w:cs="Calibri" w:cstheme="minorHAnsi"/>
          <w:sz w:val="18"/>
          <w:szCs w:val="18"/>
          <w:lang w:val="en-US"/>
        </w:rPr>
        <w:t>* Mann-Whitney</w:t>
        <w:br/>
      </w:r>
      <w:r>
        <w:rPr>
          <w:rFonts w:eastAsia="Liberation Serif" w:cs="Calibri" w:cstheme="minorHAnsi"/>
          <w:sz w:val="18"/>
          <w:szCs w:val="18"/>
          <w:lang w:val="en-US"/>
        </w:rPr>
        <w:t>† Pearson Chi-Square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N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N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239c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nl-N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Kop">
    <w:name w:val="Kop"/>
    <w:basedOn w:val="Normal"/>
    <w:next w:val="Tekstblok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kstblok">
    <w:name w:val="Body Text"/>
    <w:basedOn w:val="Normal"/>
    <w:pPr>
      <w:spacing w:lineRule="auto" w:line="276" w:before="0" w:after="140"/>
    </w:pPr>
    <w:rPr/>
  </w:style>
  <w:style w:type="paragraph" w:styleId="Lijst">
    <w:name w:val="List"/>
    <w:basedOn w:val="Tekstblok"/>
    <w:pPr/>
    <w:rPr>
      <w:rFonts w:cs="Arial"/>
    </w:rPr>
  </w:style>
  <w:style w:type="paragraph" w:styleId="Bijschrift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LibreOffice/6.2.4.2$Windows_X86_64 LibreOffice_project/2412653d852ce75f65fbfa83fb7e7b669a126d64</Application>
  <Pages>1</Pages>
  <Words>85</Words>
  <Characters>515</Characters>
  <CharactersWithSpaces>582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2020-05-10T14:02:00Z</dcterms:created>
  <dc:creator>Maartje Melse</dc:creator>
  <dc:description/>
  <dc:language>nl-NL</dc:language>
  <cp:lastModifiedBy/>
  <dcterms:modified xsi:type="dcterms:W3CDTF">2020-12-19T12:28:18Z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